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E3B3A" w14:textId="7A5B10B7" w:rsidR="00CD3765" w:rsidRPr="00883AA5" w:rsidRDefault="00473B04" w:rsidP="00CD3765">
      <w:pPr>
        <w:keepNext/>
        <w:widowControl/>
        <w:spacing w:before="240" w:after="60" w:line="480" w:lineRule="auto"/>
        <w:jc w:val="left"/>
        <w:outlineLvl w:val="0"/>
        <w:rPr>
          <w:rFonts w:ascii="Arial" w:eastAsia="DengXian" w:hAnsi="Arial" w:cs="Arial"/>
          <w:b/>
          <w:bCs/>
          <w:kern w:val="32"/>
          <w:sz w:val="32"/>
          <w:szCs w:val="32"/>
        </w:rPr>
      </w:pPr>
      <w:bookmarkStart w:id="0" w:name="_Hlk223359861"/>
      <w:r w:rsidRPr="00473B04">
        <w:rPr>
          <w:rFonts w:ascii="Arial" w:eastAsia="DengXian" w:hAnsi="Arial" w:cs="Arial" w:hint="eastAsia"/>
          <w:b/>
          <w:bCs/>
          <w:kern w:val="32"/>
          <w:sz w:val="32"/>
          <w:szCs w:val="32"/>
        </w:rPr>
        <w:t xml:space="preserve">Supplementary </w:t>
      </w:r>
      <w:r>
        <w:rPr>
          <w:rFonts w:ascii="Arial" w:eastAsia="DengXian" w:hAnsi="Arial" w:cs="Arial" w:hint="eastAsia"/>
          <w:b/>
          <w:bCs/>
          <w:kern w:val="32"/>
          <w:sz w:val="32"/>
          <w:szCs w:val="32"/>
        </w:rPr>
        <w:t>Material 1:</w:t>
      </w:r>
      <w:bookmarkStart w:id="1" w:name="_Hlk223359892"/>
      <w:bookmarkStart w:id="2" w:name="_Hlk223360964"/>
      <w:bookmarkEnd w:id="0"/>
      <w:r w:rsidR="009A371A">
        <w:rPr>
          <w:rFonts w:ascii="Arial" w:eastAsia="DengXian" w:hAnsi="Arial" w:cs="Arial"/>
          <w:b/>
          <w:bCs/>
          <w:kern w:val="32"/>
          <w:sz w:val="32"/>
          <w:szCs w:val="32"/>
        </w:rPr>
        <w:t xml:space="preserve"> </w:t>
      </w:r>
      <w:r w:rsidR="00CD3765" w:rsidRPr="00883AA5">
        <w:rPr>
          <w:rFonts w:ascii="Arial" w:eastAsia="DengXian" w:hAnsi="Arial" w:cs="Arial"/>
          <w:b/>
          <w:bCs/>
          <w:kern w:val="32"/>
          <w:sz w:val="32"/>
          <w:szCs w:val="32"/>
          <w:lang w:eastAsia="en-US"/>
        </w:rPr>
        <w:t>Material and methods</w:t>
      </w:r>
      <w:bookmarkEnd w:id="1"/>
    </w:p>
    <w:p w14:paraId="159D0168" w14:textId="2AF53098" w:rsidR="00CD3765" w:rsidRPr="00883AA5" w:rsidRDefault="00CD3765" w:rsidP="00CD3765">
      <w:pPr>
        <w:keepNext/>
        <w:widowControl/>
        <w:spacing w:before="240" w:after="60" w:line="480" w:lineRule="auto"/>
        <w:jc w:val="left"/>
        <w:outlineLvl w:val="1"/>
        <w:rPr>
          <w:rFonts w:ascii="Arial" w:eastAsia="DengXian" w:hAnsi="Arial" w:cs="Arial"/>
          <w:b/>
          <w:bCs/>
          <w:i/>
          <w:iCs/>
          <w:kern w:val="0"/>
          <w:sz w:val="32"/>
          <w:szCs w:val="28"/>
        </w:rPr>
      </w:pPr>
      <w:bookmarkStart w:id="3" w:name="_Hlk223360850"/>
      <w:r w:rsidRPr="00883AA5">
        <w:rPr>
          <w:rFonts w:ascii="Arial" w:eastAsia="DengXian" w:hAnsi="Arial" w:cs="Arial" w:hint="eastAsia"/>
          <w:b/>
          <w:bCs/>
          <w:i/>
          <w:iCs/>
          <w:kern w:val="0"/>
          <w:sz w:val="28"/>
          <w:szCs w:val="28"/>
        </w:rPr>
        <w:t>Materials</w:t>
      </w:r>
      <w:r w:rsidRPr="00883AA5">
        <w:rPr>
          <w:rFonts w:ascii="Arial" w:eastAsia="DengXian" w:hAnsi="Arial" w:cs="Arial"/>
          <w:b/>
          <w:bCs/>
          <w:i/>
          <w:iCs/>
          <w:kern w:val="0"/>
          <w:sz w:val="20"/>
          <w:szCs w:val="28"/>
          <w:lang w:eastAsia="en-US"/>
        </w:rPr>
        <w:t xml:space="preserve"> </w:t>
      </w:r>
      <w:bookmarkEnd w:id="3"/>
    </w:p>
    <w:p w14:paraId="25378F24" w14:textId="700260C8" w:rsidR="00957D1E" w:rsidRPr="00883AA5" w:rsidRDefault="00957D1E" w:rsidP="00473B04">
      <w:pPr>
        <w:widowControl/>
        <w:spacing w:line="480" w:lineRule="auto"/>
        <w:ind w:firstLineChars="200" w:firstLine="400"/>
        <w:rPr>
          <w:rFonts w:ascii="Arial" w:eastAsia="SimSun" w:hAnsi="Arial" w:cs="Arial"/>
          <w:kern w:val="0"/>
          <w:sz w:val="20"/>
          <w:szCs w:val="20"/>
        </w:rPr>
      </w:pPr>
      <w:bookmarkStart w:id="4" w:name="_Hlk219712424"/>
      <w:bookmarkStart w:id="5" w:name="OLE_LINK15"/>
      <w:bookmarkEnd w:id="2"/>
      <w:r w:rsidRPr="00883AA5">
        <w:rPr>
          <w:rFonts w:ascii="Arial" w:eastAsia="SimSun" w:hAnsi="Arial" w:cs="Arial"/>
          <w:kern w:val="0"/>
          <w:sz w:val="20"/>
          <w:szCs w:val="20"/>
          <w:lang w:eastAsia="en-US"/>
        </w:rPr>
        <w:t xml:space="preserve">The following polymers were purchased from the respective suppliers: HPMC E5 </w:t>
      </w:r>
      <w:bookmarkStart w:id="6" w:name="_Hlk220264316"/>
      <w:r w:rsidRPr="00883AA5">
        <w:rPr>
          <w:rFonts w:ascii="Arial" w:eastAsia="SimSun" w:hAnsi="Arial" w:cs="Arial"/>
          <w:kern w:val="0"/>
          <w:sz w:val="20"/>
          <w:szCs w:val="20"/>
          <w:lang w:eastAsia="en-US"/>
        </w:rPr>
        <w:t xml:space="preserve">(catalog number: </w:t>
      </w:r>
      <w:r w:rsidRPr="00883AA5">
        <w:rPr>
          <w:rFonts w:ascii="Arial" w:eastAsia="SimSun" w:hAnsi="Arial" w:cs="Arial"/>
          <w:sz w:val="20"/>
          <w:szCs w:val="20"/>
        </w:rPr>
        <w:t>S14173</w:t>
      </w:r>
      <w:r w:rsidRPr="00883AA5">
        <w:rPr>
          <w:rFonts w:ascii="Arial" w:eastAsia="SimSun" w:hAnsi="Arial" w:cs="Arial"/>
          <w:kern w:val="0"/>
          <w:sz w:val="20"/>
          <w:szCs w:val="20"/>
          <w:lang w:eastAsia="en-US"/>
        </w:rPr>
        <w:t>)</w:t>
      </w:r>
      <w:bookmarkEnd w:id="6"/>
      <w:r w:rsidRPr="00883AA5">
        <w:rPr>
          <w:rFonts w:ascii="Arial" w:eastAsia="SimSun" w:hAnsi="Arial" w:cs="Arial"/>
          <w:kern w:val="0"/>
          <w:sz w:val="20"/>
          <w:szCs w:val="20"/>
          <w:lang w:eastAsia="en-US"/>
        </w:rPr>
        <w:t xml:space="preserve">, </w:t>
      </w:r>
      <w:bookmarkStart w:id="7" w:name="_Hlk220264393"/>
      <w:r w:rsidRPr="00883AA5">
        <w:rPr>
          <w:rFonts w:ascii="Arial" w:eastAsia="SimSun" w:hAnsi="Arial" w:cs="Arial"/>
          <w:sz w:val="20"/>
          <w:szCs w:val="20"/>
        </w:rPr>
        <w:t>HPMC E15</w:t>
      </w:r>
      <w:bookmarkEnd w:id="7"/>
      <w:r w:rsidRPr="00883AA5">
        <w:rPr>
          <w:rFonts w:ascii="Arial" w:eastAsia="SimSun" w:hAnsi="Arial" w:cs="Arial"/>
          <w:sz w:val="20"/>
          <w:szCs w:val="20"/>
        </w:rPr>
        <w:t xml:space="preserve"> </w:t>
      </w:r>
      <w:r w:rsidRPr="00883AA5">
        <w:rPr>
          <w:rFonts w:ascii="Arial" w:eastAsia="SimSun" w:hAnsi="Arial" w:cs="Arial"/>
          <w:kern w:val="0"/>
          <w:sz w:val="20"/>
          <w:szCs w:val="20"/>
          <w:lang w:eastAsia="en-US"/>
        </w:rPr>
        <w:t xml:space="preserve">(catalog number: </w:t>
      </w:r>
      <w:r w:rsidRPr="00883AA5">
        <w:rPr>
          <w:rFonts w:ascii="Arial" w:eastAsia="SimSun" w:hAnsi="Arial" w:cs="Arial"/>
          <w:sz w:val="20"/>
          <w:szCs w:val="20"/>
        </w:rPr>
        <w:t>391290000</w:t>
      </w:r>
      <w:r w:rsidRPr="00883AA5">
        <w:rPr>
          <w:rFonts w:ascii="Arial" w:eastAsia="SimSun" w:hAnsi="Arial" w:cs="Arial"/>
          <w:kern w:val="0"/>
          <w:sz w:val="20"/>
          <w:szCs w:val="20"/>
          <w:lang w:eastAsia="en-US"/>
        </w:rPr>
        <w:t>)</w:t>
      </w:r>
      <w:r w:rsidRPr="00883AA5">
        <w:rPr>
          <w:rFonts w:ascii="Arial" w:eastAsia="SimSun" w:hAnsi="Arial" w:cs="Arial"/>
          <w:kern w:val="0"/>
          <w:sz w:val="20"/>
          <w:szCs w:val="20"/>
        </w:rPr>
        <w:t xml:space="preserve">, </w:t>
      </w:r>
      <w:r w:rsidRPr="00883AA5">
        <w:rPr>
          <w:rFonts w:ascii="Arial" w:eastAsia="SimSun" w:hAnsi="Arial" w:cs="Arial"/>
          <w:sz w:val="20"/>
          <w:szCs w:val="20"/>
        </w:rPr>
        <w:t>HPMC E30</w:t>
      </w:r>
      <w:r w:rsidRPr="00883AA5">
        <w:rPr>
          <w:rFonts w:ascii="Arial" w:eastAsia="SimSun" w:hAnsi="Arial" w:cs="Arial"/>
          <w:kern w:val="0"/>
          <w:sz w:val="20"/>
          <w:szCs w:val="20"/>
          <w:lang w:eastAsia="en-US"/>
        </w:rPr>
        <w:t xml:space="preserve"> (catalog number: </w:t>
      </w:r>
      <w:r w:rsidRPr="00883AA5">
        <w:rPr>
          <w:rFonts w:ascii="Arial" w:eastAsia="SimSun" w:hAnsi="Arial" w:cs="Arial"/>
          <w:sz w:val="20"/>
          <w:szCs w:val="20"/>
        </w:rPr>
        <w:t>20747936W0</w:t>
      </w:r>
      <w:r w:rsidRPr="00883AA5">
        <w:rPr>
          <w:rFonts w:ascii="Arial" w:eastAsia="SimSun" w:hAnsi="Arial" w:cs="Arial"/>
          <w:kern w:val="0"/>
          <w:sz w:val="20"/>
          <w:szCs w:val="20"/>
          <w:lang w:eastAsia="en-US"/>
        </w:rPr>
        <w:t>)</w:t>
      </w:r>
      <w:r w:rsidRPr="00883AA5">
        <w:rPr>
          <w:rFonts w:ascii="Arial" w:eastAsia="SimSun" w:hAnsi="Arial" w:cs="Arial"/>
          <w:kern w:val="0"/>
          <w:sz w:val="20"/>
          <w:szCs w:val="20"/>
        </w:rPr>
        <w:t>,</w:t>
      </w:r>
      <w:r w:rsidRPr="00883AA5">
        <w:rPr>
          <w:rFonts w:ascii="Arial" w:eastAsia="SimSun" w:hAnsi="Arial" w:cs="Arial"/>
          <w:sz w:val="20"/>
          <w:szCs w:val="20"/>
        </w:rPr>
        <w:t xml:space="preserve"> HPMC E50</w:t>
      </w:r>
      <w:r w:rsidRPr="00883AA5">
        <w:rPr>
          <w:rFonts w:ascii="Arial" w:eastAsia="SimSun" w:hAnsi="Arial" w:cs="Arial"/>
          <w:kern w:val="0"/>
          <w:sz w:val="20"/>
          <w:szCs w:val="20"/>
          <w:lang w:eastAsia="en-US"/>
        </w:rPr>
        <w:t xml:space="preserve">(catalog number: </w:t>
      </w:r>
      <w:r w:rsidRPr="00883AA5">
        <w:rPr>
          <w:rFonts w:ascii="Arial" w:eastAsia="SimSun" w:hAnsi="Arial" w:cs="Arial"/>
          <w:sz w:val="20"/>
          <w:szCs w:val="20"/>
        </w:rPr>
        <w:t>20747938W0</w:t>
      </w:r>
      <w:r w:rsidRPr="00883AA5">
        <w:rPr>
          <w:rFonts w:ascii="Arial" w:eastAsia="SimSun" w:hAnsi="Arial" w:cs="Arial"/>
          <w:kern w:val="0"/>
          <w:sz w:val="20"/>
          <w:szCs w:val="20"/>
          <w:lang w:eastAsia="en-US"/>
        </w:rPr>
        <w:t>)</w:t>
      </w:r>
      <w:r w:rsidRPr="00883AA5">
        <w:rPr>
          <w:rFonts w:ascii="Arial" w:eastAsia="SimSun" w:hAnsi="Arial" w:cs="Arial"/>
          <w:kern w:val="0"/>
          <w:sz w:val="20"/>
          <w:szCs w:val="20"/>
        </w:rPr>
        <w:t xml:space="preserve">, </w:t>
      </w:r>
      <w:r w:rsidRPr="00883AA5">
        <w:rPr>
          <w:rFonts w:ascii="Arial" w:eastAsia="SimSun" w:hAnsi="Arial" w:cs="Arial"/>
          <w:kern w:val="0"/>
          <w:sz w:val="20"/>
          <w:szCs w:val="20"/>
          <w:lang w:eastAsia="en-US"/>
        </w:rPr>
        <w:t xml:space="preserve">Beijing </w:t>
      </w:r>
      <w:proofErr w:type="spellStart"/>
      <w:r w:rsidRPr="00883AA5">
        <w:rPr>
          <w:rFonts w:ascii="Arial" w:eastAsia="SimSun" w:hAnsi="Arial" w:cs="Arial"/>
          <w:kern w:val="0"/>
          <w:sz w:val="20"/>
          <w:szCs w:val="20"/>
          <w:lang w:eastAsia="en-US"/>
        </w:rPr>
        <w:t>Lanbolant</w:t>
      </w:r>
      <w:proofErr w:type="spellEnd"/>
      <w:r w:rsidRPr="00883AA5">
        <w:rPr>
          <w:rFonts w:ascii="Arial" w:eastAsia="SimSun" w:hAnsi="Arial" w:cs="Arial"/>
          <w:kern w:val="0"/>
          <w:sz w:val="20"/>
          <w:szCs w:val="20"/>
          <w:lang w:eastAsia="en-US"/>
        </w:rPr>
        <w:t xml:space="preserve"> Trading </w:t>
      </w:r>
      <w:bookmarkStart w:id="8" w:name="_Hlk220264586"/>
      <w:r w:rsidRPr="00883AA5">
        <w:rPr>
          <w:rFonts w:ascii="Arial" w:eastAsia="SimSun" w:hAnsi="Arial" w:cs="Arial"/>
          <w:kern w:val="0"/>
          <w:sz w:val="20"/>
          <w:szCs w:val="20"/>
          <w:lang w:eastAsia="en-US"/>
        </w:rPr>
        <w:t>Co.</w:t>
      </w:r>
      <w:r w:rsidRPr="00883AA5">
        <w:rPr>
          <w:rFonts w:ascii="Arial" w:eastAsia="SimSun" w:hAnsi="Arial" w:cs="Arial"/>
          <w:kern w:val="0"/>
          <w:sz w:val="20"/>
          <w:szCs w:val="20"/>
        </w:rPr>
        <w:t>,</w:t>
      </w:r>
      <w:r w:rsidRPr="00883AA5">
        <w:rPr>
          <w:rFonts w:ascii="Arial" w:eastAsia="SimSun" w:hAnsi="Arial" w:cs="Arial"/>
          <w:kern w:val="0"/>
          <w:sz w:val="20"/>
          <w:szCs w:val="20"/>
          <w:lang w:eastAsia="en-US"/>
        </w:rPr>
        <w:t xml:space="preserve"> Ltd</w:t>
      </w:r>
      <w:bookmarkEnd w:id="8"/>
      <w:r w:rsidRPr="00883AA5">
        <w:rPr>
          <w:rFonts w:ascii="Arial" w:eastAsia="SimSun" w:hAnsi="Arial" w:cs="Arial"/>
          <w:kern w:val="0"/>
          <w:sz w:val="20"/>
          <w:szCs w:val="20"/>
          <w:lang w:eastAsia="en-US"/>
        </w:rPr>
        <w:t xml:space="preserve">. </w:t>
      </w:r>
      <w:bookmarkStart w:id="9" w:name="_Hlk220264621"/>
      <w:r w:rsidRPr="00883AA5">
        <w:rPr>
          <w:rFonts w:ascii="Arial" w:eastAsia="SimSun" w:hAnsi="Arial" w:cs="Arial"/>
          <w:kern w:val="0"/>
          <w:sz w:val="20"/>
          <w:szCs w:val="20"/>
          <w:lang w:eastAsia="en-US"/>
        </w:rPr>
        <w:t xml:space="preserve">PVP </w:t>
      </w:r>
      <w:bookmarkStart w:id="10" w:name="_Hlk220264361"/>
      <w:r w:rsidRPr="00883AA5">
        <w:rPr>
          <w:rFonts w:ascii="Arial" w:eastAsia="SimSun" w:hAnsi="Arial" w:cs="Arial"/>
          <w:kern w:val="0"/>
          <w:sz w:val="20"/>
          <w:szCs w:val="20"/>
        </w:rPr>
        <w:t>K30</w:t>
      </w:r>
      <w:r w:rsidRPr="00883AA5">
        <w:rPr>
          <w:rFonts w:ascii="Arial" w:eastAsia="SimSun" w:hAnsi="Arial" w:cs="Arial"/>
          <w:kern w:val="0"/>
          <w:sz w:val="20"/>
          <w:szCs w:val="20"/>
          <w:lang w:eastAsia="en-US"/>
        </w:rPr>
        <w:t xml:space="preserve">(catalog number: </w:t>
      </w:r>
      <w:r w:rsidRPr="00883AA5">
        <w:rPr>
          <w:rFonts w:ascii="Arial" w:eastAsia="SimSun" w:hAnsi="Arial" w:cs="Arial"/>
          <w:sz w:val="20"/>
          <w:szCs w:val="20"/>
        </w:rPr>
        <w:t>620435-0250</w:t>
      </w:r>
      <w:r w:rsidRPr="00883AA5">
        <w:rPr>
          <w:rFonts w:ascii="Arial" w:eastAsia="SimSun" w:hAnsi="Arial" w:cs="Arial"/>
          <w:kern w:val="0"/>
          <w:sz w:val="20"/>
          <w:szCs w:val="20"/>
          <w:lang w:eastAsia="en-US"/>
        </w:rPr>
        <w:t>)</w:t>
      </w:r>
      <w:bookmarkEnd w:id="9"/>
      <w:bookmarkEnd w:id="10"/>
      <w:r w:rsidRPr="00883AA5">
        <w:rPr>
          <w:rFonts w:ascii="Arial" w:eastAsia="SimSun" w:hAnsi="Arial" w:cs="Arial"/>
          <w:kern w:val="0"/>
          <w:sz w:val="20"/>
          <w:szCs w:val="20"/>
          <w:lang w:eastAsia="en-US"/>
        </w:rPr>
        <w:t>,</w:t>
      </w:r>
      <w:r w:rsidR="008A1818" w:rsidRPr="00883AA5">
        <w:rPr>
          <w:rFonts w:ascii="Arial" w:hAnsi="Arial" w:cs="Arial"/>
          <w:sz w:val="20"/>
          <w:szCs w:val="20"/>
        </w:rPr>
        <w:t xml:space="preserve"> </w:t>
      </w:r>
      <w:r w:rsidR="008A1818" w:rsidRPr="00883AA5">
        <w:rPr>
          <w:rFonts w:ascii="Arial" w:eastAsia="SimSun" w:hAnsi="Arial" w:cs="Arial"/>
          <w:kern w:val="0"/>
          <w:sz w:val="20"/>
          <w:szCs w:val="20"/>
          <w:lang w:eastAsia="en-US"/>
        </w:rPr>
        <w:t xml:space="preserve">Shandong </w:t>
      </w:r>
      <w:proofErr w:type="spellStart"/>
      <w:r w:rsidR="008A1818" w:rsidRPr="00883AA5">
        <w:rPr>
          <w:rFonts w:ascii="Arial" w:eastAsia="SimSun" w:hAnsi="Arial" w:cs="Arial"/>
          <w:kern w:val="0"/>
          <w:sz w:val="20"/>
          <w:szCs w:val="20"/>
          <w:lang w:eastAsia="en-US"/>
        </w:rPr>
        <w:t>Yousuo</w:t>
      </w:r>
      <w:proofErr w:type="spellEnd"/>
      <w:r w:rsidR="008A1818" w:rsidRPr="00883AA5">
        <w:rPr>
          <w:rFonts w:ascii="Arial" w:eastAsia="SimSun" w:hAnsi="Arial" w:cs="Arial"/>
          <w:kern w:val="0"/>
          <w:sz w:val="20"/>
          <w:szCs w:val="20"/>
          <w:lang w:eastAsia="en-US"/>
        </w:rPr>
        <w:t xml:space="preserve"> Chemical Technology</w:t>
      </w:r>
      <w:r w:rsidRPr="00883AA5">
        <w:rPr>
          <w:rFonts w:ascii="Arial" w:eastAsia="SimSun" w:hAnsi="Arial" w:cs="Arial"/>
          <w:kern w:val="0"/>
          <w:sz w:val="20"/>
          <w:szCs w:val="20"/>
          <w:lang w:eastAsia="en-US"/>
        </w:rPr>
        <w:t xml:space="preserve"> </w:t>
      </w:r>
      <w:r w:rsidR="008A1818" w:rsidRPr="00883AA5">
        <w:rPr>
          <w:rFonts w:ascii="Arial" w:eastAsia="SimSun" w:hAnsi="Arial" w:cs="Arial"/>
          <w:kern w:val="0"/>
          <w:sz w:val="20"/>
          <w:szCs w:val="20"/>
          <w:lang w:eastAsia="en-US"/>
        </w:rPr>
        <w:t>Co.</w:t>
      </w:r>
      <w:r w:rsidR="008A1818" w:rsidRPr="00883AA5">
        <w:rPr>
          <w:rFonts w:ascii="Arial" w:eastAsia="SimSun" w:hAnsi="Arial" w:cs="Arial"/>
          <w:kern w:val="0"/>
          <w:sz w:val="20"/>
          <w:szCs w:val="20"/>
        </w:rPr>
        <w:t>,</w:t>
      </w:r>
      <w:r w:rsidR="008A1818" w:rsidRPr="00883AA5">
        <w:rPr>
          <w:rFonts w:ascii="Arial" w:eastAsia="SimSun" w:hAnsi="Arial" w:cs="Arial"/>
          <w:kern w:val="0"/>
          <w:sz w:val="20"/>
          <w:szCs w:val="20"/>
          <w:lang w:eastAsia="en-US"/>
        </w:rPr>
        <w:t xml:space="preserve"> Ltd </w:t>
      </w:r>
      <w:r w:rsidR="008A1818" w:rsidRPr="00883AA5">
        <w:rPr>
          <w:rFonts w:ascii="Arial" w:eastAsia="SimSun" w:hAnsi="Arial" w:cs="Arial"/>
          <w:kern w:val="0"/>
          <w:sz w:val="20"/>
          <w:szCs w:val="20"/>
        </w:rPr>
        <w:t>.</w:t>
      </w:r>
      <w:r w:rsidRPr="00883AA5">
        <w:rPr>
          <w:rFonts w:ascii="Arial" w:eastAsia="SimSun" w:hAnsi="Arial" w:cs="Arial"/>
          <w:kern w:val="0"/>
          <w:sz w:val="20"/>
          <w:szCs w:val="20"/>
          <w:lang w:eastAsia="en-US"/>
        </w:rPr>
        <w:t xml:space="preserve">PVP </w:t>
      </w:r>
      <w:r w:rsidRPr="00883AA5">
        <w:rPr>
          <w:rFonts w:ascii="Arial" w:eastAsia="SimSun" w:hAnsi="Arial" w:cs="Arial"/>
          <w:kern w:val="0"/>
          <w:sz w:val="20"/>
          <w:szCs w:val="20"/>
        </w:rPr>
        <w:t>K90</w:t>
      </w:r>
      <w:r w:rsidRPr="00883AA5">
        <w:rPr>
          <w:rFonts w:ascii="Arial" w:eastAsia="SimSun" w:hAnsi="Arial" w:cs="Arial"/>
          <w:kern w:val="0"/>
          <w:sz w:val="20"/>
          <w:szCs w:val="20"/>
          <w:lang w:eastAsia="en-US"/>
        </w:rPr>
        <w:t xml:space="preserve">(catalog number: </w:t>
      </w:r>
      <w:r w:rsidRPr="00883AA5">
        <w:rPr>
          <w:rFonts w:ascii="Arial" w:eastAsia="SimSun" w:hAnsi="Arial" w:cs="Arial"/>
          <w:sz w:val="20"/>
          <w:szCs w:val="20"/>
        </w:rPr>
        <w:t>180717143933</w:t>
      </w:r>
      <w:r w:rsidRPr="00883AA5">
        <w:rPr>
          <w:rFonts w:ascii="Arial" w:eastAsia="SimSun" w:hAnsi="Arial" w:cs="Arial"/>
          <w:kern w:val="0"/>
          <w:sz w:val="20"/>
          <w:szCs w:val="20"/>
          <w:lang w:eastAsia="en-US"/>
        </w:rPr>
        <w:t>)</w:t>
      </w:r>
      <w:r w:rsidR="008A1818" w:rsidRPr="00883AA5">
        <w:rPr>
          <w:rFonts w:ascii="Arial" w:hAnsi="Arial" w:cs="Arial"/>
          <w:sz w:val="20"/>
          <w:szCs w:val="20"/>
        </w:rPr>
        <w:t xml:space="preserve"> </w:t>
      </w:r>
      <w:r w:rsidR="008A1818" w:rsidRPr="00883AA5">
        <w:rPr>
          <w:rFonts w:ascii="Arial" w:eastAsia="SimSun" w:hAnsi="Arial" w:cs="Arial"/>
          <w:kern w:val="0"/>
          <w:sz w:val="20"/>
          <w:szCs w:val="20"/>
          <w:lang w:eastAsia="en-US"/>
        </w:rPr>
        <w:t xml:space="preserve">Beijing </w:t>
      </w:r>
      <w:proofErr w:type="spellStart"/>
      <w:r w:rsidR="008A1818" w:rsidRPr="00883AA5">
        <w:rPr>
          <w:rFonts w:ascii="Arial" w:eastAsia="SimSun" w:hAnsi="Arial" w:cs="Arial"/>
          <w:kern w:val="0"/>
          <w:sz w:val="20"/>
          <w:szCs w:val="20"/>
          <w:lang w:eastAsia="en-US"/>
        </w:rPr>
        <w:t>Fengli</w:t>
      </w:r>
      <w:proofErr w:type="spellEnd"/>
      <w:r w:rsidR="008A1818" w:rsidRPr="00883AA5">
        <w:rPr>
          <w:rFonts w:ascii="Arial" w:eastAsia="SimSun" w:hAnsi="Arial" w:cs="Arial"/>
          <w:kern w:val="0"/>
          <w:sz w:val="20"/>
          <w:szCs w:val="20"/>
          <w:lang w:eastAsia="en-US"/>
        </w:rPr>
        <w:t xml:space="preserve"> </w:t>
      </w:r>
      <w:proofErr w:type="spellStart"/>
      <w:r w:rsidR="008A1818" w:rsidRPr="00883AA5">
        <w:rPr>
          <w:rFonts w:ascii="Arial" w:eastAsia="SimSun" w:hAnsi="Arial" w:cs="Arial"/>
          <w:kern w:val="0"/>
          <w:sz w:val="20"/>
          <w:szCs w:val="20"/>
          <w:lang w:eastAsia="en-US"/>
        </w:rPr>
        <w:t>Jingqiu</w:t>
      </w:r>
      <w:proofErr w:type="spellEnd"/>
      <w:r w:rsidR="008A1818" w:rsidRPr="00883AA5">
        <w:rPr>
          <w:rFonts w:ascii="Arial" w:eastAsia="SimSun" w:hAnsi="Arial" w:cs="Arial"/>
          <w:kern w:val="0"/>
          <w:sz w:val="20"/>
          <w:szCs w:val="20"/>
          <w:lang w:eastAsia="en-US"/>
        </w:rPr>
        <w:t xml:space="preserve"> Pharmaceutical</w:t>
      </w:r>
      <w:r w:rsidRPr="00883AA5">
        <w:rPr>
          <w:rFonts w:ascii="Arial" w:eastAsia="SimSun" w:hAnsi="Arial" w:cs="Arial"/>
          <w:kern w:val="0"/>
          <w:sz w:val="20"/>
          <w:szCs w:val="20"/>
          <w:lang w:eastAsia="en-US"/>
        </w:rPr>
        <w:t xml:space="preserve"> Co., Ltd. </w:t>
      </w:r>
      <w:bookmarkStart w:id="11" w:name="_Hlk220264512"/>
      <w:r w:rsidRPr="00883AA5">
        <w:rPr>
          <w:rFonts w:ascii="Arial" w:eastAsia="SimSun" w:hAnsi="Arial" w:cs="Arial"/>
          <w:kern w:val="0"/>
          <w:sz w:val="20"/>
          <w:szCs w:val="20"/>
          <w:lang w:eastAsia="en-US"/>
        </w:rPr>
        <w:t xml:space="preserve">PEG </w:t>
      </w:r>
      <w:r w:rsidRPr="00883AA5">
        <w:rPr>
          <w:rFonts w:ascii="Arial" w:eastAsia="SimSun" w:hAnsi="Arial" w:cs="Arial"/>
          <w:kern w:val="0"/>
          <w:sz w:val="20"/>
          <w:szCs w:val="20"/>
        </w:rPr>
        <w:t>4</w:t>
      </w:r>
      <w:r w:rsidRPr="00883AA5">
        <w:rPr>
          <w:rFonts w:ascii="Arial" w:eastAsia="SimSun" w:hAnsi="Arial" w:cs="Arial"/>
          <w:kern w:val="0"/>
          <w:sz w:val="20"/>
          <w:szCs w:val="20"/>
          <w:lang w:eastAsia="en-US"/>
        </w:rPr>
        <w:t xml:space="preserve">000 (catalog number: </w:t>
      </w:r>
      <w:r w:rsidRPr="00883AA5">
        <w:rPr>
          <w:rFonts w:ascii="Arial" w:eastAsia="SimSun" w:hAnsi="Arial" w:cs="Arial"/>
          <w:sz w:val="20"/>
          <w:szCs w:val="20"/>
        </w:rPr>
        <w:t>817006</w:t>
      </w:r>
      <w:r w:rsidRPr="00883AA5">
        <w:rPr>
          <w:rFonts w:ascii="Arial" w:eastAsia="SimSun" w:hAnsi="Arial" w:cs="Arial"/>
          <w:kern w:val="0"/>
          <w:sz w:val="20"/>
          <w:szCs w:val="20"/>
          <w:lang w:eastAsia="en-US"/>
        </w:rPr>
        <w:t>)</w:t>
      </w:r>
      <w:bookmarkEnd w:id="11"/>
      <w:r w:rsidRPr="00883AA5">
        <w:rPr>
          <w:rFonts w:ascii="Arial" w:eastAsia="SimSun" w:hAnsi="Arial" w:cs="Arial"/>
          <w:kern w:val="0"/>
          <w:sz w:val="20"/>
          <w:szCs w:val="20"/>
          <w:lang w:eastAsia="en-US"/>
        </w:rPr>
        <w:t xml:space="preserve">, PEG </w:t>
      </w:r>
      <w:r w:rsidRPr="00883AA5">
        <w:rPr>
          <w:rFonts w:ascii="Arial" w:eastAsia="SimSun" w:hAnsi="Arial" w:cs="Arial"/>
          <w:kern w:val="0"/>
          <w:sz w:val="20"/>
          <w:szCs w:val="20"/>
        </w:rPr>
        <w:t>6</w:t>
      </w:r>
      <w:r w:rsidRPr="00883AA5">
        <w:rPr>
          <w:rFonts w:ascii="Arial" w:eastAsia="SimSun" w:hAnsi="Arial" w:cs="Arial"/>
          <w:kern w:val="0"/>
          <w:sz w:val="20"/>
          <w:szCs w:val="20"/>
          <w:lang w:eastAsia="en-US"/>
        </w:rPr>
        <w:t xml:space="preserve">000 (catalog number: </w:t>
      </w:r>
      <w:r w:rsidRPr="00883AA5">
        <w:rPr>
          <w:rFonts w:ascii="Arial" w:eastAsia="SimSun" w:hAnsi="Arial" w:cs="Arial"/>
          <w:sz w:val="20"/>
          <w:szCs w:val="20"/>
        </w:rPr>
        <w:t>807491</w:t>
      </w:r>
      <w:r w:rsidRPr="00883AA5">
        <w:rPr>
          <w:rFonts w:ascii="Arial" w:eastAsia="SimSun" w:hAnsi="Arial" w:cs="Arial"/>
          <w:kern w:val="0"/>
          <w:sz w:val="20"/>
          <w:szCs w:val="20"/>
          <w:lang w:eastAsia="en-US"/>
        </w:rPr>
        <w:t>)</w:t>
      </w:r>
      <w:r w:rsidR="008A1818" w:rsidRPr="00883AA5">
        <w:rPr>
          <w:rFonts w:ascii="Arial" w:eastAsia="SimSun" w:hAnsi="Arial" w:cs="Arial" w:hint="eastAsia"/>
          <w:kern w:val="0"/>
          <w:sz w:val="20"/>
          <w:szCs w:val="20"/>
        </w:rPr>
        <w:t>,</w:t>
      </w:r>
      <w:r w:rsidRPr="00883AA5">
        <w:rPr>
          <w:rFonts w:ascii="Arial" w:hAnsi="Arial" w:cs="Arial"/>
          <w:sz w:val="20"/>
          <w:szCs w:val="20"/>
        </w:rPr>
        <w:t xml:space="preserve"> </w:t>
      </w:r>
      <w:r w:rsidRPr="00883AA5">
        <w:rPr>
          <w:rFonts w:ascii="Arial" w:eastAsia="SimSun" w:hAnsi="Arial" w:cs="Arial"/>
          <w:kern w:val="0"/>
          <w:sz w:val="20"/>
          <w:szCs w:val="20"/>
          <w:lang w:eastAsia="en-US"/>
        </w:rPr>
        <w:t xml:space="preserve">Wuxi </w:t>
      </w:r>
      <w:proofErr w:type="spellStart"/>
      <w:r w:rsidRPr="00883AA5">
        <w:rPr>
          <w:rFonts w:ascii="Arial" w:eastAsia="SimSun" w:hAnsi="Arial" w:cs="Arial"/>
          <w:kern w:val="0"/>
          <w:sz w:val="20"/>
          <w:szCs w:val="20"/>
          <w:lang w:eastAsia="en-US"/>
        </w:rPr>
        <w:t>Yatai</w:t>
      </w:r>
      <w:proofErr w:type="spellEnd"/>
      <w:r w:rsidRPr="00883AA5">
        <w:rPr>
          <w:rFonts w:ascii="Arial" w:eastAsia="SimSun" w:hAnsi="Arial" w:cs="Arial"/>
          <w:kern w:val="0"/>
          <w:sz w:val="20"/>
          <w:szCs w:val="20"/>
          <w:lang w:eastAsia="en-US"/>
        </w:rPr>
        <w:t xml:space="preserve"> United Chemical </w:t>
      </w:r>
      <w:bookmarkStart w:id="12" w:name="_Hlk220264719"/>
      <w:r w:rsidRPr="00883AA5">
        <w:rPr>
          <w:rFonts w:ascii="Arial" w:eastAsia="SimSun" w:hAnsi="Arial" w:cs="Arial"/>
          <w:kern w:val="0"/>
          <w:sz w:val="20"/>
          <w:szCs w:val="20"/>
          <w:lang w:eastAsia="en-US"/>
        </w:rPr>
        <w:t>Co.</w:t>
      </w:r>
      <w:r w:rsidRPr="00883AA5">
        <w:rPr>
          <w:rFonts w:ascii="Arial" w:eastAsia="SimSun" w:hAnsi="Arial" w:cs="Arial"/>
          <w:kern w:val="0"/>
          <w:sz w:val="20"/>
          <w:szCs w:val="20"/>
        </w:rPr>
        <w:t>,</w:t>
      </w:r>
      <w:r w:rsidRPr="00883AA5">
        <w:rPr>
          <w:rFonts w:ascii="Arial" w:eastAsia="SimSun" w:hAnsi="Arial" w:cs="Arial"/>
          <w:kern w:val="0"/>
          <w:sz w:val="20"/>
          <w:szCs w:val="20"/>
          <w:lang w:eastAsia="en-US"/>
        </w:rPr>
        <w:t xml:space="preserve"> Ltd</w:t>
      </w:r>
      <w:bookmarkEnd w:id="12"/>
      <w:r w:rsidRPr="00883AA5">
        <w:rPr>
          <w:rFonts w:ascii="Arial" w:eastAsia="SimSun" w:hAnsi="Arial" w:cs="Arial"/>
          <w:kern w:val="0"/>
          <w:sz w:val="20"/>
          <w:szCs w:val="20"/>
        </w:rPr>
        <w:t>.</w:t>
      </w:r>
    </w:p>
    <w:p w14:paraId="4FBDF936" w14:textId="5D6406F9" w:rsidR="00CD3765" w:rsidRPr="00883AA5" w:rsidRDefault="00CD3765" w:rsidP="00CD3765">
      <w:pPr>
        <w:keepNext/>
        <w:widowControl/>
        <w:spacing w:before="240" w:after="60" w:line="480" w:lineRule="auto"/>
        <w:jc w:val="left"/>
        <w:outlineLvl w:val="1"/>
        <w:rPr>
          <w:rFonts w:ascii="Arial" w:eastAsia="DengXian" w:hAnsi="Arial" w:cs="Arial"/>
          <w:b/>
          <w:bCs/>
          <w:i/>
          <w:iCs/>
          <w:kern w:val="0"/>
          <w:sz w:val="28"/>
          <w:szCs w:val="28"/>
          <w:lang w:eastAsia="en-US"/>
        </w:rPr>
      </w:pPr>
      <w:r w:rsidRPr="00883AA5">
        <w:rPr>
          <w:rFonts w:ascii="Arial" w:eastAsia="DengXian" w:hAnsi="Arial" w:cs="Arial" w:hint="eastAsia"/>
          <w:b/>
          <w:bCs/>
          <w:i/>
          <w:iCs/>
          <w:kern w:val="0"/>
          <w:sz w:val="28"/>
          <w:szCs w:val="28"/>
          <w:lang w:eastAsia="en-US"/>
        </w:rPr>
        <w:t>Carrier</w:t>
      </w:r>
      <w:r w:rsidRPr="00883AA5">
        <w:rPr>
          <w:rFonts w:ascii="Arial" w:eastAsia="DengXian" w:hAnsi="Arial" w:cs="Arial"/>
          <w:b/>
          <w:bCs/>
          <w:i/>
          <w:iCs/>
          <w:kern w:val="0"/>
          <w:sz w:val="28"/>
          <w:szCs w:val="28"/>
          <w:lang w:eastAsia="en-US"/>
        </w:rPr>
        <w:t xml:space="preserve"> screening</w:t>
      </w:r>
      <w:r w:rsidR="007409BE" w:rsidRPr="00883AA5">
        <w:t xml:space="preserve"> </w:t>
      </w:r>
    </w:p>
    <w:p w14:paraId="4FF9479C" w14:textId="2A64103B" w:rsidR="00CD3765" w:rsidRPr="00883AA5" w:rsidRDefault="002B363F" w:rsidP="00CD3765">
      <w:pPr>
        <w:keepNext/>
        <w:widowControl/>
        <w:spacing w:before="240" w:after="60" w:line="480" w:lineRule="auto"/>
        <w:jc w:val="left"/>
        <w:outlineLvl w:val="2"/>
        <w:rPr>
          <w:rFonts w:ascii="Arial" w:eastAsia="DengXian" w:hAnsi="Arial" w:cs="Arial"/>
          <w:b/>
          <w:bCs/>
          <w:kern w:val="0"/>
          <w:sz w:val="26"/>
          <w:szCs w:val="26"/>
          <w:lang w:eastAsia="en-US"/>
        </w:rPr>
      </w:pPr>
      <w:bookmarkStart w:id="13" w:name="_Hlk212412970"/>
      <w:bookmarkEnd w:id="4"/>
      <w:r w:rsidRPr="00883AA5">
        <w:rPr>
          <w:rFonts w:ascii="Arial" w:eastAsia="DengXian" w:hAnsi="Arial" w:cs="Arial" w:hint="eastAsia"/>
          <w:b/>
          <w:bCs/>
          <w:kern w:val="0"/>
          <w:sz w:val="26"/>
          <w:szCs w:val="26"/>
          <w:lang w:eastAsia="en-US"/>
        </w:rPr>
        <w:t xml:space="preserve">Preparation of </w:t>
      </w:r>
      <w:r w:rsidRPr="00883AA5">
        <w:rPr>
          <w:rFonts w:ascii="Arial" w:eastAsia="DengXian" w:hAnsi="Arial" w:cs="Arial" w:hint="eastAsia"/>
          <w:b/>
          <w:bCs/>
          <w:kern w:val="0"/>
          <w:sz w:val="26"/>
          <w:szCs w:val="26"/>
        </w:rPr>
        <w:t xml:space="preserve">Dio </w:t>
      </w:r>
      <w:r w:rsidRPr="00883AA5">
        <w:rPr>
          <w:rFonts w:ascii="Arial" w:eastAsia="DengXian" w:hAnsi="Arial" w:cs="Arial" w:hint="eastAsia"/>
          <w:b/>
          <w:bCs/>
          <w:kern w:val="0"/>
          <w:sz w:val="26"/>
          <w:szCs w:val="26"/>
          <w:lang w:eastAsia="en-US"/>
        </w:rPr>
        <w:t>binary solid dispersions</w:t>
      </w:r>
      <w:r w:rsidR="00CD3765" w:rsidRPr="00883AA5">
        <w:rPr>
          <w:rFonts w:ascii="Arial" w:eastAsia="DengXian" w:hAnsi="Arial" w:cs="Arial"/>
          <w:b/>
          <w:bCs/>
          <w:kern w:val="0"/>
          <w:sz w:val="26"/>
          <w:szCs w:val="26"/>
          <w:lang w:eastAsia="en-US"/>
        </w:rPr>
        <w:t xml:space="preserve"> (</w:t>
      </w:r>
      <w:r w:rsidRPr="00883AA5">
        <w:rPr>
          <w:rFonts w:ascii="Arial" w:eastAsia="DengXian" w:hAnsi="Arial" w:cs="Arial" w:hint="eastAsia"/>
          <w:b/>
          <w:bCs/>
          <w:kern w:val="0"/>
          <w:sz w:val="26"/>
          <w:szCs w:val="26"/>
        </w:rPr>
        <w:t>Dio-SD</w:t>
      </w:r>
      <w:r w:rsidR="00CD3765" w:rsidRPr="00883AA5">
        <w:rPr>
          <w:rFonts w:ascii="Arial" w:eastAsia="DengXian" w:hAnsi="Arial" w:cs="Arial"/>
          <w:b/>
          <w:bCs/>
          <w:kern w:val="0"/>
          <w:sz w:val="26"/>
          <w:szCs w:val="26"/>
          <w:lang w:eastAsia="en-US"/>
        </w:rPr>
        <w:t>s)</w:t>
      </w:r>
      <w:r w:rsidR="00E83835" w:rsidRPr="00883AA5">
        <w:rPr>
          <w:rFonts w:hint="eastAsia"/>
        </w:rPr>
        <w:t xml:space="preserve"> </w:t>
      </w:r>
    </w:p>
    <w:bookmarkEnd w:id="13"/>
    <w:p w14:paraId="552FE0D8" w14:textId="71B11286" w:rsidR="00E83835" w:rsidRPr="00883AA5" w:rsidRDefault="00E83835" w:rsidP="00473B04">
      <w:pPr>
        <w:widowControl/>
        <w:spacing w:line="480" w:lineRule="auto"/>
        <w:ind w:firstLineChars="200" w:firstLine="400"/>
        <w:rPr>
          <w:rFonts w:ascii="Arial" w:eastAsia="SimSun" w:hAnsi="Arial" w:cs="Arial"/>
          <w:kern w:val="0"/>
          <w:sz w:val="20"/>
          <w:szCs w:val="20"/>
          <w:lang w:eastAsia="en-US"/>
        </w:rPr>
      </w:pPr>
      <w:r w:rsidRPr="00883AA5">
        <w:rPr>
          <w:rFonts w:ascii="Arial" w:eastAsia="SimSun" w:hAnsi="Arial" w:cs="Arial"/>
          <w:kern w:val="0"/>
          <w:sz w:val="20"/>
          <w:szCs w:val="20"/>
          <w:lang w:eastAsia="en-US"/>
        </w:rPr>
        <w:t xml:space="preserve">The Dio was precisely weighed and mixed with different carriers at a Dio-to-carrier ratio of 1:9, including PEG 2000, PEG 4000, PEG 6000, PVP VA64, Poloxamer 188 (P188), Poloxamer 407 (P407), PVP K30, PVP K90, HPMC E5, HPMC E15, HPMC E30, HPMC E50, and </w:t>
      </w:r>
      <w:proofErr w:type="spellStart"/>
      <w:r w:rsidRPr="00883AA5">
        <w:rPr>
          <w:rFonts w:ascii="Arial" w:eastAsia="SimSun" w:hAnsi="Arial" w:cs="Arial"/>
          <w:kern w:val="0"/>
          <w:sz w:val="20"/>
          <w:szCs w:val="20"/>
          <w:lang w:eastAsia="en-US"/>
        </w:rPr>
        <w:t>Soluplus</w:t>
      </w:r>
      <w:proofErr w:type="spellEnd"/>
      <w:r w:rsidRPr="00883AA5">
        <w:rPr>
          <w:rFonts w:ascii="Arial" w:eastAsia="SimSun" w:hAnsi="Arial" w:cs="Arial"/>
          <w:kern w:val="0"/>
          <w:sz w:val="20"/>
          <w:szCs w:val="20"/>
          <w:lang w:eastAsia="en-US"/>
        </w:rPr>
        <w:t>.</w:t>
      </w:r>
      <w:r w:rsidRPr="00883AA5">
        <w:rPr>
          <w:rFonts w:ascii="Arial" w:eastAsia="SimSun" w:hAnsi="Arial" w:cs="Arial" w:hint="eastAsia"/>
          <w:kern w:val="0"/>
          <w:sz w:val="20"/>
          <w:szCs w:val="20"/>
        </w:rPr>
        <w:t xml:space="preserve"> </w:t>
      </w:r>
      <w:r w:rsidRPr="00883AA5">
        <w:rPr>
          <w:rFonts w:ascii="Arial" w:eastAsia="SimSun" w:hAnsi="Arial" w:cs="Arial"/>
          <w:kern w:val="0"/>
          <w:sz w:val="20"/>
          <w:szCs w:val="20"/>
          <w:lang w:eastAsia="en-US"/>
        </w:rPr>
        <w:t>The mixture was then sonicated in 1:1 v/v dichloromethane and anhydrous ethanol until complete dissolution. The solvent was removed using a rotary evaporator (55-60 °C, 45 min), and the residue was frozen at -20 °C for 30 min before it was dried in a vacuum oven overnight (60 °C, 0.22 Pa). The dried material was finely ground and passed through a 60-mesh sieve to give a white powder referred to as Dio-SDs.</w:t>
      </w:r>
    </w:p>
    <w:p w14:paraId="46D56E2D" w14:textId="61A54F41" w:rsidR="00BF2AA3" w:rsidRPr="00883AA5" w:rsidRDefault="002543A5" w:rsidP="00E83835">
      <w:pPr>
        <w:widowControl/>
        <w:spacing w:line="480" w:lineRule="auto"/>
        <w:rPr>
          <w:rFonts w:ascii="Arial" w:eastAsia="DengXian" w:hAnsi="Arial" w:cs="Arial"/>
          <w:b/>
          <w:bCs/>
          <w:kern w:val="0"/>
          <w:sz w:val="26"/>
          <w:szCs w:val="26"/>
          <w:lang w:eastAsia="en-US"/>
        </w:rPr>
      </w:pPr>
      <w:bookmarkStart w:id="14" w:name="_Hlk219728126"/>
      <w:bookmarkStart w:id="15" w:name="_Hlk219712475"/>
      <w:r w:rsidRPr="00883AA5">
        <w:rPr>
          <w:rFonts w:ascii="Arial" w:eastAsia="DengXian" w:hAnsi="Arial" w:cs="Arial" w:hint="eastAsia"/>
          <w:b/>
          <w:bCs/>
          <w:kern w:val="0"/>
          <w:sz w:val="26"/>
          <w:szCs w:val="26"/>
        </w:rPr>
        <w:t>S</w:t>
      </w:r>
      <w:r w:rsidR="00BF2AA3" w:rsidRPr="00883AA5">
        <w:rPr>
          <w:rFonts w:ascii="Arial" w:eastAsia="DengXian" w:hAnsi="Arial" w:cs="Arial" w:hint="eastAsia"/>
          <w:b/>
          <w:bCs/>
          <w:kern w:val="0"/>
          <w:sz w:val="26"/>
          <w:szCs w:val="26"/>
          <w:lang w:eastAsia="en-US"/>
        </w:rPr>
        <w:t>olubility</w:t>
      </w:r>
      <w:r w:rsidRPr="00883AA5">
        <w:rPr>
          <w:rFonts w:ascii="Arial" w:eastAsia="DengXian" w:hAnsi="Arial" w:cs="Arial" w:hint="eastAsia"/>
          <w:b/>
          <w:bCs/>
          <w:kern w:val="0"/>
          <w:sz w:val="26"/>
          <w:szCs w:val="26"/>
          <w:lang w:eastAsia="en-US"/>
        </w:rPr>
        <w:t xml:space="preserve"> Determination</w:t>
      </w:r>
      <w:r w:rsidR="00BF2AA3" w:rsidRPr="00883AA5">
        <w:rPr>
          <w:rFonts w:ascii="Arial" w:eastAsia="DengXian" w:hAnsi="Arial" w:cs="Arial" w:hint="eastAsia"/>
          <w:b/>
          <w:bCs/>
          <w:kern w:val="0"/>
          <w:sz w:val="26"/>
          <w:szCs w:val="26"/>
          <w:lang w:eastAsia="en-US"/>
        </w:rPr>
        <w:t xml:space="preserve"> of Dio-SDs</w:t>
      </w:r>
    </w:p>
    <w:bookmarkEnd w:id="14"/>
    <w:p w14:paraId="0DD4F154" w14:textId="0480D5AA" w:rsidR="002543A5" w:rsidRPr="00883AA5" w:rsidRDefault="002543A5" w:rsidP="00473B04">
      <w:pPr>
        <w:widowControl/>
        <w:spacing w:line="480" w:lineRule="auto"/>
        <w:ind w:firstLineChars="200" w:firstLine="400"/>
        <w:rPr>
          <w:rFonts w:ascii="Arial" w:eastAsia="DengXian" w:hAnsi="Arial" w:cs="Times New Roman"/>
          <w:kern w:val="0"/>
          <w:sz w:val="20"/>
          <w:szCs w:val="24"/>
        </w:rPr>
      </w:pPr>
      <w:r w:rsidRPr="00883AA5">
        <w:rPr>
          <w:rFonts w:ascii="Arial" w:eastAsia="DengXian" w:hAnsi="Arial" w:cs="Times New Roman"/>
          <w:kern w:val="0"/>
          <w:sz w:val="20"/>
          <w:szCs w:val="24"/>
          <w:lang w:eastAsia="en-US"/>
        </w:rPr>
        <w:lastRenderedPageBreak/>
        <w:t xml:space="preserve">An excess amount of Dio-SDs was added to 5 mL of deionized water in a 10 mL EP tube. The mixture was shaken in a thermostatically controlled water-bath shaker at 37 °C and 150 rpm for 48 hours. After equilibration, the samples were centrifuged at 12,000 rpm for 10 minutes using a high-speed centrifuge. The supernatant was then collected, filtered through a 0.45 </w:t>
      </w:r>
      <w:proofErr w:type="spellStart"/>
      <w:r w:rsidRPr="00883AA5">
        <w:rPr>
          <w:rFonts w:ascii="Arial" w:eastAsia="DengXian" w:hAnsi="Arial" w:cs="Times New Roman"/>
          <w:kern w:val="0"/>
          <w:sz w:val="20"/>
          <w:szCs w:val="24"/>
          <w:lang w:eastAsia="en-US"/>
        </w:rPr>
        <w:t>μm</w:t>
      </w:r>
      <w:proofErr w:type="spellEnd"/>
      <w:r w:rsidRPr="00883AA5">
        <w:rPr>
          <w:rFonts w:ascii="Arial" w:eastAsia="DengXian" w:hAnsi="Arial" w:cs="Times New Roman"/>
          <w:kern w:val="0"/>
          <w:sz w:val="20"/>
          <w:szCs w:val="24"/>
          <w:lang w:eastAsia="en-US"/>
        </w:rPr>
        <w:t xml:space="preserve"> microporous membrane. The resulting solution was analyzed on a </w:t>
      </w:r>
      <w:proofErr w:type="spellStart"/>
      <w:r w:rsidRPr="00883AA5">
        <w:rPr>
          <w:rFonts w:ascii="Arial" w:eastAsia="DengXian" w:hAnsi="Arial" w:cs="Times New Roman"/>
          <w:kern w:val="0"/>
          <w:sz w:val="20"/>
          <w:szCs w:val="24"/>
          <w:lang w:eastAsia="en-US"/>
        </w:rPr>
        <w:t>WondaSil</w:t>
      </w:r>
      <w:proofErr w:type="spellEnd"/>
      <w:r w:rsidRPr="00883AA5">
        <w:rPr>
          <w:rFonts w:ascii="Arial" w:eastAsia="DengXian" w:hAnsi="Arial" w:cs="Times New Roman"/>
          <w:kern w:val="0"/>
          <w:sz w:val="20"/>
          <w:szCs w:val="24"/>
          <w:lang w:eastAsia="en-US"/>
        </w:rPr>
        <w:t xml:space="preserve"> C18 column (4.6 mm × 150 mm, 5 </w:t>
      </w:r>
      <w:proofErr w:type="spellStart"/>
      <w:r w:rsidRPr="00883AA5">
        <w:rPr>
          <w:rFonts w:ascii="Arial" w:eastAsia="DengXian" w:hAnsi="Arial" w:cs="Times New Roman"/>
          <w:kern w:val="0"/>
          <w:sz w:val="20"/>
          <w:szCs w:val="24"/>
          <w:lang w:eastAsia="en-US"/>
        </w:rPr>
        <w:t>μm</w:t>
      </w:r>
      <w:proofErr w:type="spellEnd"/>
      <w:r w:rsidRPr="00883AA5">
        <w:rPr>
          <w:rFonts w:ascii="Arial" w:eastAsia="DengXian" w:hAnsi="Arial" w:cs="Times New Roman"/>
          <w:kern w:val="0"/>
          <w:sz w:val="20"/>
          <w:szCs w:val="24"/>
          <w:lang w:eastAsia="en-US"/>
        </w:rPr>
        <w:t>, Shimadzu, Tokyo, Japan) using an Agilent 1260 HPLC instrument (Agilent, Shanghai, China) under the following conditions: mobile phase, 12:88 v/v water/acetonitrile; flow rate, 1.0 mL/min; column temperature, 30 °C; detection wavelength, 203 nm.</w:t>
      </w:r>
    </w:p>
    <w:p w14:paraId="04C3AD62" w14:textId="77777777" w:rsidR="00473B04" w:rsidRDefault="00E83835" w:rsidP="00473B04">
      <w:pPr>
        <w:widowControl/>
        <w:spacing w:line="480" w:lineRule="auto"/>
        <w:rPr>
          <w:rFonts w:ascii="Arial" w:eastAsia="DengXian" w:hAnsi="Arial" w:cs="Arial"/>
          <w:b/>
          <w:bCs/>
          <w:kern w:val="0"/>
          <w:sz w:val="26"/>
          <w:szCs w:val="26"/>
        </w:rPr>
      </w:pPr>
      <w:r w:rsidRPr="00883AA5">
        <w:rPr>
          <w:rFonts w:ascii="Arial" w:eastAsia="DengXian" w:hAnsi="Arial" w:cs="Arial" w:hint="eastAsia"/>
          <w:b/>
          <w:bCs/>
          <w:kern w:val="0"/>
          <w:sz w:val="26"/>
          <w:szCs w:val="26"/>
          <w:lang w:eastAsia="en-US"/>
        </w:rPr>
        <w:t>Dissolution determination of Dio-SDs</w:t>
      </w:r>
      <w:r w:rsidR="00BF2AA3" w:rsidRPr="00883AA5">
        <w:rPr>
          <w:rFonts w:hint="eastAsia"/>
        </w:rPr>
        <w:t xml:space="preserve"> </w:t>
      </w:r>
      <w:bookmarkEnd w:id="15"/>
    </w:p>
    <w:p w14:paraId="7CF31326" w14:textId="3852B16D" w:rsidR="0077372B" w:rsidRPr="0077372B" w:rsidRDefault="00E83835" w:rsidP="0077372B">
      <w:pPr>
        <w:widowControl/>
        <w:spacing w:line="480" w:lineRule="auto"/>
        <w:ind w:firstLineChars="200" w:firstLine="400"/>
        <w:rPr>
          <w:rFonts w:ascii="Arial" w:eastAsia="DengXian" w:hAnsi="Arial" w:cs="Times New Roman"/>
          <w:kern w:val="0"/>
          <w:sz w:val="20"/>
          <w:szCs w:val="24"/>
        </w:rPr>
      </w:pPr>
      <w:r w:rsidRPr="00883AA5">
        <w:rPr>
          <w:rFonts w:ascii="Arial" w:eastAsia="DengXian" w:hAnsi="Arial" w:cs="Times New Roman"/>
          <w:kern w:val="0"/>
          <w:sz w:val="20"/>
          <w:szCs w:val="24"/>
          <w:lang w:eastAsia="en-US"/>
        </w:rPr>
        <w:t>Under the sink condition, an appropriate amount of Dio-SDs (equivalent to 5 mg Dio) was added into 0.1% SDS (900 mL). The mixture was maintained at 37 °C with a stirring speed of 75 rpm, and aliquots (5 mL) were collected at 5, 10, 15, 30, 45, 60, 90, and 120 min.</w:t>
      </w:r>
      <w:r w:rsidR="007E2A88" w:rsidRPr="00883AA5">
        <w:rPr>
          <w:rFonts w:ascii="Arial" w:eastAsia="DengXian" w:hAnsi="Arial" w:cs="Times New Roman" w:hint="eastAsia"/>
          <w:kern w:val="0"/>
          <w:sz w:val="20"/>
          <w:szCs w:val="24"/>
        </w:rPr>
        <w:t xml:space="preserve"> T</w:t>
      </w:r>
      <w:r w:rsidRPr="00883AA5">
        <w:rPr>
          <w:rFonts w:ascii="Arial" w:eastAsia="DengXian" w:hAnsi="Arial" w:cs="Times New Roman"/>
          <w:kern w:val="0"/>
          <w:sz w:val="20"/>
          <w:szCs w:val="24"/>
          <w:lang w:eastAsia="en-US"/>
        </w:rPr>
        <w:t xml:space="preserve">he aliquots were passed through a 0.45 </w:t>
      </w:r>
      <w:proofErr w:type="spellStart"/>
      <w:r w:rsidRPr="00883AA5">
        <w:rPr>
          <w:rFonts w:ascii="Arial" w:eastAsia="DengXian" w:hAnsi="Arial" w:cs="Times New Roman"/>
          <w:kern w:val="0"/>
          <w:sz w:val="20"/>
          <w:szCs w:val="24"/>
          <w:lang w:eastAsia="en-US"/>
        </w:rPr>
        <w:t>μm</w:t>
      </w:r>
      <w:proofErr w:type="spellEnd"/>
      <w:r w:rsidRPr="00883AA5">
        <w:rPr>
          <w:rFonts w:ascii="Arial" w:eastAsia="DengXian" w:hAnsi="Arial" w:cs="Times New Roman"/>
          <w:kern w:val="0"/>
          <w:sz w:val="20"/>
          <w:szCs w:val="24"/>
          <w:lang w:eastAsia="en-US"/>
        </w:rPr>
        <w:t xml:space="preserve"> microporous membrane filter, and 0.1% SDS kept at 37 °C was added at an equal volume (5 mL for sink condition and 2.5 mL for non-sink condition). </w:t>
      </w:r>
      <w:bookmarkStart w:id="16" w:name="_Hlk219727569"/>
      <w:r w:rsidR="00644B17" w:rsidRPr="00883AA5">
        <w:rPr>
          <w:rFonts w:ascii="Arial" w:eastAsia="DengXian" w:hAnsi="Arial" w:cs="Times New Roman" w:hint="eastAsia"/>
          <w:kern w:val="0"/>
          <w:sz w:val="20"/>
          <w:szCs w:val="24"/>
          <w:lang w:eastAsia="en-US"/>
        </w:rPr>
        <w:t>The HPLC result analysis is the same as above</w:t>
      </w:r>
      <w:r w:rsidR="00644B17" w:rsidRPr="00883AA5">
        <w:rPr>
          <w:rFonts w:ascii="Arial" w:eastAsia="DengXian" w:hAnsi="Arial" w:cs="Times New Roman" w:hint="eastAsia"/>
          <w:kern w:val="0"/>
          <w:sz w:val="20"/>
          <w:szCs w:val="24"/>
        </w:rPr>
        <w:t>.</w:t>
      </w:r>
      <w:r w:rsidR="0077372B" w:rsidRPr="00883AA5">
        <w:rPr>
          <w:rFonts w:ascii="Arial" w:eastAsia="DengXian" w:hAnsi="Arial" w:cs="Arial"/>
          <w:b/>
          <w:bCs/>
          <w:i/>
          <w:iCs/>
          <w:kern w:val="0"/>
          <w:sz w:val="20"/>
          <w:szCs w:val="28"/>
          <w:lang w:eastAsia="en-US"/>
        </w:rPr>
        <w:t xml:space="preserve"> </w:t>
      </w:r>
    </w:p>
    <w:p w14:paraId="6575DC40" w14:textId="48A87ABD" w:rsidR="007409BE" w:rsidRPr="00883AA5" w:rsidRDefault="007409BE" w:rsidP="007409BE">
      <w:pPr>
        <w:keepNext/>
        <w:widowControl/>
        <w:spacing w:before="240" w:after="60" w:line="480" w:lineRule="auto"/>
        <w:jc w:val="left"/>
        <w:outlineLvl w:val="1"/>
        <w:rPr>
          <w:rFonts w:ascii="Arial" w:eastAsia="DengXian" w:hAnsi="Arial" w:cs="Times New Roman"/>
          <w:kern w:val="0"/>
          <w:sz w:val="20"/>
          <w:szCs w:val="24"/>
        </w:rPr>
      </w:pPr>
      <w:r w:rsidRPr="00883AA5">
        <w:rPr>
          <w:rFonts w:ascii="Arial" w:eastAsia="DengXian" w:hAnsi="Arial" w:cs="Arial"/>
          <w:b/>
          <w:bCs/>
          <w:i/>
          <w:iCs/>
          <w:kern w:val="0"/>
          <w:sz w:val="28"/>
          <w:szCs w:val="28"/>
          <w:lang w:eastAsia="en-US"/>
        </w:rPr>
        <w:t xml:space="preserve">Calculation of </w:t>
      </w:r>
      <w:bookmarkStart w:id="17" w:name="_Hlk220262044"/>
      <w:r w:rsidRPr="00883AA5">
        <w:rPr>
          <w:rFonts w:ascii="Arial" w:eastAsia="DengXian" w:hAnsi="Arial" w:cs="Arial"/>
          <w:b/>
          <w:bCs/>
          <w:i/>
          <w:iCs/>
          <w:kern w:val="0"/>
          <w:sz w:val="28"/>
          <w:szCs w:val="28"/>
          <w:lang w:eastAsia="en-US"/>
        </w:rPr>
        <w:t>Supersaturation under Non-Sink Conditions</w:t>
      </w:r>
      <w:r w:rsidRPr="00883AA5">
        <w:rPr>
          <w:rFonts w:ascii="Arial" w:eastAsia="DengXian" w:hAnsi="Arial" w:cs="Arial" w:hint="eastAsia"/>
          <w:b/>
          <w:bCs/>
          <w:i/>
          <w:iCs/>
          <w:kern w:val="0"/>
          <w:sz w:val="28"/>
          <w:szCs w:val="28"/>
          <w:lang w:eastAsia="en-US"/>
        </w:rPr>
        <w:t xml:space="preserve"> </w:t>
      </w:r>
      <w:bookmarkEnd w:id="17"/>
    </w:p>
    <w:p w14:paraId="61D5F741" w14:textId="13CBB616" w:rsidR="007409BE" w:rsidRPr="00883AA5" w:rsidRDefault="007409BE" w:rsidP="00473B04">
      <w:pPr>
        <w:widowControl/>
        <w:spacing w:line="480" w:lineRule="auto"/>
        <w:ind w:firstLineChars="200" w:firstLine="400"/>
        <w:rPr>
          <w:rFonts w:ascii="Arial" w:eastAsia="DengXian" w:hAnsi="Arial" w:cs="Times New Roman"/>
          <w:kern w:val="0"/>
          <w:sz w:val="20"/>
          <w:szCs w:val="24"/>
        </w:rPr>
      </w:pPr>
      <w:r w:rsidRPr="00883AA5">
        <w:rPr>
          <w:rFonts w:ascii="Arial" w:eastAsia="DengXian" w:hAnsi="Arial" w:cs="Times New Roman"/>
          <w:kern w:val="0"/>
          <w:sz w:val="20"/>
          <w:szCs w:val="24"/>
        </w:rPr>
        <w:t>The supersaturation ratio (S) was calculated at each time point for Dio-TSDs under non-sink conditions using the following formula:</w:t>
      </w:r>
    </w:p>
    <w:p w14:paraId="138FE1AD" w14:textId="41973B97" w:rsidR="007409BE" w:rsidRPr="00883AA5" w:rsidRDefault="007409BE" w:rsidP="007409BE">
      <w:pPr>
        <w:widowControl/>
        <w:spacing w:line="480" w:lineRule="auto"/>
        <w:rPr>
          <w:rFonts w:ascii="Arial" w:eastAsia="DengXian" w:hAnsi="Arial" w:cs="Times New Roman"/>
          <w:kern w:val="0"/>
          <w:sz w:val="20"/>
          <w:szCs w:val="24"/>
        </w:rPr>
      </w:pPr>
      <m:oMathPara>
        <m:oMath>
          <m:r>
            <w:rPr>
              <w:rFonts w:ascii="Cambria Math" w:eastAsia="DengXian" w:hAnsi="Cambria Math" w:cs="Times New Roman"/>
              <w:kern w:val="0"/>
              <w:sz w:val="20"/>
              <w:szCs w:val="24"/>
            </w:rPr>
            <m:t>S=</m:t>
          </m:r>
          <m:f>
            <m:fPr>
              <m:ctrlPr>
                <w:rPr>
                  <w:rFonts w:ascii="Cambria Math" w:eastAsia="DengXian" w:hAnsi="Cambria Math" w:cs="Times New Roman"/>
                  <w:i/>
                  <w:kern w:val="0"/>
                  <w:sz w:val="20"/>
                  <w:szCs w:val="24"/>
                </w:rPr>
              </m:ctrlPr>
            </m:fPr>
            <m:num>
              <m:sSub>
                <m:sSubPr>
                  <m:ctrlPr>
                    <w:rPr>
                      <w:rFonts w:ascii="Cambria Math" w:eastAsia="DengXian" w:hAnsi="Cambria Math" w:cs="Times New Roman"/>
                      <w:i/>
                      <w:kern w:val="0"/>
                      <w:sz w:val="20"/>
                      <w:szCs w:val="24"/>
                    </w:rPr>
                  </m:ctrlPr>
                </m:sSubPr>
                <m:e>
                  <m:r>
                    <w:rPr>
                      <w:rFonts w:ascii="Cambria Math" w:eastAsia="DengXian" w:hAnsi="Cambria Math" w:cs="Times New Roman"/>
                      <w:kern w:val="0"/>
                      <w:sz w:val="20"/>
                      <w:szCs w:val="24"/>
                    </w:rPr>
                    <m:t>C</m:t>
                  </m:r>
                </m:e>
                <m:sub>
                  <m:r>
                    <w:rPr>
                      <w:rFonts w:ascii="Cambria Math" w:eastAsia="DengXian" w:hAnsi="Cambria Math" w:cs="Times New Roman"/>
                      <w:kern w:val="0"/>
                      <w:sz w:val="20"/>
                      <w:szCs w:val="24"/>
                    </w:rPr>
                    <m:t>t</m:t>
                  </m:r>
                </m:sub>
              </m:sSub>
            </m:num>
            <m:den>
              <m:sSub>
                <m:sSubPr>
                  <m:ctrlPr>
                    <w:rPr>
                      <w:rFonts w:ascii="Cambria Math" w:eastAsia="DengXian" w:hAnsi="Cambria Math" w:cs="Times New Roman"/>
                      <w:i/>
                      <w:kern w:val="0"/>
                      <w:sz w:val="20"/>
                      <w:szCs w:val="24"/>
                    </w:rPr>
                  </m:ctrlPr>
                </m:sSubPr>
                <m:e>
                  <m:r>
                    <w:rPr>
                      <w:rFonts w:ascii="Cambria Math" w:eastAsia="DengXian" w:hAnsi="Cambria Math" w:cs="Times New Roman"/>
                      <w:kern w:val="0"/>
                      <w:sz w:val="20"/>
                      <w:szCs w:val="24"/>
                    </w:rPr>
                    <m:t>C</m:t>
                  </m:r>
                </m:e>
                <m:sub>
                  <m:r>
                    <w:rPr>
                      <w:rFonts w:ascii="Cambria Math" w:eastAsia="DengXian" w:hAnsi="Cambria Math" w:cs="Times New Roman"/>
                      <w:kern w:val="0"/>
                      <w:sz w:val="20"/>
                      <w:szCs w:val="24"/>
                    </w:rPr>
                    <m:t>S</m:t>
                  </m:r>
                </m:sub>
              </m:sSub>
            </m:den>
          </m:f>
        </m:oMath>
      </m:oMathPara>
    </w:p>
    <w:p w14:paraId="21A05B5D" w14:textId="44A551A8" w:rsidR="00E83835" w:rsidRPr="00883AA5" w:rsidRDefault="007409BE" w:rsidP="00473B04">
      <w:pPr>
        <w:widowControl/>
        <w:spacing w:line="480" w:lineRule="auto"/>
        <w:ind w:firstLineChars="200" w:firstLine="400"/>
        <w:rPr>
          <w:rFonts w:ascii="Arial" w:eastAsia="DengXian" w:hAnsi="Arial" w:cs="Times New Roman"/>
          <w:kern w:val="0"/>
          <w:sz w:val="20"/>
          <w:szCs w:val="24"/>
        </w:rPr>
      </w:pPr>
      <w:r w:rsidRPr="00883AA5">
        <w:rPr>
          <w:rFonts w:ascii="Arial" w:eastAsia="DengXian" w:hAnsi="Arial" w:cs="Times New Roman"/>
          <w:kern w:val="0"/>
          <w:sz w:val="20"/>
          <w:szCs w:val="24"/>
        </w:rPr>
        <w:t>where C</w:t>
      </w:r>
      <w:r w:rsidRPr="00883AA5">
        <w:rPr>
          <w:rFonts w:ascii="Arial" w:eastAsia="DengXian" w:hAnsi="Arial" w:cs="Times New Roman" w:hint="eastAsia"/>
          <w:bCs/>
          <w:kern w:val="0"/>
          <w:sz w:val="20"/>
          <w:szCs w:val="24"/>
          <w:vertAlign w:val="subscript"/>
          <w:lang w:val="fr-FR"/>
        </w:rPr>
        <w:t>t</w:t>
      </w:r>
      <w:r w:rsidRPr="00883AA5">
        <w:rPr>
          <w:rFonts w:ascii="Arial" w:eastAsia="DengXian" w:hAnsi="Arial" w:cs="Times New Roman"/>
          <w:kern w:val="0"/>
          <w:sz w:val="20"/>
          <w:szCs w:val="24"/>
        </w:rPr>
        <w:t xml:space="preserve"> is the concentration of the drug at time point, and C</w:t>
      </w:r>
      <w:r w:rsidRPr="00883AA5">
        <w:rPr>
          <w:rFonts w:ascii="Arial" w:hAnsi="Arial" w:cs="Arial" w:hint="eastAsia"/>
          <w:bCs/>
          <w:kern w:val="0"/>
          <w:sz w:val="20"/>
          <w:szCs w:val="20"/>
          <w:vertAlign w:val="subscript"/>
          <w:lang w:val="fr-FR"/>
        </w:rPr>
        <w:t>s</w:t>
      </w:r>
      <w:r w:rsidRPr="00883AA5">
        <w:rPr>
          <w:rFonts w:ascii="Arial" w:eastAsia="DengXian" w:hAnsi="Arial" w:cs="Times New Roman"/>
          <w:kern w:val="0"/>
          <w:sz w:val="20"/>
          <w:szCs w:val="24"/>
        </w:rPr>
        <w:t xml:space="preserve"> is the saturation concentration.</w:t>
      </w:r>
      <w:r w:rsidR="00E61D8B" w:rsidRPr="00883AA5">
        <w:t xml:space="preserve"> </w:t>
      </w:r>
      <w:r w:rsidR="00E61D8B" w:rsidRPr="00883AA5">
        <w:rPr>
          <w:rFonts w:ascii="Arial" w:eastAsia="DengXian" w:hAnsi="Arial" w:cs="Times New Roman"/>
          <w:kern w:val="0"/>
          <w:sz w:val="20"/>
          <w:szCs w:val="24"/>
        </w:rPr>
        <w:t xml:space="preserve">The supersaturation solubility of Dio-S-PVP-TSD and Dio-S-PEG-TSD was measured using the </w:t>
      </w:r>
      <w:r w:rsidR="00E61D8B" w:rsidRPr="00883AA5">
        <w:rPr>
          <w:rFonts w:ascii="Arial" w:eastAsia="DengXian" w:hAnsi="Arial" w:cs="Times New Roman"/>
          <w:kern w:val="0"/>
          <w:sz w:val="20"/>
          <w:szCs w:val="24"/>
        </w:rPr>
        <w:lastRenderedPageBreak/>
        <w:t>same method as described for the Dio-SDs formulations above.</w:t>
      </w:r>
      <w:r w:rsidR="00AC7D94" w:rsidRPr="00AC7D94">
        <w:rPr>
          <w:rFonts w:hint="eastAsia"/>
        </w:rPr>
        <w:t xml:space="preserve"> </w:t>
      </w:r>
      <w:r w:rsidR="00AC7D94" w:rsidRPr="00AC7D94">
        <w:rPr>
          <w:rFonts w:ascii="Arial" w:eastAsia="DengXian" w:hAnsi="Arial" w:cs="Times New Roman" w:hint="eastAsia"/>
          <w:kern w:val="0"/>
          <w:sz w:val="20"/>
          <w:szCs w:val="24"/>
        </w:rPr>
        <w:t>The supersaturation profiles were then used to characterize the supersaturation behavior of the two TSD formulations under non-sink conditions. To summarize overall supersaturation maintenance over time, the area under the supersaturation</w:t>
      </w:r>
      <w:r w:rsidR="00AC7D94">
        <w:rPr>
          <w:rFonts w:ascii="Arial" w:eastAsia="DengXian" w:hAnsi="Arial" w:cs="Times New Roman" w:hint="eastAsia"/>
          <w:kern w:val="0"/>
          <w:sz w:val="20"/>
          <w:szCs w:val="24"/>
        </w:rPr>
        <w:t>-</w:t>
      </w:r>
      <w:r w:rsidR="00AC7D94" w:rsidRPr="00AC7D94">
        <w:rPr>
          <w:rFonts w:ascii="Arial" w:eastAsia="DengXian" w:hAnsi="Arial" w:cs="Times New Roman" w:hint="eastAsia"/>
          <w:kern w:val="0"/>
          <w:sz w:val="20"/>
          <w:szCs w:val="24"/>
        </w:rPr>
        <w:t>time curve (AUC) was calculated as a descriptive metric. Supersaturation profiles together with AUC values were presented descriptively to compare the supersaturation-maintaining ability of the two TSD formulations.</w:t>
      </w:r>
    </w:p>
    <w:bookmarkEnd w:id="16"/>
    <w:p w14:paraId="6B80326B" w14:textId="77777777" w:rsidR="001B6E28" w:rsidRPr="00883AA5" w:rsidRDefault="001B6E28" w:rsidP="001B6E28">
      <w:pPr>
        <w:keepNext/>
        <w:widowControl/>
        <w:spacing w:before="240" w:after="60" w:line="480" w:lineRule="auto"/>
        <w:jc w:val="left"/>
        <w:outlineLvl w:val="0"/>
        <w:rPr>
          <w:rFonts w:ascii="Arial" w:eastAsia="DengXian" w:hAnsi="Arial" w:cs="Arial"/>
          <w:b/>
          <w:bCs/>
          <w:kern w:val="32"/>
          <w:sz w:val="32"/>
          <w:szCs w:val="32"/>
          <w:lang w:eastAsia="en-US"/>
        </w:rPr>
      </w:pPr>
      <w:r w:rsidRPr="00883AA5">
        <w:rPr>
          <w:rFonts w:ascii="Arial" w:eastAsia="DengXian" w:hAnsi="Arial" w:cs="Arial"/>
          <w:b/>
          <w:bCs/>
          <w:kern w:val="32"/>
          <w:sz w:val="32"/>
          <w:szCs w:val="32"/>
          <w:lang w:eastAsia="en-US"/>
        </w:rPr>
        <w:t>Results</w:t>
      </w:r>
      <w:r w:rsidRPr="00883AA5">
        <w:rPr>
          <w:rFonts w:ascii="Arial" w:eastAsia="DengXian" w:hAnsi="Arial" w:cs="Arial" w:hint="eastAsia"/>
          <w:b/>
          <w:bCs/>
          <w:kern w:val="32"/>
          <w:sz w:val="32"/>
          <w:szCs w:val="32"/>
          <w:lang w:eastAsia="en-US"/>
        </w:rPr>
        <w:t xml:space="preserve"> and d</w:t>
      </w:r>
      <w:r w:rsidRPr="00883AA5">
        <w:rPr>
          <w:rFonts w:ascii="Arial" w:eastAsia="DengXian" w:hAnsi="Arial" w:cs="Arial"/>
          <w:b/>
          <w:bCs/>
          <w:kern w:val="32"/>
          <w:sz w:val="32"/>
          <w:szCs w:val="32"/>
          <w:lang w:eastAsia="en-US"/>
        </w:rPr>
        <w:t>iscussion</w:t>
      </w:r>
    </w:p>
    <w:p w14:paraId="0D323FB0" w14:textId="77777777" w:rsidR="00644B17" w:rsidRPr="00883AA5" w:rsidRDefault="00644B17" w:rsidP="00644B17">
      <w:pPr>
        <w:keepNext/>
        <w:widowControl/>
        <w:spacing w:before="240" w:after="60" w:line="480" w:lineRule="auto"/>
        <w:jc w:val="left"/>
        <w:outlineLvl w:val="1"/>
        <w:rPr>
          <w:rFonts w:ascii="Arial" w:eastAsia="DengXian" w:hAnsi="Arial" w:cs="Arial"/>
          <w:b/>
          <w:bCs/>
          <w:i/>
          <w:iCs/>
          <w:kern w:val="0"/>
          <w:sz w:val="28"/>
          <w:szCs w:val="28"/>
          <w:lang w:eastAsia="en-US"/>
        </w:rPr>
      </w:pPr>
      <w:r w:rsidRPr="00883AA5">
        <w:rPr>
          <w:rFonts w:ascii="Arial" w:eastAsia="DengXian" w:hAnsi="Arial" w:cs="Arial" w:hint="eastAsia"/>
          <w:b/>
          <w:bCs/>
          <w:i/>
          <w:iCs/>
          <w:kern w:val="0"/>
          <w:sz w:val="28"/>
          <w:szCs w:val="28"/>
          <w:lang w:eastAsia="en-US"/>
        </w:rPr>
        <w:t>Carrier</w:t>
      </w:r>
      <w:r w:rsidRPr="00883AA5">
        <w:rPr>
          <w:rFonts w:ascii="Arial" w:eastAsia="DengXian" w:hAnsi="Arial" w:cs="Arial"/>
          <w:b/>
          <w:bCs/>
          <w:i/>
          <w:iCs/>
          <w:kern w:val="0"/>
          <w:sz w:val="28"/>
          <w:szCs w:val="28"/>
          <w:lang w:eastAsia="en-US"/>
        </w:rPr>
        <w:t xml:space="preserve"> screening</w:t>
      </w:r>
    </w:p>
    <w:p w14:paraId="167F3E58" w14:textId="0125C49B" w:rsidR="00644B17" w:rsidRPr="00883AA5" w:rsidRDefault="00644B17" w:rsidP="00644B17">
      <w:pPr>
        <w:widowControl/>
        <w:spacing w:line="480" w:lineRule="auto"/>
        <w:rPr>
          <w:rFonts w:ascii="Arial" w:eastAsia="DengXian" w:hAnsi="Arial" w:cs="Arial"/>
          <w:b/>
          <w:bCs/>
          <w:kern w:val="0"/>
          <w:sz w:val="26"/>
          <w:szCs w:val="26"/>
          <w:lang w:eastAsia="en-US"/>
        </w:rPr>
      </w:pPr>
      <w:r w:rsidRPr="00883AA5">
        <w:rPr>
          <w:rFonts w:ascii="Arial" w:eastAsia="DengXian" w:hAnsi="Arial" w:cs="Arial" w:hint="eastAsia"/>
          <w:b/>
          <w:bCs/>
          <w:kern w:val="0"/>
          <w:sz w:val="26"/>
          <w:szCs w:val="26"/>
        </w:rPr>
        <w:t>S</w:t>
      </w:r>
      <w:r w:rsidRPr="00883AA5">
        <w:rPr>
          <w:rFonts w:ascii="Arial" w:eastAsia="DengXian" w:hAnsi="Arial" w:cs="Arial" w:hint="eastAsia"/>
          <w:b/>
          <w:bCs/>
          <w:kern w:val="0"/>
          <w:sz w:val="26"/>
          <w:szCs w:val="26"/>
          <w:lang w:eastAsia="en-US"/>
        </w:rPr>
        <w:t>olubility</w:t>
      </w:r>
      <w:r w:rsidR="00C70795" w:rsidRPr="00883AA5">
        <w:rPr>
          <w:rFonts w:ascii="Arial" w:eastAsia="DengXian" w:hAnsi="Arial" w:cs="Arial" w:hint="eastAsia"/>
          <w:b/>
          <w:bCs/>
          <w:kern w:val="0"/>
          <w:sz w:val="26"/>
          <w:szCs w:val="26"/>
        </w:rPr>
        <w:t xml:space="preserve"> and dissolution</w:t>
      </w:r>
      <w:r w:rsidRPr="00883AA5">
        <w:rPr>
          <w:rFonts w:ascii="Arial" w:eastAsia="DengXian" w:hAnsi="Arial" w:cs="Arial" w:hint="eastAsia"/>
          <w:b/>
          <w:bCs/>
          <w:kern w:val="0"/>
          <w:sz w:val="26"/>
          <w:szCs w:val="26"/>
          <w:lang w:eastAsia="en-US"/>
        </w:rPr>
        <w:t xml:space="preserve"> Determination of Dio-SDs</w:t>
      </w:r>
    </w:p>
    <w:p w14:paraId="356C71CE" w14:textId="3029947D" w:rsidR="00C70795" w:rsidRPr="00883AA5" w:rsidRDefault="00C70795" w:rsidP="00473B04">
      <w:pPr>
        <w:widowControl/>
        <w:spacing w:line="480" w:lineRule="auto"/>
        <w:ind w:firstLineChars="200" w:firstLine="400"/>
        <w:rPr>
          <w:rFonts w:ascii="Arial" w:eastAsia="DengXian" w:hAnsi="Arial"/>
          <w:kern w:val="0"/>
          <w:sz w:val="20"/>
        </w:rPr>
      </w:pPr>
      <w:r w:rsidRPr="00883AA5">
        <w:rPr>
          <w:rFonts w:ascii="Arial" w:eastAsia="DengXian" w:hAnsi="Arial" w:cs="Times New Roman"/>
          <w:kern w:val="0"/>
          <w:sz w:val="20"/>
          <w:szCs w:val="24"/>
        </w:rPr>
        <w:t xml:space="preserve">Table S1 shows that, compared with the raw drug, the solubility of most Dio-SDs was increased. Based on the solubility data, the Dio-SD prepared with </w:t>
      </w:r>
      <w:proofErr w:type="spellStart"/>
      <w:r w:rsidRPr="00883AA5">
        <w:rPr>
          <w:rFonts w:ascii="Arial" w:eastAsia="DengXian" w:hAnsi="Arial" w:cs="Times New Roman"/>
          <w:kern w:val="0"/>
          <w:sz w:val="20"/>
          <w:szCs w:val="24"/>
        </w:rPr>
        <w:t>Soluplus</w:t>
      </w:r>
      <w:proofErr w:type="spellEnd"/>
      <w:r w:rsidRPr="00883AA5">
        <w:rPr>
          <w:rFonts w:ascii="Arial" w:eastAsia="DengXian" w:hAnsi="Arial" w:cs="Times New Roman"/>
          <w:kern w:val="0"/>
          <w:sz w:val="20"/>
          <w:szCs w:val="24"/>
        </w:rPr>
        <w:t xml:space="preserve"> exhibited the greatest solubilization effect, followed by those prepared with PVP VA64 and PEG 2000.</w:t>
      </w:r>
      <w:r w:rsidRPr="00883AA5">
        <w:rPr>
          <w:rFonts w:ascii="SimSun" w:eastAsia="SimSun" w:hAnsi="SimSun" w:cs="SimSun"/>
          <w:kern w:val="0"/>
          <w:sz w:val="24"/>
          <w:szCs w:val="24"/>
        </w:rPr>
        <w:t xml:space="preserve"> </w:t>
      </w:r>
      <w:r w:rsidRPr="00883AA5">
        <w:rPr>
          <w:rFonts w:ascii="Arial" w:eastAsia="DengXian" w:hAnsi="Arial"/>
          <w:kern w:val="0"/>
          <w:sz w:val="20"/>
        </w:rPr>
        <w:t xml:space="preserve">As shown in </w:t>
      </w:r>
      <w:bookmarkStart w:id="18" w:name="OLE_LINK1"/>
      <w:r w:rsidRPr="00883AA5">
        <w:rPr>
          <w:rFonts w:ascii="Arial" w:eastAsia="DengXian" w:hAnsi="Arial"/>
          <w:kern w:val="0"/>
          <w:sz w:val="20"/>
        </w:rPr>
        <w:t xml:space="preserve">Figure </w:t>
      </w:r>
      <w:r w:rsidRPr="00883AA5">
        <w:rPr>
          <w:rFonts w:ascii="Arial" w:eastAsia="DengXian" w:hAnsi="Arial" w:hint="eastAsia"/>
          <w:kern w:val="0"/>
          <w:sz w:val="20"/>
        </w:rPr>
        <w:t>S</w:t>
      </w:r>
      <w:r w:rsidRPr="00883AA5">
        <w:rPr>
          <w:rFonts w:ascii="Arial" w:eastAsia="DengXian" w:hAnsi="Arial"/>
          <w:kern w:val="0"/>
          <w:sz w:val="20"/>
        </w:rPr>
        <w:t xml:space="preserve">1, the Dio-SD prepared using </w:t>
      </w:r>
      <w:proofErr w:type="spellStart"/>
      <w:r w:rsidRPr="00883AA5">
        <w:rPr>
          <w:rFonts w:ascii="Arial" w:eastAsia="DengXian" w:hAnsi="Arial"/>
          <w:kern w:val="0"/>
          <w:sz w:val="20"/>
        </w:rPr>
        <w:t>Soluplus</w:t>
      </w:r>
      <w:proofErr w:type="spellEnd"/>
      <w:r w:rsidRPr="00883AA5">
        <w:rPr>
          <w:rFonts w:ascii="Arial" w:eastAsia="DengXian" w:hAnsi="Arial"/>
          <w:kern w:val="0"/>
          <w:sz w:val="20"/>
        </w:rPr>
        <w:t xml:space="preserve"> as the carrier exhibited the most pronounced solubilization effect, with a cumulative dissolution percentage of 73.33% at 120 min, which was </w:t>
      </w:r>
      <w:r w:rsidR="004C0795" w:rsidRPr="004C0795">
        <w:rPr>
          <w:rFonts w:ascii="Arial" w:eastAsia="DengXian" w:hAnsi="Arial" w:hint="eastAsia"/>
          <w:kern w:val="0"/>
          <w:sz w:val="20"/>
        </w:rPr>
        <w:t>markedly</w:t>
      </w:r>
      <w:r w:rsidRPr="00883AA5">
        <w:rPr>
          <w:rFonts w:ascii="Arial" w:eastAsia="DengXian" w:hAnsi="Arial"/>
          <w:kern w:val="0"/>
          <w:sz w:val="20"/>
        </w:rPr>
        <w:t xml:space="preserve"> higher than </w:t>
      </w:r>
      <w:r w:rsidR="004C0795">
        <w:rPr>
          <w:rFonts w:ascii="Arial" w:eastAsia="DengXian" w:hAnsi="Arial" w:hint="eastAsia"/>
          <w:kern w:val="0"/>
          <w:sz w:val="20"/>
        </w:rPr>
        <w:t>those</w:t>
      </w:r>
      <w:r w:rsidRPr="00883AA5">
        <w:rPr>
          <w:rFonts w:ascii="Arial" w:eastAsia="DengXian" w:hAnsi="Arial"/>
          <w:kern w:val="0"/>
          <w:sz w:val="20"/>
        </w:rPr>
        <w:t xml:space="preserve"> of the other carrier materials. </w:t>
      </w:r>
      <w:bookmarkEnd w:id="18"/>
      <w:r w:rsidRPr="00883AA5">
        <w:rPr>
          <w:rFonts w:ascii="Arial" w:eastAsia="DengXian" w:hAnsi="Arial"/>
          <w:kern w:val="0"/>
          <w:sz w:val="20"/>
        </w:rPr>
        <w:t>In addition, Dio-SDs prepared with HPMC E15, HPMC E5, PVP VA64, and PEG 2000 also demonstrated notable solubilization performance, achieving cumulative dissolution percentages of 71.80%, 67.91%, 66.41%, and 66.37%, respectively.</w:t>
      </w:r>
    </w:p>
    <w:p w14:paraId="3C3D887A" w14:textId="0CEE415D" w:rsidR="00644B17" w:rsidRPr="00883AA5" w:rsidRDefault="00C70795" w:rsidP="00473B04">
      <w:pPr>
        <w:widowControl/>
        <w:spacing w:line="480" w:lineRule="auto"/>
        <w:ind w:firstLineChars="200" w:firstLine="400"/>
        <w:rPr>
          <w:rFonts w:ascii="Arial" w:eastAsia="DengXian" w:hAnsi="Arial" w:cs="Times New Roman"/>
          <w:kern w:val="0"/>
          <w:sz w:val="20"/>
          <w:szCs w:val="24"/>
        </w:rPr>
      </w:pPr>
      <w:r w:rsidRPr="00883AA5">
        <w:rPr>
          <w:rFonts w:ascii="Arial" w:eastAsia="DengXian" w:hAnsi="Arial" w:cs="Times New Roman"/>
          <w:kern w:val="0"/>
          <w:sz w:val="20"/>
          <w:szCs w:val="24"/>
        </w:rPr>
        <w:t xml:space="preserve">Based on these results, to further enhance the dissolution rate and achieve rapid drug release, </w:t>
      </w:r>
      <w:proofErr w:type="spellStart"/>
      <w:r w:rsidRPr="00883AA5">
        <w:rPr>
          <w:rFonts w:ascii="Arial" w:eastAsia="DengXian" w:hAnsi="Arial" w:cs="Times New Roman"/>
          <w:kern w:val="0"/>
          <w:sz w:val="20"/>
          <w:szCs w:val="24"/>
        </w:rPr>
        <w:t>Soluplus</w:t>
      </w:r>
      <w:proofErr w:type="spellEnd"/>
      <w:r w:rsidRPr="00883AA5">
        <w:rPr>
          <w:rFonts w:ascii="Arial" w:eastAsia="DengXian" w:hAnsi="Arial" w:cs="Times New Roman"/>
          <w:kern w:val="0"/>
          <w:sz w:val="20"/>
          <w:szCs w:val="24"/>
        </w:rPr>
        <w:t xml:space="preserve"> was selected as the primary carrier and combined with PVP VA64 or PEG 2000 </w:t>
      </w:r>
      <w:r w:rsidRPr="00883AA5">
        <w:rPr>
          <w:rFonts w:ascii="Arial" w:eastAsia="DengXian" w:hAnsi="Arial" w:cs="Times New Roman"/>
          <w:kern w:val="0"/>
          <w:sz w:val="20"/>
          <w:szCs w:val="24"/>
        </w:rPr>
        <w:lastRenderedPageBreak/>
        <w:t>to construct ternary solid dispersions (TSDs). By leveraging the “spring–parachute” mechanism of supersaturated solutions, this TSD-based strategy is expected to further optimize the dissolution behavior of Dio and achieve the desired rapid-release and solubilization effects.</w:t>
      </w:r>
      <w:r w:rsidR="00B751B2" w:rsidRPr="00883AA5">
        <w:t xml:space="preserve"> </w:t>
      </w:r>
      <w:bookmarkStart w:id="19" w:name="_Hlk220268269"/>
      <w:r w:rsidR="00B751B2" w:rsidRPr="00883AA5">
        <w:rPr>
          <w:rFonts w:ascii="Arial" w:eastAsia="DengXian" w:hAnsi="Arial" w:cs="Times New Roman"/>
          <w:kern w:val="0"/>
          <w:sz w:val="20"/>
          <w:szCs w:val="24"/>
        </w:rPr>
        <w:t xml:space="preserve">Compared to the binary Dio-SDs, the combination of </w:t>
      </w:r>
      <w:proofErr w:type="spellStart"/>
      <w:r w:rsidR="00B751B2" w:rsidRPr="00883AA5">
        <w:rPr>
          <w:rFonts w:ascii="Arial" w:eastAsia="DengXian" w:hAnsi="Arial" w:cs="Times New Roman"/>
          <w:kern w:val="0"/>
          <w:sz w:val="20"/>
          <w:szCs w:val="24"/>
        </w:rPr>
        <w:t>Soluplus</w:t>
      </w:r>
      <w:proofErr w:type="spellEnd"/>
      <w:r w:rsidR="00B751B2" w:rsidRPr="00883AA5">
        <w:rPr>
          <w:rFonts w:ascii="Arial" w:eastAsia="DengXian" w:hAnsi="Arial" w:cs="Times New Roman"/>
          <w:kern w:val="0"/>
          <w:sz w:val="20"/>
          <w:szCs w:val="24"/>
        </w:rPr>
        <w:t xml:space="preserve"> with PVP VA64 or PEG 2000 achieves a synergistic effect. Due to the complementary actions of the polymers, the ternary system provides faster dissolution and higher stability. While </w:t>
      </w:r>
      <w:proofErr w:type="spellStart"/>
      <w:r w:rsidR="00B751B2" w:rsidRPr="00883AA5">
        <w:rPr>
          <w:rFonts w:ascii="Arial" w:eastAsia="DengXian" w:hAnsi="Arial" w:cs="Times New Roman"/>
          <w:kern w:val="0"/>
          <w:sz w:val="20"/>
          <w:szCs w:val="24"/>
        </w:rPr>
        <w:t>Soluplus</w:t>
      </w:r>
      <w:proofErr w:type="spellEnd"/>
      <w:r w:rsidR="00B751B2" w:rsidRPr="00883AA5">
        <w:rPr>
          <w:rFonts w:ascii="Arial" w:eastAsia="DengXian" w:hAnsi="Arial" w:cs="Times New Roman"/>
          <w:kern w:val="0"/>
          <w:sz w:val="20"/>
          <w:szCs w:val="24"/>
        </w:rPr>
        <w:t xml:space="preserve"> alone can facilitate micelle formation, the addition of PVP VA64 or PEG 2000 further stabilizes these structures, enhancing supersaturation maintenance and improving drug release kinetics. Maintaining supersaturation is key to improving absorption and bioavailability, which is particularly important for the development of poorly soluble drugs.</w:t>
      </w:r>
      <w:r w:rsidR="00E61D8B" w:rsidRPr="00883AA5">
        <w:rPr>
          <w:rStyle w:val="Heading1Char"/>
          <w:color w:val="auto"/>
        </w:rPr>
        <w:t xml:space="preserve"> </w:t>
      </w:r>
    </w:p>
    <w:bookmarkEnd w:id="19"/>
    <w:p w14:paraId="17AAF7BE" w14:textId="427C3F68" w:rsidR="00E61D8B" w:rsidRPr="00883AA5" w:rsidRDefault="007409BE" w:rsidP="007409BE">
      <w:pPr>
        <w:widowControl/>
        <w:spacing w:line="480" w:lineRule="auto"/>
        <w:rPr>
          <w:rFonts w:ascii="Arial" w:eastAsia="DengXian" w:hAnsi="Arial" w:cs="Arial"/>
          <w:b/>
          <w:bCs/>
          <w:i/>
          <w:iCs/>
          <w:kern w:val="0"/>
          <w:sz w:val="28"/>
          <w:szCs w:val="28"/>
        </w:rPr>
      </w:pPr>
      <w:r w:rsidRPr="00883AA5">
        <w:rPr>
          <w:rFonts w:ascii="Arial" w:eastAsia="DengXian" w:hAnsi="Arial" w:cs="Arial"/>
          <w:b/>
          <w:bCs/>
          <w:i/>
          <w:iCs/>
          <w:kern w:val="0"/>
          <w:sz w:val="28"/>
          <w:szCs w:val="28"/>
          <w:lang w:eastAsia="en-US"/>
        </w:rPr>
        <w:t>Supersaturation under Non-Sink Conditions</w:t>
      </w:r>
    </w:p>
    <w:p w14:paraId="41CEE653" w14:textId="27F95DDF" w:rsidR="00E36424" w:rsidRDefault="00E61D8B" w:rsidP="00C42271">
      <w:pPr>
        <w:widowControl/>
        <w:spacing w:line="480" w:lineRule="auto"/>
        <w:ind w:firstLineChars="200" w:firstLine="400"/>
        <w:rPr>
          <w:rFonts w:ascii="Arial" w:hAnsi="Arial" w:cs="Arial"/>
          <w:sz w:val="20"/>
          <w:szCs w:val="20"/>
        </w:rPr>
      </w:pPr>
      <w:r w:rsidRPr="003C2FE8">
        <w:rPr>
          <w:rStyle w:val="Strong"/>
          <w:rFonts w:ascii="Arial" w:hAnsi="Arial" w:cs="Arial"/>
          <w:b w:val="0"/>
          <w:bCs w:val="0"/>
          <w:sz w:val="20"/>
          <w:szCs w:val="20"/>
        </w:rPr>
        <w:t>Figure S2</w:t>
      </w:r>
      <w:r w:rsidRPr="003C2FE8">
        <w:rPr>
          <w:rFonts w:ascii="Arial" w:hAnsi="Arial" w:cs="Arial"/>
          <w:b/>
          <w:bCs/>
          <w:sz w:val="20"/>
          <w:szCs w:val="20"/>
        </w:rPr>
        <w:t xml:space="preserve"> </w:t>
      </w:r>
      <w:r w:rsidRPr="003C2FE8">
        <w:rPr>
          <w:rFonts w:ascii="Arial" w:hAnsi="Arial" w:cs="Arial"/>
          <w:sz w:val="20"/>
          <w:szCs w:val="20"/>
        </w:rPr>
        <w:t xml:space="preserve">shows a comparison of the supersaturation between </w:t>
      </w:r>
      <w:r w:rsidRPr="003C2FE8">
        <w:rPr>
          <w:rStyle w:val="Strong"/>
          <w:rFonts w:ascii="Arial" w:hAnsi="Arial" w:cs="Arial"/>
          <w:b w:val="0"/>
          <w:bCs w:val="0"/>
          <w:sz w:val="20"/>
          <w:szCs w:val="20"/>
        </w:rPr>
        <w:t>Dio-S-PVP-TSD</w:t>
      </w:r>
      <w:r w:rsidRPr="003C2FE8">
        <w:rPr>
          <w:rFonts w:ascii="Arial" w:hAnsi="Arial" w:cs="Arial"/>
          <w:b/>
          <w:bCs/>
          <w:sz w:val="20"/>
          <w:szCs w:val="20"/>
        </w:rPr>
        <w:t xml:space="preserve"> </w:t>
      </w:r>
      <w:r w:rsidRPr="003C2FE8">
        <w:rPr>
          <w:rFonts w:ascii="Arial" w:hAnsi="Arial" w:cs="Arial"/>
          <w:sz w:val="20"/>
          <w:szCs w:val="20"/>
        </w:rPr>
        <w:t xml:space="preserve">and </w:t>
      </w:r>
      <w:r w:rsidRPr="003C2FE8">
        <w:rPr>
          <w:rStyle w:val="Strong"/>
          <w:rFonts w:ascii="Arial" w:hAnsi="Arial" w:cs="Arial"/>
          <w:b w:val="0"/>
          <w:bCs w:val="0"/>
          <w:sz w:val="20"/>
          <w:szCs w:val="20"/>
        </w:rPr>
        <w:t>Dio-S-PEG-TSD</w:t>
      </w:r>
      <w:r w:rsidRPr="003C2FE8">
        <w:rPr>
          <w:rFonts w:ascii="Arial" w:hAnsi="Arial" w:cs="Arial"/>
          <w:sz w:val="20"/>
          <w:szCs w:val="20"/>
        </w:rPr>
        <w:t xml:space="preserve"> under non-sink conditions. </w:t>
      </w:r>
      <w:bookmarkStart w:id="20" w:name="OLE_LINK14"/>
      <w:bookmarkStart w:id="21" w:name="_Hlk220270661"/>
      <w:r w:rsidR="00E36424" w:rsidRPr="00697985">
        <w:rPr>
          <w:rFonts w:ascii="Arial" w:hAnsi="Arial" w:cs="Arial" w:hint="eastAsia"/>
          <w:sz w:val="20"/>
          <w:szCs w:val="20"/>
        </w:rPr>
        <w:t>Based on a descriptive evaluation of the supersaturation profiles and AUC values, Dio-S-PEG-TSD appeared to exhibit a higher supersaturation ratio and to maintain supersaturation for a longer period than Dio-S-PVP-TSD under non-sink conditions.</w:t>
      </w:r>
      <w:bookmarkEnd w:id="20"/>
    </w:p>
    <w:p w14:paraId="7FDA5BE3" w14:textId="77777777" w:rsidR="00C42271" w:rsidRPr="00C42271" w:rsidRDefault="00C42271" w:rsidP="00C42271">
      <w:pPr>
        <w:widowControl/>
        <w:spacing w:line="480" w:lineRule="auto"/>
        <w:ind w:firstLineChars="200" w:firstLine="400"/>
        <w:jc w:val="center"/>
        <w:rPr>
          <w:rFonts w:ascii="Arial" w:hAnsi="Arial" w:cs="Arial"/>
          <w:sz w:val="20"/>
          <w:szCs w:val="20"/>
        </w:rPr>
      </w:pPr>
    </w:p>
    <w:p w14:paraId="426CB476" w14:textId="77777777" w:rsidR="0077372B" w:rsidRDefault="0077372B" w:rsidP="00C70795">
      <w:pPr>
        <w:spacing w:line="360" w:lineRule="auto"/>
        <w:jc w:val="center"/>
        <w:rPr>
          <w:rFonts w:ascii="Arial" w:eastAsia="SimHei" w:hAnsi="Arial" w:cs="Arial"/>
          <w:sz w:val="20"/>
          <w:szCs w:val="20"/>
        </w:rPr>
      </w:pPr>
    </w:p>
    <w:p w14:paraId="1A61264D" w14:textId="77777777" w:rsidR="00AC7D94" w:rsidRDefault="00AC7D94" w:rsidP="00C70795">
      <w:pPr>
        <w:spacing w:line="360" w:lineRule="auto"/>
        <w:jc w:val="center"/>
        <w:rPr>
          <w:rFonts w:ascii="Arial" w:eastAsia="SimHei" w:hAnsi="Arial" w:cs="Arial"/>
          <w:sz w:val="20"/>
          <w:szCs w:val="20"/>
        </w:rPr>
      </w:pPr>
    </w:p>
    <w:p w14:paraId="585D8111" w14:textId="55AE4A31" w:rsidR="00C70795" w:rsidRPr="00883AA5" w:rsidRDefault="00644B17" w:rsidP="00C70795">
      <w:pPr>
        <w:spacing w:line="360" w:lineRule="auto"/>
        <w:jc w:val="center"/>
        <w:rPr>
          <w:rFonts w:ascii="Times New Roman" w:eastAsia="SimHei" w:hAnsi="Times New Roman" w:cs="Times New Roman"/>
          <w:szCs w:val="28"/>
        </w:rPr>
      </w:pPr>
      <w:r w:rsidRPr="00883AA5">
        <w:rPr>
          <w:rFonts w:ascii="Arial" w:eastAsia="SimHei" w:hAnsi="Arial" w:cs="Arial"/>
          <w:sz w:val="20"/>
          <w:szCs w:val="20"/>
        </w:rPr>
        <w:t xml:space="preserve">Table </w:t>
      </w:r>
      <w:r w:rsidR="00C70795" w:rsidRPr="00883AA5">
        <w:rPr>
          <w:rFonts w:ascii="Arial" w:eastAsia="SimHei" w:hAnsi="Arial" w:cs="Arial" w:hint="eastAsia"/>
          <w:sz w:val="20"/>
          <w:szCs w:val="20"/>
        </w:rPr>
        <w:t>S</w:t>
      </w:r>
      <w:r w:rsidRPr="00883AA5">
        <w:rPr>
          <w:rFonts w:ascii="Arial" w:eastAsia="SimHei" w:hAnsi="Arial" w:cs="Arial"/>
          <w:sz w:val="20"/>
          <w:szCs w:val="20"/>
        </w:rPr>
        <w:t>1</w:t>
      </w:r>
      <w:r w:rsidR="00C70795" w:rsidRPr="00883AA5">
        <w:rPr>
          <w:rFonts w:ascii="Arial" w:eastAsia="SimHei" w:hAnsi="Arial" w:cs="Arial" w:hint="eastAsia"/>
          <w:sz w:val="20"/>
          <w:szCs w:val="20"/>
        </w:rPr>
        <w:t>:</w:t>
      </w:r>
      <w:r w:rsidRPr="00883AA5">
        <w:rPr>
          <w:rFonts w:ascii="Times New Roman" w:eastAsia="SimHei" w:hAnsi="Times New Roman" w:cs="Times New Roman"/>
          <w:sz w:val="28"/>
          <w:szCs w:val="28"/>
        </w:rPr>
        <w:t xml:space="preserve"> </w:t>
      </w:r>
      <w:r w:rsidRPr="00883AA5">
        <w:rPr>
          <w:rFonts w:ascii="Arial" w:eastAsia="SimHei" w:hAnsi="Arial" w:cs="Arial"/>
          <w:sz w:val="20"/>
          <w:szCs w:val="20"/>
        </w:rPr>
        <w:t>Results of Dio-SD</w:t>
      </w:r>
      <w:r w:rsidR="00C70795" w:rsidRPr="00883AA5">
        <w:rPr>
          <w:rFonts w:ascii="Arial" w:eastAsia="SimHei" w:hAnsi="Arial" w:cs="Arial" w:hint="eastAsia"/>
          <w:sz w:val="20"/>
          <w:szCs w:val="20"/>
        </w:rPr>
        <w:t>s</w:t>
      </w:r>
      <w:r w:rsidRPr="00883AA5">
        <w:rPr>
          <w:rFonts w:ascii="Arial" w:eastAsia="SimHei" w:hAnsi="Arial" w:cs="Arial"/>
          <w:sz w:val="20"/>
          <w:szCs w:val="20"/>
        </w:rPr>
        <w:t xml:space="preserve"> solubility measurement</w:t>
      </w:r>
      <w:r w:rsidR="00C70795" w:rsidRPr="00883AA5">
        <w:rPr>
          <w:rFonts w:ascii="Times New Roman" w:eastAsia="SimHei" w:hAnsi="Times New Roman" w:cs="Times New Roman"/>
          <w:szCs w:val="28"/>
        </w:rPr>
        <w:t xml:space="preserve"> </w:t>
      </w:r>
    </w:p>
    <w:tbl>
      <w:tblPr>
        <w:tblpPr w:leftFromText="180" w:rightFromText="180" w:vertAnchor="text" w:horzAnchor="margin" w:tblpXSpec="center" w:tblpY="69"/>
        <w:tblW w:w="5000" w:type="pct"/>
        <w:tblBorders>
          <w:top w:val="single" w:sz="12" w:space="0" w:color="auto"/>
          <w:bottom w:val="single" w:sz="12" w:space="0" w:color="auto"/>
        </w:tblBorders>
        <w:tblLook w:val="04A0" w:firstRow="1" w:lastRow="0" w:firstColumn="1" w:lastColumn="0" w:noHBand="0" w:noVBand="1"/>
      </w:tblPr>
      <w:tblGrid>
        <w:gridCol w:w="4252"/>
        <w:gridCol w:w="4252"/>
      </w:tblGrid>
      <w:tr w:rsidR="00883AA5" w:rsidRPr="00883AA5" w14:paraId="32BB9977" w14:textId="77777777" w:rsidTr="00644B17">
        <w:tc>
          <w:tcPr>
            <w:tcW w:w="2500" w:type="pct"/>
            <w:tcBorders>
              <w:top w:val="single" w:sz="12" w:space="0" w:color="auto"/>
              <w:bottom w:val="single" w:sz="8" w:space="0" w:color="auto"/>
            </w:tcBorders>
          </w:tcPr>
          <w:p w14:paraId="04DF134B" w14:textId="5481B431" w:rsidR="00644B17" w:rsidRPr="00883AA5" w:rsidRDefault="00644B17" w:rsidP="00644B17">
            <w:pPr>
              <w:spacing w:line="360" w:lineRule="auto"/>
              <w:jc w:val="center"/>
              <w:rPr>
                <w:rFonts w:ascii="Times New Roman" w:eastAsia="SimSun" w:hAnsi="Times New Roman" w:cs="Cordia New"/>
                <w:sz w:val="24"/>
                <w:szCs w:val="24"/>
              </w:rPr>
            </w:pPr>
            <w:r w:rsidRPr="00883AA5">
              <w:rPr>
                <w:rFonts w:ascii="Helvetica" w:hAnsi="Helvetica" w:cs="Helvetica"/>
                <w:bCs/>
                <w:kern w:val="0"/>
                <w:szCs w:val="21"/>
              </w:rPr>
              <w:t>Parameter</w:t>
            </w:r>
          </w:p>
        </w:tc>
        <w:tc>
          <w:tcPr>
            <w:tcW w:w="2500" w:type="pct"/>
            <w:tcBorders>
              <w:top w:val="single" w:sz="12" w:space="0" w:color="auto"/>
              <w:bottom w:val="single" w:sz="8" w:space="0" w:color="auto"/>
            </w:tcBorders>
          </w:tcPr>
          <w:p w14:paraId="7CF3DEE9" w14:textId="66582C5D" w:rsidR="00644B17" w:rsidRPr="00883AA5" w:rsidRDefault="00644B17" w:rsidP="00644B17">
            <w:pPr>
              <w:spacing w:line="360" w:lineRule="auto"/>
              <w:jc w:val="center"/>
              <w:rPr>
                <w:rFonts w:ascii="Times New Roman" w:eastAsia="SimSun" w:hAnsi="Times New Roman" w:cs="Cordia New"/>
                <w:sz w:val="24"/>
                <w:szCs w:val="24"/>
              </w:rPr>
            </w:pPr>
            <w:r w:rsidRPr="00883AA5">
              <w:rPr>
                <w:rFonts w:ascii="Arial" w:eastAsia="SimSun" w:hAnsi="Arial" w:cs="Arial"/>
                <w:sz w:val="20"/>
                <w:szCs w:val="20"/>
              </w:rPr>
              <w:t>Solubility</w:t>
            </w:r>
            <w:r w:rsidRPr="00883AA5">
              <w:rPr>
                <w:rFonts w:ascii="Arial" w:eastAsia="SimSun" w:hAnsi="Arial" w:cs="Arial"/>
                <w:sz w:val="24"/>
                <w:szCs w:val="24"/>
              </w:rPr>
              <w:t xml:space="preserve"> </w:t>
            </w:r>
            <w:r w:rsidRPr="00883AA5">
              <w:rPr>
                <w:rFonts w:ascii="Arial" w:eastAsia="SimSun" w:hAnsi="Arial" w:cs="Arial"/>
                <w:sz w:val="20"/>
                <w:szCs w:val="20"/>
              </w:rPr>
              <w:t>(mg/mL)</w:t>
            </w:r>
          </w:p>
        </w:tc>
      </w:tr>
      <w:tr w:rsidR="00883AA5" w:rsidRPr="00883AA5" w14:paraId="43B072F0" w14:textId="77777777" w:rsidTr="00644B17">
        <w:trPr>
          <w:trHeight w:val="288"/>
        </w:trPr>
        <w:tc>
          <w:tcPr>
            <w:tcW w:w="2500" w:type="pct"/>
            <w:tcBorders>
              <w:top w:val="single" w:sz="8" w:space="0" w:color="auto"/>
            </w:tcBorders>
            <w:noWrap/>
          </w:tcPr>
          <w:p w14:paraId="61FB37C8" w14:textId="77777777"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Dio-P188</w:t>
            </w:r>
          </w:p>
        </w:tc>
        <w:tc>
          <w:tcPr>
            <w:tcW w:w="2500" w:type="pct"/>
            <w:tcBorders>
              <w:top w:val="single" w:sz="8" w:space="0" w:color="auto"/>
            </w:tcBorders>
            <w:noWrap/>
          </w:tcPr>
          <w:p w14:paraId="7D97CD6B" w14:textId="6A657C82"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0.0035±0.0018</w:t>
            </w:r>
          </w:p>
        </w:tc>
      </w:tr>
      <w:tr w:rsidR="00883AA5" w:rsidRPr="00883AA5" w14:paraId="7BF6BEE6" w14:textId="77777777" w:rsidTr="000752CA">
        <w:trPr>
          <w:trHeight w:val="288"/>
        </w:trPr>
        <w:tc>
          <w:tcPr>
            <w:tcW w:w="2500" w:type="pct"/>
            <w:noWrap/>
          </w:tcPr>
          <w:p w14:paraId="63363EC5" w14:textId="77777777"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Dio-P407</w:t>
            </w:r>
          </w:p>
        </w:tc>
        <w:tc>
          <w:tcPr>
            <w:tcW w:w="2500" w:type="pct"/>
            <w:noWrap/>
          </w:tcPr>
          <w:p w14:paraId="331306C0" w14:textId="3A425841"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0.0085±0.0020</w:t>
            </w:r>
          </w:p>
        </w:tc>
      </w:tr>
      <w:tr w:rsidR="00883AA5" w:rsidRPr="00883AA5" w14:paraId="13AA8F8D" w14:textId="77777777" w:rsidTr="000752CA">
        <w:trPr>
          <w:trHeight w:val="288"/>
        </w:trPr>
        <w:tc>
          <w:tcPr>
            <w:tcW w:w="2500" w:type="pct"/>
            <w:noWrap/>
          </w:tcPr>
          <w:p w14:paraId="440684E0" w14:textId="77777777"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Dio-PEG 2000</w:t>
            </w:r>
          </w:p>
        </w:tc>
        <w:tc>
          <w:tcPr>
            <w:tcW w:w="2500" w:type="pct"/>
            <w:noWrap/>
          </w:tcPr>
          <w:p w14:paraId="49246103" w14:textId="1C46FD05"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0.0190±0.0109</w:t>
            </w:r>
          </w:p>
        </w:tc>
      </w:tr>
      <w:tr w:rsidR="00883AA5" w:rsidRPr="00883AA5" w14:paraId="42C95C75" w14:textId="77777777" w:rsidTr="000752CA">
        <w:trPr>
          <w:trHeight w:val="288"/>
        </w:trPr>
        <w:tc>
          <w:tcPr>
            <w:tcW w:w="2500" w:type="pct"/>
            <w:noWrap/>
          </w:tcPr>
          <w:p w14:paraId="1151D770" w14:textId="77777777"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lastRenderedPageBreak/>
              <w:t>Dio-PEG 4000</w:t>
            </w:r>
          </w:p>
        </w:tc>
        <w:tc>
          <w:tcPr>
            <w:tcW w:w="2500" w:type="pct"/>
            <w:noWrap/>
          </w:tcPr>
          <w:p w14:paraId="0BC2948B" w14:textId="67DCCA3A"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0.0047±0.0004</w:t>
            </w:r>
          </w:p>
        </w:tc>
      </w:tr>
      <w:tr w:rsidR="00883AA5" w:rsidRPr="00883AA5" w14:paraId="07462C13" w14:textId="77777777" w:rsidTr="000752CA">
        <w:trPr>
          <w:trHeight w:val="288"/>
        </w:trPr>
        <w:tc>
          <w:tcPr>
            <w:tcW w:w="2500" w:type="pct"/>
            <w:noWrap/>
          </w:tcPr>
          <w:p w14:paraId="41ECC4AD" w14:textId="77777777"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Dio-PEG 6000</w:t>
            </w:r>
          </w:p>
        </w:tc>
        <w:tc>
          <w:tcPr>
            <w:tcW w:w="2500" w:type="pct"/>
            <w:noWrap/>
          </w:tcPr>
          <w:p w14:paraId="33420853" w14:textId="669E7434"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0.0060±0.0001</w:t>
            </w:r>
          </w:p>
        </w:tc>
      </w:tr>
      <w:tr w:rsidR="00883AA5" w:rsidRPr="00883AA5" w14:paraId="6967E58A" w14:textId="77777777" w:rsidTr="000752CA">
        <w:trPr>
          <w:trHeight w:val="288"/>
        </w:trPr>
        <w:tc>
          <w:tcPr>
            <w:tcW w:w="2500" w:type="pct"/>
            <w:noWrap/>
          </w:tcPr>
          <w:p w14:paraId="2A15992A" w14:textId="77777777"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Dio-PVP VA64</w:t>
            </w:r>
          </w:p>
        </w:tc>
        <w:tc>
          <w:tcPr>
            <w:tcW w:w="2500" w:type="pct"/>
            <w:noWrap/>
          </w:tcPr>
          <w:p w14:paraId="19A1A5F2" w14:textId="6C507B7E"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0.0403±0.0209</w:t>
            </w:r>
          </w:p>
        </w:tc>
      </w:tr>
      <w:tr w:rsidR="00883AA5" w:rsidRPr="00883AA5" w14:paraId="4FDAFDD9" w14:textId="77777777" w:rsidTr="000752CA">
        <w:trPr>
          <w:trHeight w:val="288"/>
        </w:trPr>
        <w:tc>
          <w:tcPr>
            <w:tcW w:w="2500" w:type="pct"/>
            <w:noWrap/>
          </w:tcPr>
          <w:p w14:paraId="51DDDAEA" w14:textId="77777777"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Dio-</w:t>
            </w:r>
            <w:proofErr w:type="spellStart"/>
            <w:r w:rsidRPr="00883AA5">
              <w:rPr>
                <w:rFonts w:ascii="Arial" w:eastAsia="SimSun" w:hAnsi="Arial" w:cs="Arial"/>
                <w:kern w:val="0"/>
                <w:sz w:val="20"/>
                <w:szCs w:val="20"/>
                <w:lang w:bidi="th-TH"/>
              </w:rPr>
              <w:t>Soluplus</w:t>
            </w:r>
            <w:proofErr w:type="spellEnd"/>
          </w:p>
        </w:tc>
        <w:tc>
          <w:tcPr>
            <w:tcW w:w="2500" w:type="pct"/>
            <w:noWrap/>
          </w:tcPr>
          <w:p w14:paraId="47241F8B" w14:textId="6EE1ED10" w:rsidR="00644B17" w:rsidRPr="00883AA5" w:rsidRDefault="00644B17" w:rsidP="00644B17">
            <w:pPr>
              <w:widowControl/>
              <w:spacing w:line="360" w:lineRule="auto"/>
              <w:jc w:val="center"/>
              <w:rPr>
                <w:rFonts w:ascii="Arial" w:eastAsia="SimSun" w:hAnsi="Arial" w:cs="Arial"/>
                <w:kern w:val="0"/>
                <w:sz w:val="20"/>
                <w:szCs w:val="20"/>
                <w:lang w:bidi="th-TH"/>
              </w:rPr>
            </w:pPr>
            <w:bookmarkStart w:id="22" w:name="_Hlk169424739"/>
            <w:r w:rsidRPr="00883AA5">
              <w:rPr>
                <w:rFonts w:ascii="Arial" w:eastAsia="SimSun" w:hAnsi="Arial" w:cs="Arial"/>
                <w:kern w:val="0"/>
                <w:sz w:val="20"/>
                <w:szCs w:val="20"/>
                <w:lang w:bidi="th-TH"/>
              </w:rPr>
              <w:t>0.1129±0.0357</w:t>
            </w:r>
            <w:bookmarkEnd w:id="22"/>
          </w:p>
        </w:tc>
      </w:tr>
      <w:tr w:rsidR="00883AA5" w:rsidRPr="00883AA5" w14:paraId="0AA97425" w14:textId="77777777" w:rsidTr="000752CA">
        <w:trPr>
          <w:trHeight w:val="288"/>
        </w:trPr>
        <w:tc>
          <w:tcPr>
            <w:tcW w:w="2500" w:type="pct"/>
            <w:noWrap/>
          </w:tcPr>
          <w:p w14:paraId="1F494C52" w14:textId="77777777"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Dio-HPMC E5</w:t>
            </w:r>
          </w:p>
        </w:tc>
        <w:tc>
          <w:tcPr>
            <w:tcW w:w="2500" w:type="pct"/>
            <w:noWrap/>
          </w:tcPr>
          <w:p w14:paraId="5A019B23" w14:textId="64A6D262"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0.0011±0.0003</w:t>
            </w:r>
          </w:p>
        </w:tc>
      </w:tr>
      <w:tr w:rsidR="00883AA5" w:rsidRPr="00883AA5" w14:paraId="1081D371" w14:textId="77777777" w:rsidTr="000752CA">
        <w:trPr>
          <w:trHeight w:val="288"/>
        </w:trPr>
        <w:tc>
          <w:tcPr>
            <w:tcW w:w="2500" w:type="pct"/>
            <w:noWrap/>
          </w:tcPr>
          <w:p w14:paraId="21D96E88" w14:textId="77777777"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Dio-HPMC E15</w:t>
            </w:r>
          </w:p>
        </w:tc>
        <w:tc>
          <w:tcPr>
            <w:tcW w:w="2500" w:type="pct"/>
            <w:noWrap/>
          </w:tcPr>
          <w:p w14:paraId="2D722F00" w14:textId="51F9510A"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0.0010±0.0004</w:t>
            </w:r>
          </w:p>
        </w:tc>
      </w:tr>
      <w:tr w:rsidR="00883AA5" w:rsidRPr="00883AA5" w14:paraId="14E59F11" w14:textId="77777777" w:rsidTr="000752CA">
        <w:trPr>
          <w:trHeight w:val="288"/>
        </w:trPr>
        <w:tc>
          <w:tcPr>
            <w:tcW w:w="2500" w:type="pct"/>
            <w:noWrap/>
          </w:tcPr>
          <w:p w14:paraId="5F99519E" w14:textId="77777777"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Dio-HPMC E30</w:t>
            </w:r>
          </w:p>
        </w:tc>
        <w:tc>
          <w:tcPr>
            <w:tcW w:w="2500" w:type="pct"/>
            <w:noWrap/>
          </w:tcPr>
          <w:p w14:paraId="17DD03C0" w14:textId="4FF054FD"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0.0009±0.0008</w:t>
            </w:r>
          </w:p>
        </w:tc>
      </w:tr>
      <w:tr w:rsidR="00883AA5" w:rsidRPr="00883AA5" w14:paraId="3C2A64E2" w14:textId="77777777" w:rsidTr="000752CA">
        <w:trPr>
          <w:trHeight w:val="288"/>
        </w:trPr>
        <w:tc>
          <w:tcPr>
            <w:tcW w:w="2500" w:type="pct"/>
            <w:noWrap/>
          </w:tcPr>
          <w:p w14:paraId="4813F923" w14:textId="77777777"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Dio-HPMC E50</w:t>
            </w:r>
          </w:p>
        </w:tc>
        <w:tc>
          <w:tcPr>
            <w:tcW w:w="2500" w:type="pct"/>
            <w:noWrap/>
          </w:tcPr>
          <w:p w14:paraId="414982C4" w14:textId="6B6D01F0"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0.0006±0.0003</w:t>
            </w:r>
          </w:p>
        </w:tc>
      </w:tr>
      <w:tr w:rsidR="00883AA5" w:rsidRPr="00883AA5" w14:paraId="461F24DF" w14:textId="77777777" w:rsidTr="000752CA">
        <w:trPr>
          <w:trHeight w:val="288"/>
        </w:trPr>
        <w:tc>
          <w:tcPr>
            <w:tcW w:w="2500" w:type="pct"/>
            <w:noWrap/>
          </w:tcPr>
          <w:p w14:paraId="416CF71C" w14:textId="77777777"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Dio-PVP K90</w:t>
            </w:r>
          </w:p>
          <w:p w14:paraId="0C50D22E" w14:textId="77777777"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Dio-PVP K30</w:t>
            </w:r>
          </w:p>
        </w:tc>
        <w:tc>
          <w:tcPr>
            <w:tcW w:w="2500" w:type="pct"/>
            <w:noWrap/>
          </w:tcPr>
          <w:p w14:paraId="139BDC7F" w14:textId="2DA9F01B"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0.0087±0.0037</w:t>
            </w:r>
          </w:p>
          <w:p w14:paraId="5D66A6F0" w14:textId="77777777"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lang w:bidi="th-TH"/>
              </w:rPr>
              <w:t>0.0082±0.0007</w:t>
            </w:r>
          </w:p>
        </w:tc>
      </w:tr>
      <w:tr w:rsidR="00883AA5" w:rsidRPr="00883AA5" w14:paraId="6D0BBE8D" w14:textId="77777777" w:rsidTr="00644B17">
        <w:trPr>
          <w:trHeight w:val="288"/>
        </w:trPr>
        <w:tc>
          <w:tcPr>
            <w:tcW w:w="2500" w:type="pct"/>
            <w:tcBorders>
              <w:bottom w:val="single" w:sz="12" w:space="0" w:color="auto"/>
            </w:tcBorders>
            <w:noWrap/>
          </w:tcPr>
          <w:p w14:paraId="33D65721" w14:textId="77777777" w:rsidR="00644B17" w:rsidRPr="00883AA5" w:rsidRDefault="00644B17" w:rsidP="00644B17">
            <w:pPr>
              <w:widowControl/>
              <w:spacing w:line="360" w:lineRule="auto"/>
              <w:jc w:val="center"/>
              <w:rPr>
                <w:rFonts w:ascii="Arial" w:eastAsia="SimSun" w:hAnsi="Arial" w:cs="Arial"/>
                <w:kern w:val="0"/>
                <w:sz w:val="20"/>
                <w:szCs w:val="20"/>
                <w:lang w:bidi="th-TH"/>
              </w:rPr>
            </w:pPr>
            <w:r w:rsidRPr="00883AA5">
              <w:rPr>
                <w:rFonts w:ascii="Arial" w:eastAsia="SimSun" w:hAnsi="Arial" w:cs="Arial"/>
                <w:kern w:val="0"/>
                <w:sz w:val="20"/>
                <w:szCs w:val="20"/>
              </w:rPr>
              <w:t>Dio</w:t>
            </w:r>
          </w:p>
        </w:tc>
        <w:tc>
          <w:tcPr>
            <w:tcW w:w="2500" w:type="pct"/>
            <w:tcBorders>
              <w:bottom w:val="single" w:sz="12" w:space="0" w:color="auto"/>
            </w:tcBorders>
            <w:noWrap/>
            <w:vAlign w:val="center"/>
          </w:tcPr>
          <w:p w14:paraId="40D957D8" w14:textId="77777777" w:rsidR="00644B17" w:rsidRPr="00883AA5" w:rsidRDefault="00644B17" w:rsidP="00644B17">
            <w:pPr>
              <w:keepNext/>
              <w:widowControl/>
              <w:spacing w:line="360" w:lineRule="auto"/>
              <w:jc w:val="center"/>
              <w:rPr>
                <w:rFonts w:ascii="Arial" w:eastAsia="SimSun" w:hAnsi="Arial" w:cs="Arial"/>
                <w:kern w:val="0"/>
                <w:sz w:val="20"/>
                <w:szCs w:val="20"/>
                <w:lang w:bidi="th-TH"/>
              </w:rPr>
            </w:pPr>
            <w:r w:rsidRPr="00883AA5">
              <w:rPr>
                <w:rFonts w:ascii="Arial" w:eastAsia="SimSun" w:hAnsi="Arial" w:cs="Arial"/>
                <w:sz w:val="20"/>
                <w:szCs w:val="20"/>
              </w:rPr>
              <w:t>0</w:t>
            </w:r>
          </w:p>
        </w:tc>
      </w:tr>
      <w:bookmarkEnd w:id="5"/>
      <w:bookmarkEnd w:id="21"/>
    </w:tbl>
    <w:p w14:paraId="7B52D83C" w14:textId="77777777" w:rsidR="00CD3765" w:rsidRDefault="00CD3765"/>
    <w:p w14:paraId="439D6522" w14:textId="1BF792D6" w:rsidR="00612590" w:rsidRPr="00612590" w:rsidRDefault="00612590">
      <w:pPr>
        <w:rPr>
          <w:rFonts w:ascii="Arial" w:hAnsi="Arial" w:cs="Arial"/>
        </w:rPr>
      </w:pPr>
      <w:r w:rsidRPr="00612590">
        <w:rPr>
          <w:rFonts w:ascii="Arial" w:eastAsia="DengXian" w:hAnsi="Arial" w:cs="Arial"/>
          <w:b/>
          <w:bCs/>
          <w:color w:val="000000"/>
          <w:kern w:val="0"/>
          <w:sz w:val="20"/>
          <w:szCs w:val="20"/>
          <w:lang w:val="en" w:eastAsia="en-NZ"/>
        </w:rPr>
        <w:t>Figure legends:</w:t>
      </w:r>
    </w:p>
    <w:p w14:paraId="50647453" w14:textId="68AA68BA" w:rsidR="00612590" w:rsidRDefault="00612590" w:rsidP="00270B34">
      <w:pPr>
        <w:spacing w:line="480" w:lineRule="auto"/>
        <w:rPr>
          <w:rFonts w:ascii="Arial" w:hAnsi="Arial" w:cs="Arial"/>
          <w:sz w:val="20"/>
          <w:szCs w:val="20"/>
        </w:rPr>
      </w:pPr>
      <w:r w:rsidRPr="00890CBD">
        <w:rPr>
          <w:rFonts w:ascii="Arial" w:hAnsi="Arial" w:cs="Arial"/>
          <w:b/>
          <w:bCs/>
          <w:sz w:val="20"/>
          <w:szCs w:val="20"/>
        </w:rPr>
        <w:t>Figure. S1</w:t>
      </w:r>
      <w:r w:rsidRPr="00612590">
        <w:rPr>
          <w:rFonts w:ascii="Arial" w:hAnsi="Arial" w:cs="Arial"/>
          <w:sz w:val="20"/>
          <w:szCs w:val="20"/>
        </w:rPr>
        <w:t xml:space="preserve"> Dio-SDs dissolution curves prepared by different carriers.</w:t>
      </w:r>
    </w:p>
    <w:p w14:paraId="6D737BB6" w14:textId="7F6E7818" w:rsidR="00175865" w:rsidRPr="00612590" w:rsidRDefault="00175865" w:rsidP="00175865">
      <w:pPr>
        <w:jc w:val="center"/>
        <w:rPr>
          <w:rFonts w:ascii="Arial" w:hAnsi="Arial" w:cs="Arial"/>
          <w:sz w:val="20"/>
          <w:szCs w:val="20"/>
        </w:rPr>
      </w:pPr>
      <w:r>
        <w:rPr>
          <w:rFonts w:ascii="Arial" w:hAnsi="Arial" w:cs="Arial"/>
          <w:noProof/>
          <w:sz w:val="20"/>
          <w:szCs w:val="20"/>
        </w:rPr>
        <w:drawing>
          <wp:inline distT="0" distB="0" distL="0" distR="0" wp14:anchorId="33449764" wp14:editId="250A2F0D">
            <wp:extent cx="4038600" cy="2563016"/>
            <wp:effectExtent l="0" t="0" r="0" b="8890"/>
            <wp:docPr id="13098951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895175" name="图片 1309895175"/>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64013" cy="2579144"/>
                    </a:xfrm>
                    <a:prstGeom prst="rect">
                      <a:avLst/>
                    </a:prstGeom>
                  </pic:spPr>
                </pic:pic>
              </a:graphicData>
            </a:graphic>
          </wp:inline>
        </w:drawing>
      </w:r>
    </w:p>
    <w:p w14:paraId="6A436E5E" w14:textId="38DEB98B" w:rsidR="00612590" w:rsidRDefault="00612590" w:rsidP="00270B34">
      <w:pPr>
        <w:spacing w:line="480" w:lineRule="auto"/>
        <w:rPr>
          <w:rFonts w:ascii="Arial" w:hAnsi="Arial" w:cs="Arial"/>
          <w:sz w:val="20"/>
          <w:szCs w:val="20"/>
        </w:rPr>
      </w:pPr>
      <w:r w:rsidRPr="00890CBD">
        <w:rPr>
          <w:rFonts w:ascii="Arial" w:hAnsi="Arial" w:cs="Arial"/>
          <w:b/>
          <w:bCs/>
          <w:sz w:val="20"/>
          <w:szCs w:val="20"/>
        </w:rPr>
        <w:t>Figure. S2</w:t>
      </w:r>
      <w:r w:rsidRPr="00612590">
        <w:rPr>
          <w:rFonts w:ascii="Arial" w:hAnsi="Arial" w:cs="Arial"/>
          <w:sz w:val="20"/>
          <w:szCs w:val="20"/>
        </w:rPr>
        <w:t xml:space="preserve"> Supersaturation of Dio-S-PVP-TSD and Dio-S-PEG-TSD under non-sink conditions.</w:t>
      </w:r>
    </w:p>
    <w:p w14:paraId="44052235" w14:textId="305614D6" w:rsidR="00175865" w:rsidRDefault="00175865" w:rsidP="00175865">
      <w:pPr>
        <w:jc w:val="center"/>
      </w:pPr>
      <w:r>
        <w:rPr>
          <w:rFonts w:hint="eastAsia"/>
          <w:noProof/>
        </w:rPr>
        <w:lastRenderedPageBreak/>
        <w:drawing>
          <wp:inline distT="0" distB="0" distL="0" distR="0" wp14:anchorId="716A34E6" wp14:editId="390C9BAC">
            <wp:extent cx="4080701" cy="2797629"/>
            <wp:effectExtent l="0" t="0" r="0" b="3175"/>
            <wp:docPr id="2246696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69618" name="图片 2246696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96363" cy="2808367"/>
                    </a:xfrm>
                    <a:prstGeom prst="rect">
                      <a:avLst/>
                    </a:prstGeom>
                  </pic:spPr>
                </pic:pic>
              </a:graphicData>
            </a:graphic>
          </wp:inline>
        </w:drawing>
      </w:r>
    </w:p>
    <w:p w14:paraId="2EC5BE00" w14:textId="450B860A" w:rsidR="00890CBD" w:rsidRDefault="00890CBD" w:rsidP="00890CBD">
      <w:pPr>
        <w:spacing w:line="480" w:lineRule="auto"/>
        <w:rPr>
          <w:rFonts w:ascii="Arial" w:hAnsi="Arial" w:cs="Arial"/>
          <w:sz w:val="20"/>
          <w:szCs w:val="20"/>
        </w:rPr>
      </w:pPr>
      <w:bookmarkStart w:id="23" w:name="_Hlk226998569"/>
      <w:r w:rsidRPr="00890CBD">
        <w:rPr>
          <w:rFonts w:ascii="Arial" w:hAnsi="Arial" w:cs="Arial"/>
          <w:b/>
          <w:bCs/>
          <w:sz w:val="20"/>
          <w:szCs w:val="20"/>
        </w:rPr>
        <w:t>Figure. S3</w:t>
      </w:r>
      <w:r w:rsidRPr="00890CBD">
        <w:rPr>
          <w:rFonts w:ascii="Arial" w:hAnsi="Arial" w:cs="Arial"/>
          <w:sz w:val="20"/>
          <w:szCs w:val="20"/>
        </w:rPr>
        <w:t xml:space="preserve"> Normal Q-Q plots and boxplots of ln-transformed pharmacokinetic parameters. Normal Q-Q plots of ln (</w:t>
      </w:r>
      <w:r w:rsidRPr="00890CBD">
        <w:rPr>
          <w:rFonts w:ascii="Arial" w:hAnsi="Arial" w:cs="Arial"/>
          <w:color w:val="000000"/>
          <w:sz w:val="20"/>
          <w:szCs w:val="20"/>
        </w:rPr>
        <w:t>AUC</w:t>
      </w:r>
      <w:r w:rsidRPr="00890CBD">
        <w:rPr>
          <w:rFonts w:ascii="Arial" w:eastAsia="Cambria Math" w:hAnsi="Arial" w:cs="Arial"/>
          <w:color w:val="000000"/>
          <w:sz w:val="20"/>
          <w:szCs w:val="20"/>
          <w:vertAlign w:val="subscript"/>
        </w:rPr>
        <w:t>0-t</w:t>
      </w:r>
      <w:r w:rsidRPr="00890CBD">
        <w:rPr>
          <w:rFonts w:ascii="Arial" w:eastAsia="SimSun" w:hAnsi="Arial" w:cs="Arial"/>
          <w:color w:val="000000"/>
          <w:sz w:val="20"/>
          <w:szCs w:val="20"/>
        </w:rPr>
        <w:t>)</w:t>
      </w:r>
      <w:r w:rsidRPr="00890CBD">
        <w:rPr>
          <w:rFonts w:ascii="Arial" w:hAnsi="Arial" w:cs="Arial"/>
          <w:sz w:val="20"/>
          <w:szCs w:val="20"/>
        </w:rPr>
        <w:t xml:space="preserve"> for Dio (a), Dio-S-PVP-TSD (b), and Dio-S-PEG-TSD (c); normal Q-Q plots of ln (</w:t>
      </w:r>
      <w:r w:rsidRPr="00890CBD">
        <w:rPr>
          <w:rFonts w:ascii="Arial" w:hAnsi="Arial" w:cs="Arial"/>
          <w:color w:val="000000"/>
          <w:sz w:val="20"/>
          <w:szCs w:val="20"/>
        </w:rPr>
        <w:t>C</w:t>
      </w:r>
      <w:r w:rsidRPr="00890CBD">
        <w:rPr>
          <w:rFonts w:ascii="Arial" w:hAnsi="Arial" w:cs="Arial"/>
          <w:color w:val="000000"/>
          <w:sz w:val="20"/>
          <w:szCs w:val="20"/>
          <w:vertAlign w:val="subscript"/>
        </w:rPr>
        <w:t>max</w:t>
      </w:r>
      <w:r w:rsidRPr="00890CBD">
        <w:rPr>
          <w:rFonts w:ascii="Arial" w:hAnsi="Arial" w:cs="Arial"/>
          <w:sz w:val="20"/>
          <w:szCs w:val="20"/>
        </w:rPr>
        <w:t>) for Dio (d), Dio-S-PVP-TSD (e), and Dio-S-PEG-TSD (f); and boxplots of ln (</w:t>
      </w:r>
      <w:r w:rsidRPr="00890CBD">
        <w:rPr>
          <w:rFonts w:ascii="Arial" w:hAnsi="Arial" w:cs="Arial"/>
          <w:color w:val="000000"/>
          <w:sz w:val="20"/>
          <w:szCs w:val="20"/>
        </w:rPr>
        <w:t>AUC</w:t>
      </w:r>
      <w:r w:rsidRPr="00890CBD">
        <w:rPr>
          <w:rFonts w:ascii="Arial" w:eastAsia="Cambria Math" w:hAnsi="Arial" w:cs="Arial"/>
          <w:color w:val="000000"/>
          <w:sz w:val="20"/>
          <w:szCs w:val="20"/>
          <w:vertAlign w:val="subscript"/>
        </w:rPr>
        <w:t>0-t</w:t>
      </w:r>
      <w:r w:rsidRPr="00890CBD">
        <w:rPr>
          <w:rFonts w:ascii="Arial" w:hAnsi="Arial" w:cs="Arial"/>
          <w:sz w:val="20"/>
          <w:szCs w:val="20"/>
        </w:rPr>
        <w:t>) (g) and ln (</w:t>
      </w:r>
      <w:r w:rsidRPr="00890CBD">
        <w:rPr>
          <w:rFonts w:ascii="Arial" w:hAnsi="Arial" w:cs="Arial"/>
          <w:color w:val="000000"/>
          <w:sz w:val="20"/>
          <w:szCs w:val="20"/>
        </w:rPr>
        <w:t>C</w:t>
      </w:r>
      <w:r w:rsidRPr="00890CBD">
        <w:rPr>
          <w:rFonts w:ascii="Arial" w:hAnsi="Arial" w:cs="Arial"/>
          <w:color w:val="000000"/>
          <w:sz w:val="20"/>
          <w:szCs w:val="20"/>
          <w:vertAlign w:val="subscript"/>
        </w:rPr>
        <w:t>max</w:t>
      </w:r>
      <w:r w:rsidRPr="00890CBD">
        <w:rPr>
          <w:rFonts w:ascii="Arial" w:hAnsi="Arial" w:cs="Arial"/>
          <w:sz w:val="20"/>
          <w:szCs w:val="20"/>
        </w:rPr>
        <w:t>) (h).</w:t>
      </w:r>
    </w:p>
    <w:bookmarkEnd w:id="23"/>
    <w:p w14:paraId="3EB67CEE" w14:textId="6A3BF361" w:rsidR="00890CBD" w:rsidRPr="00890CBD" w:rsidRDefault="00890CBD" w:rsidP="00890CBD">
      <w:pPr>
        <w:spacing w:line="480" w:lineRule="auto"/>
        <w:jc w:val="center"/>
        <w:rPr>
          <w:rFonts w:ascii="Arial" w:hAnsi="Arial" w:cs="Arial"/>
          <w:sz w:val="20"/>
          <w:szCs w:val="20"/>
        </w:rPr>
      </w:pPr>
      <w:r>
        <w:rPr>
          <w:rFonts w:ascii="Arial" w:hAnsi="Arial" w:cs="Arial"/>
          <w:noProof/>
          <w:sz w:val="20"/>
          <w:szCs w:val="20"/>
        </w:rPr>
        <w:drawing>
          <wp:inline distT="0" distB="0" distL="0" distR="0" wp14:anchorId="18F4B1CC" wp14:editId="4C43F20D">
            <wp:extent cx="3946071" cy="3675543"/>
            <wp:effectExtent l="0" t="0" r="0" b="1270"/>
            <wp:docPr id="6561614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61476" name="图片 6561614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6071" cy="3675543"/>
                    </a:xfrm>
                    <a:prstGeom prst="rect">
                      <a:avLst/>
                    </a:prstGeom>
                  </pic:spPr>
                </pic:pic>
              </a:graphicData>
            </a:graphic>
          </wp:inline>
        </w:drawing>
      </w:r>
    </w:p>
    <w:sectPr w:rsidR="00890CBD" w:rsidRPr="00890CBD" w:rsidSect="0042373F">
      <w:footerReference w:type="even" r:id="rId9"/>
      <w:footerReference w:type="default" r:id="rId10"/>
      <w:footerReference w:type="first" r:id="rId11"/>
      <w:pgSz w:w="11906" w:h="16838"/>
      <w:pgMar w:top="1701" w:right="1701" w:bottom="1701" w:left="1701"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6565" w14:textId="77777777" w:rsidR="00D256A2" w:rsidRDefault="00D256A2" w:rsidP="001B72BE">
      <w:r>
        <w:separator/>
      </w:r>
    </w:p>
  </w:endnote>
  <w:endnote w:type="continuationSeparator" w:id="0">
    <w:p w14:paraId="553E9D43" w14:textId="77777777" w:rsidR="00D256A2" w:rsidRDefault="00D256A2" w:rsidP="001B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9BE6" w14:textId="5BD73A5A" w:rsidR="0071282D" w:rsidRDefault="0071282D">
    <w:pPr>
      <w:pStyle w:val="Footer"/>
    </w:pPr>
    <w:r>
      <w:rPr>
        <w:noProof/>
      </w:rPr>
      <mc:AlternateContent>
        <mc:Choice Requires="wps">
          <w:drawing>
            <wp:anchor distT="0" distB="0" distL="0" distR="0" simplePos="0" relativeHeight="251659264" behindDoc="0" locked="0" layoutInCell="1" allowOverlap="1" wp14:anchorId="6AE688E7" wp14:editId="42163447">
              <wp:simplePos x="635" y="635"/>
              <wp:positionH relativeFrom="page">
                <wp:align>left</wp:align>
              </wp:positionH>
              <wp:positionV relativeFrom="page">
                <wp:align>bottom</wp:align>
              </wp:positionV>
              <wp:extent cx="2077085" cy="324485"/>
              <wp:effectExtent l="0" t="0" r="18415" b="0"/>
              <wp:wrapNone/>
              <wp:docPr id="100100066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410659E" w14:textId="541708BB" w:rsidR="0071282D" w:rsidRPr="0071282D" w:rsidRDefault="0071282D" w:rsidP="0071282D">
                          <w:pPr>
                            <w:rPr>
                              <w:rFonts w:ascii="Rockwell" w:eastAsia="Rockwell" w:hAnsi="Rockwell" w:cs="Rockwell"/>
                              <w:noProof/>
                              <w:color w:val="0078D7"/>
                              <w:sz w:val="18"/>
                              <w:szCs w:val="18"/>
                            </w:rPr>
                          </w:pPr>
                          <w:r w:rsidRPr="0071282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E688E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1410659E" w14:textId="541708BB" w:rsidR="0071282D" w:rsidRPr="0071282D" w:rsidRDefault="0071282D" w:rsidP="0071282D">
                    <w:pPr>
                      <w:rPr>
                        <w:rFonts w:ascii="Rockwell" w:eastAsia="Rockwell" w:hAnsi="Rockwell" w:cs="Rockwell"/>
                        <w:noProof/>
                        <w:color w:val="0078D7"/>
                        <w:sz w:val="18"/>
                        <w:szCs w:val="18"/>
                      </w:rPr>
                    </w:pPr>
                    <w:r w:rsidRPr="0071282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9493" w14:textId="023C7EF8" w:rsidR="000F11F8" w:rsidRDefault="0071282D">
    <w:pPr>
      <w:pStyle w:val="Footer"/>
      <w:jc w:val="center"/>
    </w:pPr>
    <w:r>
      <w:rPr>
        <w:noProof/>
      </w:rPr>
      <mc:AlternateContent>
        <mc:Choice Requires="wps">
          <w:drawing>
            <wp:anchor distT="0" distB="0" distL="0" distR="0" simplePos="0" relativeHeight="251660288" behindDoc="0" locked="0" layoutInCell="1" allowOverlap="1" wp14:anchorId="65DF9D0C" wp14:editId="0DB6488E">
              <wp:simplePos x="1076325" y="9753600"/>
              <wp:positionH relativeFrom="page">
                <wp:align>left</wp:align>
              </wp:positionH>
              <wp:positionV relativeFrom="page">
                <wp:align>bottom</wp:align>
              </wp:positionV>
              <wp:extent cx="2077085" cy="324485"/>
              <wp:effectExtent l="0" t="0" r="18415" b="0"/>
              <wp:wrapNone/>
              <wp:docPr id="150152823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92EB41C" w14:textId="2FC0623A" w:rsidR="0071282D" w:rsidRPr="0071282D" w:rsidRDefault="0071282D" w:rsidP="0071282D">
                          <w:pPr>
                            <w:rPr>
                              <w:rFonts w:ascii="Rockwell" w:eastAsia="Rockwell" w:hAnsi="Rockwell" w:cs="Rockwell"/>
                              <w:noProof/>
                              <w:color w:val="0078D7"/>
                              <w:sz w:val="18"/>
                              <w:szCs w:val="18"/>
                            </w:rPr>
                          </w:pPr>
                          <w:r w:rsidRPr="0071282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DF9D0C"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192EB41C" w14:textId="2FC0623A" w:rsidR="0071282D" w:rsidRPr="0071282D" w:rsidRDefault="0071282D" w:rsidP="0071282D">
                    <w:pPr>
                      <w:rPr>
                        <w:rFonts w:ascii="Rockwell" w:eastAsia="Rockwell" w:hAnsi="Rockwell" w:cs="Rockwell"/>
                        <w:noProof/>
                        <w:color w:val="0078D7"/>
                        <w:sz w:val="18"/>
                        <w:szCs w:val="18"/>
                      </w:rPr>
                    </w:pPr>
                    <w:r w:rsidRPr="0071282D">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124818740"/>
        <w:docPartObj>
          <w:docPartGallery w:val="Page Numbers (Bottom of Page)"/>
          <w:docPartUnique/>
        </w:docPartObj>
      </w:sdtPr>
      <w:sdtContent>
        <w:r w:rsidR="000F11F8">
          <w:fldChar w:fldCharType="begin"/>
        </w:r>
        <w:r w:rsidR="000F11F8">
          <w:instrText>PAGE   \* MERGEFORMAT</w:instrText>
        </w:r>
        <w:r w:rsidR="000F11F8">
          <w:fldChar w:fldCharType="separate"/>
        </w:r>
        <w:r w:rsidR="000F11F8">
          <w:rPr>
            <w:lang w:val="zh-CN"/>
          </w:rPr>
          <w:t>2</w:t>
        </w:r>
        <w:r w:rsidR="000F11F8">
          <w:fldChar w:fldCharType="end"/>
        </w:r>
      </w:sdtContent>
    </w:sdt>
  </w:p>
  <w:p w14:paraId="458F5E9B" w14:textId="77777777" w:rsidR="000F11F8" w:rsidRDefault="000F1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AD47" w14:textId="4AD41551" w:rsidR="0071282D" w:rsidRDefault="0071282D">
    <w:pPr>
      <w:pStyle w:val="Footer"/>
    </w:pPr>
    <w:r>
      <w:rPr>
        <w:noProof/>
      </w:rPr>
      <mc:AlternateContent>
        <mc:Choice Requires="wps">
          <w:drawing>
            <wp:anchor distT="0" distB="0" distL="0" distR="0" simplePos="0" relativeHeight="251658240" behindDoc="0" locked="0" layoutInCell="1" allowOverlap="1" wp14:anchorId="45429905" wp14:editId="2FD9D4C7">
              <wp:simplePos x="635" y="635"/>
              <wp:positionH relativeFrom="page">
                <wp:align>left</wp:align>
              </wp:positionH>
              <wp:positionV relativeFrom="page">
                <wp:align>bottom</wp:align>
              </wp:positionV>
              <wp:extent cx="2077085" cy="324485"/>
              <wp:effectExtent l="0" t="0" r="18415" b="0"/>
              <wp:wrapNone/>
              <wp:docPr id="90415604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74D84BB" w14:textId="73E9FC62" w:rsidR="0071282D" w:rsidRPr="0071282D" w:rsidRDefault="0071282D" w:rsidP="0071282D">
                          <w:pPr>
                            <w:rPr>
                              <w:rFonts w:ascii="Rockwell" w:eastAsia="Rockwell" w:hAnsi="Rockwell" w:cs="Rockwell"/>
                              <w:noProof/>
                              <w:color w:val="0078D7"/>
                              <w:sz w:val="18"/>
                              <w:szCs w:val="18"/>
                            </w:rPr>
                          </w:pPr>
                          <w:r w:rsidRPr="0071282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42990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774D84BB" w14:textId="73E9FC62" w:rsidR="0071282D" w:rsidRPr="0071282D" w:rsidRDefault="0071282D" w:rsidP="0071282D">
                    <w:pPr>
                      <w:rPr>
                        <w:rFonts w:ascii="Rockwell" w:eastAsia="Rockwell" w:hAnsi="Rockwell" w:cs="Rockwell"/>
                        <w:noProof/>
                        <w:color w:val="0078D7"/>
                        <w:sz w:val="18"/>
                        <w:szCs w:val="18"/>
                      </w:rPr>
                    </w:pPr>
                    <w:r w:rsidRPr="0071282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3B550" w14:textId="77777777" w:rsidR="00D256A2" w:rsidRDefault="00D256A2" w:rsidP="001B72BE">
      <w:r>
        <w:separator/>
      </w:r>
    </w:p>
  </w:footnote>
  <w:footnote w:type="continuationSeparator" w:id="0">
    <w:p w14:paraId="325CA2A5" w14:textId="77777777" w:rsidR="00D256A2" w:rsidRDefault="00D256A2" w:rsidP="001B7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A8"/>
    <w:rsid w:val="000551BD"/>
    <w:rsid w:val="000C7999"/>
    <w:rsid w:val="000F11F8"/>
    <w:rsid w:val="00110D81"/>
    <w:rsid w:val="00130CCA"/>
    <w:rsid w:val="00144BEC"/>
    <w:rsid w:val="00175865"/>
    <w:rsid w:val="001B6E28"/>
    <w:rsid w:val="001B72BE"/>
    <w:rsid w:val="001E59B5"/>
    <w:rsid w:val="001F37A8"/>
    <w:rsid w:val="002543A5"/>
    <w:rsid w:val="00270B34"/>
    <w:rsid w:val="002A537A"/>
    <w:rsid w:val="002B363F"/>
    <w:rsid w:val="002F6DCA"/>
    <w:rsid w:val="0034431C"/>
    <w:rsid w:val="00362F2A"/>
    <w:rsid w:val="00377292"/>
    <w:rsid w:val="003C2FE8"/>
    <w:rsid w:val="0042373F"/>
    <w:rsid w:val="004467C3"/>
    <w:rsid w:val="004567C8"/>
    <w:rsid w:val="00473B04"/>
    <w:rsid w:val="00475288"/>
    <w:rsid w:val="004B341B"/>
    <w:rsid w:val="004C0795"/>
    <w:rsid w:val="004C6D35"/>
    <w:rsid w:val="004D1D94"/>
    <w:rsid w:val="00551432"/>
    <w:rsid w:val="0055784D"/>
    <w:rsid w:val="005F639F"/>
    <w:rsid w:val="00612590"/>
    <w:rsid w:val="00644B17"/>
    <w:rsid w:val="00697985"/>
    <w:rsid w:val="006B05D5"/>
    <w:rsid w:val="006D45B1"/>
    <w:rsid w:val="00704A5A"/>
    <w:rsid w:val="0071282D"/>
    <w:rsid w:val="007265AD"/>
    <w:rsid w:val="007409BE"/>
    <w:rsid w:val="0077372B"/>
    <w:rsid w:val="0078581C"/>
    <w:rsid w:val="007E2A88"/>
    <w:rsid w:val="00833FA7"/>
    <w:rsid w:val="00883AA5"/>
    <w:rsid w:val="008855C3"/>
    <w:rsid w:val="00890CBD"/>
    <w:rsid w:val="008A1818"/>
    <w:rsid w:val="008B0AC5"/>
    <w:rsid w:val="008E380F"/>
    <w:rsid w:val="009051CC"/>
    <w:rsid w:val="00957D1E"/>
    <w:rsid w:val="00987C0A"/>
    <w:rsid w:val="009A371A"/>
    <w:rsid w:val="009D0F0C"/>
    <w:rsid w:val="009D52F6"/>
    <w:rsid w:val="00A02C03"/>
    <w:rsid w:val="00A26AE4"/>
    <w:rsid w:val="00A82EFA"/>
    <w:rsid w:val="00AC7D94"/>
    <w:rsid w:val="00AD0E7B"/>
    <w:rsid w:val="00B751B2"/>
    <w:rsid w:val="00BD2F25"/>
    <w:rsid w:val="00BF2AA3"/>
    <w:rsid w:val="00C278AB"/>
    <w:rsid w:val="00C31B96"/>
    <w:rsid w:val="00C42271"/>
    <w:rsid w:val="00C57D49"/>
    <w:rsid w:val="00C70795"/>
    <w:rsid w:val="00C77B1A"/>
    <w:rsid w:val="00C8018A"/>
    <w:rsid w:val="00C855C0"/>
    <w:rsid w:val="00CD3765"/>
    <w:rsid w:val="00D256A2"/>
    <w:rsid w:val="00D32546"/>
    <w:rsid w:val="00D86AAF"/>
    <w:rsid w:val="00D908E5"/>
    <w:rsid w:val="00E06C52"/>
    <w:rsid w:val="00E36424"/>
    <w:rsid w:val="00E40DB9"/>
    <w:rsid w:val="00E53AA8"/>
    <w:rsid w:val="00E61D8B"/>
    <w:rsid w:val="00E83835"/>
    <w:rsid w:val="00E906D8"/>
    <w:rsid w:val="00F03C9D"/>
    <w:rsid w:val="00F82AF5"/>
    <w:rsid w:val="00FA1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41FDE"/>
  <w15:chartTrackingRefBased/>
  <w15:docId w15:val="{9DCEDCB3-F6D2-4236-9B51-76E03580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E53AA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E53AA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E53AA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E53AA8"/>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E53AA8"/>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53AA8"/>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E53AA8"/>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E53AA8"/>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E53AA8"/>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AA8"/>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E53AA8"/>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E53AA8"/>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E53AA8"/>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E53AA8"/>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E53AA8"/>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E53AA8"/>
    <w:rPr>
      <w:rFonts w:cstheme="majorBidi"/>
      <w:b/>
      <w:bCs/>
      <w:color w:val="595959" w:themeColor="text1" w:themeTint="A6"/>
    </w:rPr>
  </w:style>
  <w:style w:type="character" w:customStyle="1" w:styleId="Heading8Char">
    <w:name w:val="Heading 8 Char"/>
    <w:basedOn w:val="DefaultParagraphFont"/>
    <w:link w:val="Heading8"/>
    <w:uiPriority w:val="9"/>
    <w:semiHidden/>
    <w:rsid w:val="00E53AA8"/>
    <w:rPr>
      <w:rFonts w:cstheme="majorBidi"/>
      <w:color w:val="595959" w:themeColor="text1" w:themeTint="A6"/>
    </w:rPr>
  </w:style>
  <w:style w:type="character" w:customStyle="1" w:styleId="Heading9Char">
    <w:name w:val="Heading 9 Char"/>
    <w:basedOn w:val="DefaultParagraphFont"/>
    <w:link w:val="Heading9"/>
    <w:uiPriority w:val="9"/>
    <w:semiHidden/>
    <w:rsid w:val="00E53AA8"/>
    <w:rPr>
      <w:rFonts w:eastAsiaTheme="majorEastAsia" w:cstheme="majorBidi"/>
      <w:color w:val="595959" w:themeColor="text1" w:themeTint="A6"/>
    </w:rPr>
  </w:style>
  <w:style w:type="paragraph" w:styleId="Title">
    <w:name w:val="Title"/>
    <w:basedOn w:val="Normal"/>
    <w:next w:val="Normal"/>
    <w:link w:val="TitleChar"/>
    <w:uiPriority w:val="10"/>
    <w:qFormat/>
    <w:rsid w:val="00E53AA8"/>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A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AA8"/>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53A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3AA8"/>
    <w:rPr>
      <w:i/>
      <w:iCs/>
      <w:color w:val="404040" w:themeColor="text1" w:themeTint="BF"/>
    </w:rPr>
  </w:style>
  <w:style w:type="paragraph" w:styleId="ListParagraph">
    <w:name w:val="List Paragraph"/>
    <w:basedOn w:val="Normal"/>
    <w:uiPriority w:val="34"/>
    <w:qFormat/>
    <w:rsid w:val="00E53AA8"/>
    <w:pPr>
      <w:ind w:left="720"/>
      <w:contextualSpacing/>
    </w:pPr>
  </w:style>
  <w:style w:type="character" w:styleId="IntenseEmphasis">
    <w:name w:val="Intense Emphasis"/>
    <w:basedOn w:val="DefaultParagraphFont"/>
    <w:uiPriority w:val="21"/>
    <w:qFormat/>
    <w:rsid w:val="00E53AA8"/>
    <w:rPr>
      <w:i/>
      <w:iCs/>
      <w:color w:val="0F4761" w:themeColor="accent1" w:themeShade="BF"/>
    </w:rPr>
  </w:style>
  <w:style w:type="paragraph" w:styleId="IntenseQuote">
    <w:name w:val="Intense Quote"/>
    <w:basedOn w:val="Normal"/>
    <w:next w:val="Normal"/>
    <w:link w:val="IntenseQuoteChar"/>
    <w:uiPriority w:val="30"/>
    <w:qFormat/>
    <w:rsid w:val="00E53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AA8"/>
    <w:rPr>
      <w:i/>
      <w:iCs/>
      <w:color w:val="0F4761" w:themeColor="accent1" w:themeShade="BF"/>
    </w:rPr>
  </w:style>
  <w:style w:type="character" w:styleId="IntenseReference">
    <w:name w:val="Intense Reference"/>
    <w:basedOn w:val="DefaultParagraphFont"/>
    <w:uiPriority w:val="32"/>
    <w:qFormat/>
    <w:rsid w:val="00E53AA8"/>
    <w:rPr>
      <w:b/>
      <w:bCs/>
      <w:smallCaps/>
      <w:color w:val="0F4761" w:themeColor="accent1" w:themeShade="BF"/>
      <w:spacing w:val="5"/>
    </w:rPr>
  </w:style>
  <w:style w:type="paragraph" w:styleId="Header">
    <w:name w:val="header"/>
    <w:basedOn w:val="Normal"/>
    <w:link w:val="HeaderChar"/>
    <w:uiPriority w:val="99"/>
    <w:unhideWhenUsed/>
    <w:rsid w:val="001B72BE"/>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B72BE"/>
    <w:rPr>
      <w:sz w:val="18"/>
      <w:szCs w:val="18"/>
    </w:rPr>
  </w:style>
  <w:style w:type="paragraph" w:styleId="Footer">
    <w:name w:val="footer"/>
    <w:basedOn w:val="Normal"/>
    <w:link w:val="FooterChar"/>
    <w:uiPriority w:val="99"/>
    <w:unhideWhenUsed/>
    <w:rsid w:val="001B72B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B72BE"/>
    <w:rPr>
      <w:sz w:val="18"/>
      <w:szCs w:val="18"/>
    </w:rPr>
  </w:style>
  <w:style w:type="paragraph" w:styleId="NormalWeb">
    <w:name w:val="Normal (Web)"/>
    <w:basedOn w:val="Normal"/>
    <w:uiPriority w:val="99"/>
    <w:semiHidden/>
    <w:unhideWhenUsed/>
    <w:rsid w:val="00C70795"/>
    <w:rPr>
      <w:rFonts w:ascii="Times New Roman" w:hAnsi="Times New Roman" w:cs="Times New Roman"/>
      <w:sz w:val="24"/>
      <w:szCs w:val="24"/>
    </w:rPr>
  </w:style>
  <w:style w:type="character" w:styleId="LineNumber">
    <w:name w:val="line number"/>
    <w:basedOn w:val="DefaultParagraphFont"/>
    <w:uiPriority w:val="99"/>
    <w:semiHidden/>
    <w:unhideWhenUsed/>
    <w:rsid w:val="0042373F"/>
  </w:style>
  <w:style w:type="character" w:styleId="PlaceholderText">
    <w:name w:val="Placeholder Text"/>
    <w:basedOn w:val="DefaultParagraphFont"/>
    <w:uiPriority w:val="99"/>
    <w:semiHidden/>
    <w:rsid w:val="007409BE"/>
    <w:rPr>
      <w:color w:val="666666"/>
    </w:rPr>
  </w:style>
  <w:style w:type="character" w:styleId="Strong">
    <w:name w:val="Strong"/>
    <w:basedOn w:val="DefaultParagraphFont"/>
    <w:uiPriority w:val="22"/>
    <w:qFormat/>
    <w:rsid w:val="00E61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1012</Words>
  <Characters>5770</Characters>
  <Application>Microsoft Office Word</Application>
  <DocSecurity>0</DocSecurity>
  <Lines>48</Lines>
  <Paragraphs>13</Paragraphs>
  <ScaleCrop>false</ScaleCrop>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 L</dc:creator>
  <cp:keywords/>
  <dc:description/>
  <cp:lastModifiedBy>Shaw, Grace</cp:lastModifiedBy>
  <cp:revision>3</cp:revision>
  <dcterms:created xsi:type="dcterms:W3CDTF">2026-04-19T22:39:00Z</dcterms:created>
  <dcterms:modified xsi:type="dcterms:W3CDTF">2026-04-19T22:40:00Z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35e45388,3baa0edd,597f80ad</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2026-04-19T22:39:26Z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51f86602-f2dc-4c5c-8bd6-48c2d6836069</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