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4C27" w14:textId="1C49000C" w:rsidR="008E1FD2" w:rsidRPr="000345F4" w:rsidRDefault="008E1FD2" w:rsidP="000345F4">
      <w:pPr>
        <w:spacing w:after="0" w:line="360" w:lineRule="auto"/>
        <w:jc w:val="both"/>
        <w:rPr>
          <w:rFonts w:ascii="Times New Roman" w:hAnsi="Times New Roman" w:cs="Times New Roman"/>
          <w:b/>
          <w:bCs/>
        </w:rPr>
      </w:pPr>
      <w:bookmarkStart w:id="0" w:name="revised-tables"/>
      <w:bookmarkStart w:id="1" w:name="Xd491f8b484ec7d3179f0a23bca4ce8a08f09a6c"/>
      <w:r w:rsidRPr="000345F4">
        <w:rPr>
          <w:rFonts w:ascii="Times New Roman" w:hAnsi="Times New Roman" w:cs="Times New Roman"/>
          <w:b/>
          <w:bCs/>
        </w:rPr>
        <w:t>Supplementary Table S1. Effect sizes and confidence intervals for secondary outcomes.</w:t>
      </w:r>
    </w:p>
    <w:tbl>
      <w:tblPr>
        <w:tblStyle w:val="TableGrid"/>
        <w:tblW w:w="9388" w:type="dxa"/>
        <w:tblLook w:val="0020" w:firstRow="1" w:lastRow="0" w:firstColumn="0" w:lastColumn="0" w:noHBand="0" w:noVBand="0"/>
      </w:tblPr>
      <w:tblGrid>
        <w:gridCol w:w="3439"/>
        <w:gridCol w:w="1214"/>
        <w:gridCol w:w="1206"/>
        <w:gridCol w:w="1038"/>
        <w:gridCol w:w="2491"/>
      </w:tblGrid>
      <w:tr w:rsidR="008E1FD2" w:rsidRPr="000345F4" w14:paraId="3DBF1354" w14:textId="77777777" w:rsidTr="000345F4">
        <w:trPr>
          <w:trHeight w:val="589"/>
        </w:trPr>
        <w:tc>
          <w:tcPr>
            <w:tcW w:w="0" w:type="auto"/>
          </w:tcPr>
          <w:p w14:paraId="5618727F"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Outcome</w:t>
            </w:r>
          </w:p>
        </w:tc>
        <w:tc>
          <w:tcPr>
            <w:tcW w:w="0" w:type="auto"/>
          </w:tcPr>
          <w:p w14:paraId="02ED5592"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Cohen’s d</w:t>
            </w:r>
          </w:p>
        </w:tc>
        <w:tc>
          <w:tcPr>
            <w:tcW w:w="0" w:type="auto"/>
          </w:tcPr>
          <w:p w14:paraId="65F876F0"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95% CI</w:t>
            </w:r>
          </w:p>
        </w:tc>
        <w:tc>
          <w:tcPr>
            <w:tcW w:w="0" w:type="auto"/>
          </w:tcPr>
          <w:p w14:paraId="07F7B82D"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P value</w:t>
            </w:r>
          </w:p>
        </w:tc>
        <w:tc>
          <w:tcPr>
            <w:tcW w:w="0" w:type="auto"/>
          </w:tcPr>
          <w:p w14:paraId="45613871"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Bonferroni-corrected α</w:t>
            </w:r>
          </w:p>
        </w:tc>
      </w:tr>
      <w:tr w:rsidR="008E1FD2" w:rsidRPr="000345F4" w14:paraId="2D450C72" w14:textId="77777777" w:rsidTr="000345F4">
        <w:trPr>
          <w:trHeight w:val="578"/>
        </w:trPr>
        <w:tc>
          <w:tcPr>
            <w:tcW w:w="0" w:type="auto"/>
          </w:tcPr>
          <w:p w14:paraId="665553E8"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b/>
                <w:bCs/>
              </w:rPr>
              <w:t>Oxygenation Parameters</w:t>
            </w:r>
          </w:p>
        </w:tc>
        <w:tc>
          <w:tcPr>
            <w:tcW w:w="0" w:type="auto"/>
          </w:tcPr>
          <w:p w14:paraId="7280D5AD" w14:textId="77777777" w:rsidR="008E1FD2" w:rsidRPr="000345F4" w:rsidRDefault="008E1FD2" w:rsidP="000345F4">
            <w:pPr>
              <w:spacing w:line="360" w:lineRule="auto"/>
              <w:jc w:val="both"/>
              <w:rPr>
                <w:rFonts w:ascii="Times New Roman" w:hAnsi="Times New Roman" w:cs="Times New Roman"/>
              </w:rPr>
            </w:pPr>
          </w:p>
        </w:tc>
        <w:tc>
          <w:tcPr>
            <w:tcW w:w="0" w:type="auto"/>
          </w:tcPr>
          <w:p w14:paraId="53924B5A" w14:textId="77777777" w:rsidR="008E1FD2" w:rsidRPr="000345F4" w:rsidRDefault="008E1FD2" w:rsidP="000345F4">
            <w:pPr>
              <w:spacing w:line="360" w:lineRule="auto"/>
              <w:jc w:val="both"/>
              <w:rPr>
                <w:rFonts w:ascii="Times New Roman" w:hAnsi="Times New Roman" w:cs="Times New Roman"/>
              </w:rPr>
            </w:pPr>
          </w:p>
        </w:tc>
        <w:tc>
          <w:tcPr>
            <w:tcW w:w="0" w:type="auto"/>
          </w:tcPr>
          <w:p w14:paraId="2E619F20" w14:textId="77777777" w:rsidR="008E1FD2" w:rsidRPr="000345F4" w:rsidRDefault="008E1FD2" w:rsidP="000345F4">
            <w:pPr>
              <w:spacing w:line="360" w:lineRule="auto"/>
              <w:jc w:val="both"/>
              <w:rPr>
                <w:rFonts w:ascii="Times New Roman" w:hAnsi="Times New Roman" w:cs="Times New Roman"/>
              </w:rPr>
            </w:pPr>
          </w:p>
        </w:tc>
        <w:tc>
          <w:tcPr>
            <w:tcW w:w="0" w:type="auto"/>
          </w:tcPr>
          <w:p w14:paraId="722269E3" w14:textId="77777777" w:rsidR="008E1FD2" w:rsidRPr="000345F4" w:rsidRDefault="008E1FD2" w:rsidP="000345F4">
            <w:pPr>
              <w:spacing w:line="360" w:lineRule="auto"/>
              <w:jc w:val="both"/>
              <w:rPr>
                <w:rFonts w:ascii="Times New Roman" w:hAnsi="Times New Roman" w:cs="Times New Roman"/>
              </w:rPr>
            </w:pPr>
          </w:p>
        </w:tc>
      </w:tr>
      <w:tr w:rsidR="008E1FD2" w:rsidRPr="000345F4" w14:paraId="7A0F909C" w14:textId="77777777" w:rsidTr="000345F4">
        <w:trPr>
          <w:trHeight w:val="589"/>
        </w:trPr>
        <w:tc>
          <w:tcPr>
            <w:tcW w:w="0" w:type="auto"/>
          </w:tcPr>
          <w:p w14:paraId="4CFB494E" w14:textId="77777777" w:rsidR="008E1FD2" w:rsidRPr="000345F4" w:rsidRDefault="008E1FD2" w:rsidP="000345F4">
            <w:pPr>
              <w:spacing w:line="360" w:lineRule="auto"/>
              <w:jc w:val="both"/>
              <w:rPr>
                <w:rFonts w:ascii="Times New Roman" w:hAnsi="Times New Roman" w:cs="Times New Roman"/>
              </w:rPr>
            </w:pPr>
            <w:proofErr w:type="spellStart"/>
            <w:r w:rsidRPr="000345F4">
              <w:rPr>
                <w:rFonts w:ascii="Times New Roman" w:hAnsi="Times New Roman" w:cs="Times New Roman"/>
              </w:rPr>
              <w:t>MSaO</w:t>
            </w:r>
            <w:proofErr w:type="spellEnd"/>
            <w:r w:rsidRPr="000345F4">
              <w:rPr>
                <w:rFonts w:ascii="Times New Roman" w:hAnsi="Times New Roman" w:cs="Times New Roman"/>
              </w:rPr>
              <w:t>₂ (post-intervention)</w:t>
            </w:r>
          </w:p>
        </w:tc>
        <w:tc>
          <w:tcPr>
            <w:tcW w:w="0" w:type="auto"/>
          </w:tcPr>
          <w:p w14:paraId="5F3811A5"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0.89</w:t>
            </w:r>
          </w:p>
        </w:tc>
        <w:tc>
          <w:tcPr>
            <w:tcW w:w="0" w:type="auto"/>
          </w:tcPr>
          <w:p w14:paraId="0509DEC1"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0.48–1.30</w:t>
            </w:r>
          </w:p>
        </w:tc>
        <w:tc>
          <w:tcPr>
            <w:tcW w:w="0" w:type="auto"/>
          </w:tcPr>
          <w:p w14:paraId="66B35699"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090E062D"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0.025</w:t>
            </w:r>
          </w:p>
        </w:tc>
      </w:tr>
      <w:tr w:rsidR="008E1FD2" w:rsidRPr="000345F4" w14:paraId="63036BBC" w14:textId="77777777" w:rsidTr="000345F4">
        <w:trPr>
          <w:trHeight w:val="578"/>
        </w:trPr>
        <w:tc>
          <w:tcPr>
            <w:tcW w:w="0" w:type="auto"/>
          </w:tcPr>
          <w:p w14:paraId="422BAD94" w14:textId="77777777" w:rsidR="008E1FD2" w:rsidRPr="000345F4" w:rsidRDefault="008E1FD2" w:rsidP="000345F4">
            <w:pPr>
              <w:spacing w:line="360" w:lineRule="auto"/>
              <w:jc w:val="both"/>
              <w:rPr>
                <w:rFonts w:ascii="Times New Roman" w:hAnsi="Times New Roman" w:cs="Times New Roman"/>
              </w:rPr>
            </w:pPr>
            <w:proofErr w:type="spellStart"/>
            <w:r w:rsidRPr="000345F4">
              <w:rPr>
                <w:rFonts w:ascii="Times New Roman" w:hAnsi="Times New Roman" w:cs="Times New Roman"/>
              </w:rPr>
              <w:t>LSaO</w:t>
            </w:r>
            <w:proofErr w:type="spellEnd"/>
            <w:r w:rsidRPr="000345F4">
              <w:rPr>
                <w:rFonts w:ascii="Times New Roman" w:hAnsi="Times New Roman" w:cs="Times New Roman"/>
              </w:rPr>
              <w:t>₂ (post-intervention)</w:t>
            </w:r>
          </w:p>
        </w:tc>
        <w:tc>
          <w:tcPr>
            <w:tcW w:w="0" w:type="auto"/>
          </w:tcPr>
          <w:p w14:paraId="20AED8D0"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0.95</w:t>
            </w:r>
          </w:p>
        </w:tc>
        <w:tc>
          <w:tcPr>
            <w:tcW w:w="0" w:type="auto"/>
          </w:tcPr>
          <w:p w14:paraId="6EC0796E"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0.53–1.36</w:t>
            </w:r>
          </w:p>
        </w:tc>
        <w:tc>
          <w:tcPr>
            <w:tcW w:w="0" w:type="auto"/>
          </w:tcPr>
          <w:p w14:paraId="68FF50F1"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25D1219E"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0.025</w:t>
            </w:r>
          </w:p>
        </w:tc>
      </w:tr>
      <w:tr w:rsidR="008E1FD2" w:rsidRPr="000345F4" w14:paraId="4ACC0FB2" w14:textId="77777777" w:rsidTr="000345F4">
        <w:trPr>
          <w:trHeight w:val="589"/>
        </w:trPr>
        <w:tc>
          <w:tcPr>
            <w:tcW w:w="0" w:type="auto"/>
          </w:tcPr>
          <w:p w14:paraId="1548F420"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b/>
                <w:bCs/>
              </w:rPr>
              <w:t>Sleep Architecture Parameters</w:t>
            </w:r>
          </w:p>
        </w:tc>
        <w:tc>
          <w:tcPr>
            <w:tcW w:w="0" w:type="auto"/>
          </w:tcPr>
          <w:p w14:paraId="2ACA2786" w14:textId="77777777" w:rsidR="008E1FD2" w:rsidRPr="000345F4" w:rsidRDefault="008E1FD2" w:rsidP="000345F4">
            <w:pPr>
              <w:spacing w:line="360" w:lineRule="auto"/>
              <w:jc w:val="both"/>
              <w:rPr>
                <w:rFonts w:ascii="Times New Roman" w:hAnsi="Times New Roman" w:cs="Times New Roman"/>
              </w:rPr>
            </w:pPr>
          </w:p>
        </w:tc>
        <w:tc>
          <w:tcPr>
            <w:tcW w:w="0" w:type="auto"/>
          </w:tcPr>
          <w:p w14:paraId="285B067D" w14:textId="77777777" w:rsidR="008E1FD2" w:rsidRPr="000345F4" w:rsidRDefault="008E1FD2" w:rsidP="000345F4">
            <w:pPr>
              <w:spacing w:line="360" w:lineRule="auto"/>
              <w:jc w:val="both"/>
              <w:rPr>
                <w:rFonts w:ascii="Times New Roman" w:hAnsi="Times New Roman" w:cs="Times New Roman"/>
              </w:rPr>
            </w:pPr>
          </w:p>
        </w:tc>
        <w:tc>
          <w:tcPr>
            <w:tcW w:w="0" w:type="auto"/>
          </w:tcPr>
          <w:p w14:paraId="4714B5D6" w14:textId="77777777" w:rsidR="008E1FD2" w:rsidRPr="000345F4" w:rsidRDefault="008E1FD2" w:rsidP="000345F4">
            <w:pPr>
              <w:spacing w:line="360" w:lineRule="auto"/>
              <w:jc w:val="both"/>
              <w:rPr>
                <w:rFonts w:ascii="Times New Roman" w:hAnsi="Times New Roman" w:cs="Times New Roman"/>
              </w:rPr>
            </w:pPr>
          </w:p>
        </w:tc>
        <w:tc>
          <w:tcPr>
            <w:tcW w:w="0" w:type="auto"/>
          </w:tcPr>
          <w:p w14:paraId="0090B713" w14:textId="77777777" w:rsidR="008E1FD2" w:rsidRPr="000345F4" w:rsidRDefault="008E1FD2" w:rsidP="000345F4">
            <w:pPr>
              <w:spacing w:line="360" w:lineRule="auto"/>
              <w:jc w:val="both"/>
              <w:rPr>
                <w:rFonts w:ascii="Times New Roman" w:hAnsi="Times New Roman" w:cs="Times New Roman"/>
              </w:rPr>
            </w:pPr>
          </w:p>
        </w:tc>
      </w:tr>
      <w:tr w:rsidR="008E1FD2" w:rsidRPr="000345F4" w14:paraId="35439952" w14:textId="77777777" w:rsidTr="000345F4">
        <w:trPr>
          <w:trHeight w:val="589"/>
        </w:trPr>
        <w:tc>
          <w:tcPr>
            <w:tcW w:w="0" w:type="auto"/>
          </w:tcPr>
          <w:p w14:paraId="1182F78F"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Obstructive apnea frequency</w:t>
            </w:r>
          </w:p>
        </w:tc>
        <w:tc>
          <w:tcPr>
            <w:tcW w:w="0" w:type="auto"/>
          </w:tcPr>
          <w:p w14:paraId="685FEA5C"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0.92</w:t>
            </w:r>
          </w:p>
        </w:tc>
        <w:tc>
          <w:tcPr>
            <w:tcW w:w="0" w:type="auto"/>
          </w:tcPr>
          <w:p w14:paraId="42AEBB37"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0.50–1.33</w:t>
            </w:r>
          </w:p>
        </w:tc>
        <w:tc>
          <w:tcPr>
            <w:tcW w:w="0" w:type="auto"/>
          </w:tcPr>
          <w:p w14:paraId="4451071F"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738AF771"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0.0125</w:t>
            </w:r>
          </w:p>
        </w:tc>
      </w:tr>
      <w:tr w:rsidR="008E1FD2" w:rsidRPr="000345F4" w14:paraId="399D1898" w14:textId="77777777" w:rsidTr="000345F4">
        <w:trPr>
          <w:trHeight w:val="578"/>
        </w:trPr>
        <w:tc>
          <w:tcPr>
            <w:tcW w:w="0" w:type="auto"/>
          </w:tcPr>
          <w:p w14:paraId="7D5DAE96"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Awakening frequency</w:t>
            </w:r>
          </w:p>
        </w:tc>
        <w:tc>
          <w:tcPr>
            <w:tcW w:w="0" w:type="auto"/>
          </w:tcPr>
          <w:p w14:paraId="0DFF9B7E"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1.05</w:t>
            </w:r>
          </w:p>
        </w:tc>
        <w:tc>
          <w:tcPr>
            <w:tcW w:w="0" w:type="auto"/>
          </w:tcPr>
          <w:p w14:paraId="21FCF2F0"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0.62–1.47</w:t>
            </w:r>
          </w:p>
        </w:tc>
        <w:tc>
          <w:tcPr>
            <w:tcW w:w="0" w:type="auto"/>
          </w:tcPr>
          <w:p w14:paraId="0000A394"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339015B2"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0.0125</w:t>
            </w:r>
          </w:p>
        </w:tc>
      </w:tr>
      <w:tr w:rsidR="008E1FD2" w:rsidRPr="000345F4" w14:paraId="2AA86BE5" w14:textId="77777777" w:rsidTr="000345F4">
        <w:trPr>
          <w:trHeight w:val="589"/>
        </w:trPr>
        <w:tc>
          <w:tcPr>
            <w:tcW w:w="0" w:type="auto"/>
          </w:tcPr>
          <w:p w14:paraId="5AC5590E"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Sleep onset latency</w:t>
            </w:r>
          </w:p>
        </w:tc>
        <w:tc>
          <w:tcPr>
            <w:tcW w:w="0" w:type="auto"/>
          </w:tcPr>
          <w:p w14:paraId="5FF6661F"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0.87</w:t>
            </w:r>
          </w:p>
        </w:tc>
        <w:tc>
          <w:tcPr>
            <w:tcW w:w="0" w:type="auto"/>
          </w:tcPr>
          <w:p w14:paraId="0AB88CA8"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0.46–1.28</w:t>
            </w:r>
          </w:p>
        </w:tc>
        <w:tc>
          <w:tcPr>
            <w:tcW w:w="0" w:type="auto"/>
          </w:tcPr>
          <w:p w14:paraId="64F8B0E4"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33A70CF2"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0.0125</w:t>
            </w:r>
          </w:p>
        </w:tc>
      </w:tr>
      <w:tr w:rsidR="008E1FD2" w:rsidRPr="000345F4" w14:paraId="5479DF85" w14:textId="77777777" w:rsidTr="000345F4">
        <w:trPr>
          <w:trHeight w:val="578"/>
        </w:trPr>
        <w:tc>
          <w:tcPr>
            <w:tcW w:w="0" w:type="auto"/>
          </w:tcPr>
          <w:p w14:paraId="1A3FEAB7"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Hypoventilation frequency</w:t>
            </w:r>
          </w:p>
        </w:tc>
        <w:tc>
          <w:tcPr>
            <w:tcW w:w="0" w:type="auto"/>
          </w:tcPr>
          <w:p w14:paraId="211C1CA3"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0.78</w:t>
            </w:r>
          </w:p>
        </w:tc>
        <w:tc>
          <w:tcPr>
            <w:tcW w:w="0" w:type="auto"/>
          </w:tcPr>
          <w:p w14:paraId="4E836EDB"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0.37–1.18</w:t>
            </w:r>
          </w:p>
        </w:tc>
        <w:tc>
          <w:tcPr>
            <w:tcW w:w="0" w:type="auto"/>
          </w:tcPr>
          <w:p w14:paraId="2340B901"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05060EFE"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0.0125</w:t>
            </w:r>
          </w:p>
        </w:tc>
      </w:tr>
      <w:tr w:rsidR="008E1FD2" w:rsidRPr="000345F4" w14:paraId="145C540A" w14:textId="77777777" w:rsidTr="000345F4">
        <w:trPr>
          <w:trHeight w:val="589"/>
        </w:trPr>
        <w:tc>
          <w:tcPr>
            <w:tcW w:w="0" w:type="auto"/>
          </w:tcPr>
          <w:p w14:paraId="6280C276"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b/>
                <w:bCs/>
              </w:rPr>
              <w:t>Psychological Outcomes</w:t>
            </w:r>
          </w:p>
        </w:tc>
        <w:tc>
          <w:tcPr>
            <w:tcW w:w="0" w:type="auto"/>
          </w:tcPr>
          <w:p w14:paraId="00B11E36" w14:textId="77777777" w:rsidR="008E1FD2" w:rsidRPr="000345F4" w:rsidRDefault="008E1FD2" w:rsidP="000345F4">
            <w:pPr>
              <w:spacing w:line="360" w:lineRule="auto"/>
              <w:jc w:val="both"/>
              <w:rPr>
                <w:rFonts w:ascii="Times New Roman" w:hAnsi="Times New Roman" w:cs="Times New Roman"/>
              </w:rPr>
            </w:pPr>
          </w:p>
        </w:tc>
        <w:tc>
          <w:tcPr>
            <w:tcW w:w="0" w:type="auto"/>
          </w:tcPr>
          <w:p w14:paraId="25E09BF7" w14:textId="77777777" w:rsidR="008E1FD2" w:rsidRPr="000345F4" w:rsidRDefault="008E1FD2" w:rsidP="000345F4">
            <w:pPr>
              <w:spacing w:line="360" w:lineRule="auto"/>
              <w:jc w:val="both"/>
              <w:rPr>
                <w:rFonts w:ascii="Times New Roman" w:hAnsi="Times New Roman" w:cs="Times New Roman"/>
              </w:rPr>
            </w:pPr>
          </w:p>
        </w:tc>
        <w:tc>
          <w:tcPr>
            <w:tcW w:w="0" w:type="auto"/>
          </w:tcPr>
          <w:p w14:paraId="34CC1BDD" w14:textId="77777777" w:rsidR="008E1FD2" w:rsidRPr="000345F4" w:rsidRDefault="008E1FD2" w:rsidP="000345F4">
            <w:pPr>
              <w:spacing w:line="360" w:lineRule="auto"/>
              <w:jc w:val="both"/>
              <w:rPr>
                <w:rFonts w:ascii="Times New Roman" w:hAnsi="Times New Roman" w:cs="Times New Roman"/>
              </w:rPr>
            </w:pPr>
          </w:p>
        </w:tc>
        <w:tc>
          <w:tcPr>
            <w:tcW w:w="0" w:type="auto"/>
          </w:tcPr>
          <w:p w14:paraId="1555B70E" w14:textId="77777777" w:rsidR="008E1FD2" w:rsidRPr="000345F4" w:rsidRDefault="008E1FD2" w:rsidP="000345F4">
            <w:pPr>
              <w:spacing w:line="360" w:lineRule="auto"/>
              <w:jc w:val="both"/>
              <w:rPr>
                <w:rFonts w:ascii="Times New Roman" w:hAnsi="Times New Roman" w:cs="Times New Roman"/>
              </w:rPr>
            </w:pPr>
          </w:p>
        </w:tc>
      </w:tr>
      <w:tr w:rsidR="008E1FD2" w:rsidRPr="000345F4" w14:paraId="54F2F3B6" w14:textId="77777777" w:rsidTr="000345F4">
        <w:trPr>
          <w:trHeight w:val="578"/>
        </w:trPr>
        <w:tc>
          <w:tcPr>
            <w:tcW w:w="0" w:type="auto"/>
          </w:tcPr>
          <w:p w14:paraId="3510CB74"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SAS score (post-intervention)</w:t>
            </w:r>
          </w:p>
        </w:tc>
        <w:tc>
          <w:tcPr>
            <w:tcW w:w="0" w:type="auto"/>
          </w:tcPr>
          <w:p w14:paraId="6059EBBB"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1.12</w:t>
            </w:r>
          </w:p>
        </w:tc>
        <w:tc>
          <w:tcPr>
            <w:tcW w:w="0" w:type="auto"/>
          </w:tcPr>
          <w:p w14:paraId="74B54B2C"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0.69–1.55</w:t>
            </w:r>
          </w:p>
        </w:tc>
        <w:tc>
          <w:tcPr>
            <w:tcW w:w="0" w:type="auto"/>
          </w:tcPr>
          <w:p w14:paraId="6A11BE3C"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45BBE953"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0.025</w:t>
            </w:r>
          </w:p>
        </w:tc>
      </w:tr>
      <w:tr w:rsidR="008E1FD2" w:rsidRPr="000345F4" w14:paraId="35D1C886" w14:textId="77777777" w:rsidTr="000345F4">
        <w:trPr>
          <w:trHeight w:val="589"/>
        </w:trPr>
        <w:tc>
          <w:tcPr>
            <w:tcW w:w="0" w:type="auto"/>
          </w:tcPr>
          <w:p w14:paraId="077C6FCD"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SDS score (post-intervention)</w:t>
            </w:r>
          </w:p>
        </w:tc>
        <w:tc>
          <w:tcPr>
            <w:tcW w:w="0" w:type="auto"/>
          </w:tcPr>
          <w:p w14:paraId="4BD9C76A"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0.98</w:t>
            </w:r>
          </w:p>
        </w:tc>
        <w:tc>
          <w:tcPr>
            <w:tcW w:w="0" w:type="auto"/>
          </w:tcPr>
          <w:p w14:paraId="7CC41355"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0.56–1.40</w:t>
            </w:r>
          </w:p>
        </w:tc>
        <w:tc>
          <w:tcPr>
            <w:tcW w:w="0" w:type="auto"/>
          </w:tcPr>
          <w:p w14:paraId="09269E51"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&lt;0.0001</w:t>
            </w:r>
          </w:p>
        </w:tc>
        <w:tc>
          <w:tcPr>
            <w:tcW w:w="0" w:type="auto"/>
          </w:tcPr>
          <w:p w14:paraId="29943569" w14:textId="77777777" w:rsidR="008E1FD2" w:rsidRPr="000345F4" w:rsidRDefault="008E1FD2" w:rsidP="000345F4">
            <w:pPr>
              <w:spacing w:line="360" w:lineRule="auto"/>
              <w:jc w:val="both"/>
              <w:rPr>
                <w:rFonts w:ascii="Times New Roman" w:hAnsi="Times New Roman" w:cs="Times New Roman"/>
              </w:rPr>
            </w:pPr>
            <w:r w:rsidRPr="000345F4">
              <w:rPr>
                <w:rFonts w:ascii="Times New Roman" w:hAnsi="Times New Roman" w:cs="Times New Roman"/>
              </w:rPr>
              <w:t>0.025</w:t>
            </w:r>
          </w:p>
        </w:tc>
      </w:tr>
    </w:tbl>
    <w:p w14:paraId="4C068C2E" w14:textId="37939DF5" w:rsidR="008E1FD2" w:rsidRPr="000345F4" w:rsidRDefault="008E1FD2" w:rsidP="000345F4">
      <w:pPr>
        <w:spacing w:after="0" w:line="360" w:lineRule="auto"/>
        <w:jc w:val="both"/>
        <w:rPr>
          <w:rFonts w:ascii="Times New Roman" w:hAnsi="Times New Roman" w:cs="Times New Roman"/>
        </w:rPr>
      </w:pPr>
      <w:r w:rsidRPr="000345F4">
        <w:rPr>
          <w:rFonts w:ascii="Times New Roman" w:hAnsi="Times New Roman" w:cs="Times New Roman"/>
          <w:i/>
          <w:iCs/>
        </w:rPr>
        <w:t xml:space="preserve">Abbreviations: </w:t>
      </w:r>
      <w:proofErr w:type="spellStart"/>
      <w:r w:rsidRPr="000345F4">
        <w:rPr>
          <w:rFonts w:ascii="Times New Roman" w:hAnsi="Times New Roman" w:cs="Times New Roman"/>
          <w:i/>
          <w:iCs/>
        </w:rPr>
        <w:t>MSaO</w:t>
      </w:r>
      <w:proofErr w:type="spellEnd"/>
      <w:r w:rsidRPr="000345F4">
        <w:rPr>
          <w:rFonts w:ascii="Times New Roman" w:hAnsi="Times New Roman" w:cs="Times New Roman"/>
          <w:i/>
          <w:iCs/>
        </w:rPr>
        <w:t xml:space="preserve">₂, mean arterial oxygen saturation; </w:t>
      </w:r>
      <w:proofErr w:type="spellStart"/>
      <w:r w:rsidRPr="000345F4">
        <w:rPr>
          <w:rFonts w:ascii="Times New Roman" w:hAnsi="Times New Roman" w:cs="Times New Roman"/>
          <w:i/>
          <w:iCs/>
        </w:rPr>
        <w:t>LSaO</w:t>
      </w:r>
      <w:proofErr w:type="spellEnd"/>
      <w:r w:rsidRPr="000345F4">
        <w:rPr>
          <w:rFonts w:ascii="Times New Roman" w:hAnsi="Times New Roman" w:cs="Times New Roman"/>
          <w:i/>
          <w:iCs/>
        </w:rPr>
        <w:t>₂, least arterial oxygen saturation; SAS, Self-rating Anxiety Scale; SDS, Self-rating Depression Scale; CI, confidence interval.</w:t>
      </w:r>
      <w:r w:rsidRPr="000345F4">
        <w:rPr>
          <w:rFonts w:ascii="Times New Roman" w:hAnsi="Times New Roman" w:cs="Times New Roman"/>
        </w:rPr>
        <w:t xml:space="preserve"> </w:t>
      </w:r>
      <w:r w:rsidRPr="000345F4">
        <w:rPr>
          <w:rFonts w:ascii="Times New Roman" w:hAnsi="Times New Roman" w:cs="Times New Roman"/>
          <w:i/>
          <w:iCs/>
        </w:rPr>
        <w:t>Note: Cohen’s d values of 0.2, 0.5, and 0.8 are conventionally interpreted as small, medium, and large effects, respectively. Bonferroni correction was applied within each outcome domain. All results remained statistically significant after correction.</w:t>
      </w:r>
    </w:p>
    <w:bookmarkEnd w:id="0"/>
    <w:bookmarkEnd w:id="1"/>
    <w:p w14:paraId="3A344A4E" w14:textId="77777777" w:rsidR="00BA4021" w:rsidRPr="000345F4" w:rsidRDefault="00BA4021" w:rsidP="000345F4">
      <w:pPr>
        <w:spacing w:after="0" w:line="360" w:lineRule="auto"/>
        <w:jc w:val="both"/>
        <w:rPr>
          <w:rFonts w:ascii="Times New Roman" w:hAnsi="Times New Roman" w:cs="Times New Roman"/>
        </w:rPr>
      </w:pPr>
    </w:p>
    <w:sectPr w:rsidR="00BA4021" w:rsidRPr="000345F4" w:rsidSect="008E1F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D2"/>
    <w:rsid w:val="000345F4"/>
    <w:rsid w:val="003D4853"/>
    <w:rsid w:val="004B466D"/>
    <w:rsid w:val="005A7105"/>
    <w:rsid w:val="0068265B"/>
    <w:rsid w:val="008A23F7"/>
    <w:rsid w:val="008E1FD2"/>
    <w:rsid w:val="00996D19"/>
    <w:rsid w:val="00BA4021"/>
    <w:rsid w:val="00F038E3"/>
    <w:rsid w:val="00F0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A38F"/>
  <w15:chartTrackingRefBased/>
  <w15:docId w15:val="{ED0F9F38-B4E7-49C1-B988-5A077E98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D2"/>
    <w:rPr>
      <w:rFonts w:eastAsiaTheme="majorEastAsia" w:cstheme="majorBidi"/>
      <w:color w:val="272727" w:themeColor="text1" w:themeTint="D8"/>
    </w:rPr>
  </w:style>
  <w:style w:type="paragraph" w:styleId="Title">
    <w:name w:val="Title"/>
    <w:basedOn w:val="Normal"/>
    <w:next w:val="Normal"/>
    <w:link w:val="TitleChar"/>
    <w:uiPriority w:val="10"/>
    <w:qFormat/>
    <w:rsid w:val="008E1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D2"/>
    <w:pPr>
      <w:spacing w:before="160"/>
      <w:jc w:val="center"/>
    </w:pPr>
    <w:rPr>
      <w:i/>
      <w:iCs/>
      <w:color w:val="404040" w:themeColor="text1" w:themeTint="BF"/>
    </w:rPr>
  </w:style>
  <w:style w:type="character" w:customStyle="1" w:styleId="QuoteChar">
    <w:name w:val="Quote Char"/>
    <w:basedOn w:val="DefaultParagraphFont"/>
    <w:link w:val="Quote"/>
    <w:uiPriority w:val="29"/>
    <w:rsid w:val="008E1FD2"/>
    <w:rPr>
      <w:i/>
      <w:iCs/>
      <w:color w:val="404040" w:themeColor="text1" w:themeTint="BF"/>
    </w:rPr>
  </w:style>
  <w:style w:type="paragraph" w:styleId="ListParagraph">
    <w:name w:val="List Paragraph"/>
    <w:basedOn w:val="Normal"/>
    <w:uiPriority w:val="34"/>
    <w:qFormat/>
    <w:rsid w:val="008E1FD2"/>
    <w:pPr>
      <w:ind w:left="720"/>
      <w:contextualSpacing/>
    </w:pPr>
  </w:style>
  <w:style w:type="character" w:styleId="IntenseEmphasis">
    <w:name w:val="Intense Emphasis"/>
    <w:basedOn w:val="DefaultParagraphFont"/>
    <w:uiPriority w:val="21"/>
    <w:qFormat/>
    <w:rsid w:val="008E1FD2"/>
    <w:rPr>
      <w:i/>
      <w:iCs/>
      <w:color w:val="0F4761" w:themeColor="accent1" w:themeShade="BF"/>
    </w:rPr>
  </w:style>
  <w:style w:type="paragraph" w:styleId="IntenseQuote">
    <w:name w:val="Intense Quote"/>
    <w:basedOn w:val="Normal"/>
    <w:next w:val="Normal"/>
    <w:link w:val="IntenseQuoteChar"/>
    <w:uiPriority w:val="30"/>
    <w:qFormat/>
    <w:rsid w:val="008E1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D2"/>
    <w:rPr>
      <w:i/>
      <w:iCs/>
      <w:color w:val="0F4761" w:themeColor="accent1" w:themeShade="BF"/>
    </w:rPr>
  </w:style>
  <w:style w:type="character" w:styleId="IntenseReference">
    <w:name w:val="Intense Reference"/>
    <w:basedOn w:val="DefaultParagraphFont"/>
    <w:uiPriority w:val="32"/>
    <w:qFormat/>
    <w:rsid w:val="008E1FD2"/>
    <w:rPr>
      <w:b/>
      <w:bCs/>
      <w:smallCaps/>
      <w:color w:val="0F4761" w:themeColor="accent1" w:themeShade="BF"/>
      <w:spacing w:val="5"/>
    </w:rPr>
  </w:style>
  <w:style w:type="table" w:styleId="TableGrid">
    <w:name w:val="Table Grid"/>
    <w:basedOn w:val="TableNormal"/>
    <w:uiPriority w:val="39"/>
    <w:rsid w:val="008E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dcterms:created xsi:type="dcterms:W3CDTF">2026-03-24T15:15:00Z</dcterms:created>
  <dcterms:modified xsi:type="dcterms:W3CDTF">2026-04-01T19:33:00Z</dcterms:modified>
</cp:coreProperties>
</file>