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D342B">
      <w:pPr>
        <w:widowControl/>
        <w:snapToGrid w:val="0"/>
        <w:spacing w:before="100" w:beforeAutospacing="1" w:after="100" w:afterAutospacing="1" w:line="240" w:lineRule="auto"/>
        <w:ind w:firstLine="0" w:firstLineChars="0"/>
        <w:jc w:val="center"/>
        <w:outlineLvl w:val="0"/>
        <w:rPr>
          <w:rFonts w:eastAsia="黑体"/>
          <w:b/>
          <w:bCs/>
          <w:sz w:val="22"/>
          <w:szCs w:val="22"/>
        </w:rPr>
      </w:pPr>
      <w:r>
        <w:rPr>
          <w:rFonts w:hint="eastAsia" w:eastAsia="黑体"/>
          <w:b/>
          <w:bCs/>
          <w:sz w:val="22"/>
          <w:szCs w:val="22"/>
          <w:lang w:val="en-US" w:eastAsia="zh-CN"/>
        </w:rPr>
        <w:t>Supplementary t</w:t>
      </w:r>
      <w:r>
        <w:rPr>
          <w:rFonts w:hint="eastAsia" w:eastAsia="黑体"/>
          <w:b/>
          <w:bCs/>
          <w:sz w:val="22"/>
          <w:szCs w:val="22"/>
        </w:rPr>
        <w:t xml:space="preserve">able </w:t>
      </w:r>
      <w:r>
        <w:rPr>
          <w:rFonts w:hint="eastAsia" w:eastAsia="黑体"/>
          <w:b/>
          <w:bCs/>
          <w:sz w:val="22"/>
          <w:szCs w:val="22"/>
          <w:lang w:val="en-US" w:eastAsia="zh-CN"/>
        </w:rPr>
        <w:t>1</w:t>
      </w:r>
      <w:r>
        <w:rPr>
          <w:rFonts w:hint="eastAsia" w:eastAsia="黑体"/>
          <w:b/>
          <w:bCs/>
          <w:sz w:val="22"/>
          <w:szCs w:val="22"/>
        </w:rPr>
        <w:t xml:space="preserve"> </w:t>
      </w:r>
      <w:r>
        <w:rPr>
          <w:rFonts w:eastAsia="黑体"/>
          <w:b/>
          <w:bCs/>
          <w:sz w:val="22"/>
          <w:szCs w:val="22"/>
        </w:rPr>
        <w:t>Validation of different classification based on MRI for preoperative serum CA125</w:t>
      </w:r>
    </w:p>
    <w:tbl>
      <w:tblPr>
        <w:tblStyle w:val="5"/>
        <w:tblpPr w:leftFromText="180" w:rightFromText="180" w:vertAnchor="page" w:horzAnchor="page" w:tblpX="552" w:tblpY="2484"/>
        <w:tblOverlap w:val="never"/>
        <w:tblW w:w="11321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83"/>
        <w:gridCol w:w="1548"/>
        <w:gridCol w:w="1125"/>
        <w:gridCol w:w="1338"/>
        <w:gridCol w:w="1306"/>
        <w:gridCol w:w="1275"/>
        <w:gridCol w:w="1008"/>
        <w:gridCol w:w="919"/>
      </w:tblGrid>
      <w:tr w14:paraId="526EE99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 w14:paraId="28739F17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outlineLvl w:val="0"/>
              <w:rPr>
                <w:rFonts w:eastAsia="Times New Roman"/>
                <w:kern w:val="0"/>
                <w:sz w:val="18"/>
                <w:szCs w:val="21"/>
              </w:rPr>
            </w:pPr>
            <w:r>
              <w:rPr>
                <w:rFonts w:eastAsia="Times New Roman"/>
                <w:kern w:val="0"/>
                <w:sz w:val="18"/>
                <w:szCs w:val="21"/>
              </w:rPr>
              <w:t>Variable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vAlign w:val="center"/>
          </w:tcPr>
          <w:p w14:paraId="5AB1D50F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outlineLvl w:val="0"/>
              <w:rPr>
                <w:rFonts w:eastAsia="Times New Roman"/>
                <w:kern w:val="0"/>
                <w:sz w:val="18"/>
                <w:szCs w:val="21"/>
              </w:rPr>
            </w:pPr>
            <w:r>
              <w:rPr>
                <w:rFonts w:hint="eastAsia" w:hAnsi="宋体" w:eastAsia="Times New Roman"/>
                <w:kern w:val="0"/>
                <w:sz w:val="18"/>
                <w:szCs w:val="21"/>
              </w:rPr>
              <w:t>Subtype 1</w:t>
            </w:r>
          </w:p>
        </w:tc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 w14:paraId="419BD795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outlineLvl w:val="0"/>
              <w:rPr>
                <w:rFonts w:eastAsia="Times New Roman"/>
                <w:kern w:val="0"/>
                <w:sz w:val="18"/>
                <w:szCs w:val="21"/>
              </w:rPr>
            </w:pPr>
            <w:r>
              <w:rPr>
                <w:rFonts w:hint="eastAsia" w:hAnsi="宋体" w:eastAsia="Times New Roman"/>
                <w:kern w:val="0"/>
                <w:sz w:val="18"/>
                <w:szCs w:val="21"/>
              </w:rPr>
              <w:t>Subtype 2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BDC3565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outlineLvl w:val="0"/>
              <w:rPr>
                <w:rFonts w:eastAsia="Times New Roman"/>
                <w:kern w:val="0"/>
                <w:sz w:val="18"/>
                <w:szCs w:val="21"/>
              </w:rPr>
            </w:pPr>
            <w:r>
              <w:rPr>
                <w:rFonts w:hint="eastAsia" w:hAnsi="宋体" w:eastAsia="Times New Roman"/>
                <w:kern w:val="0"/>
                <w:sz w:val="18"/>
                <w:szCs w:val="21"/>
              </w:rPr>
              <w:t>Subtype 3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05BA4A4B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outlineLvl w:val="0"/>
              <w:rPr>
                <w:rFonts w:eastAsia="Times New Roman"/>
                <w:kern w:val="0"/>
                <w:sz w:val="18"/>
                <w:szCs w:val="21"/>
              </w:rPr>
            </w:pPr>
            <w:r>
              <w:rPr>
                <w:rFonts w:hint="eastAsia" w:hAnsi="宋体" w:eastAsia="Times New Roman"/>
                <w:kern w:val="0"/>
                <w:sz w:val="18"/>
                <w:szCs w:val="21"/>
              </w:rPr>
              <w:t>Subtype 4</w:t>
            </w:r>
          </w:p>
        </w:tc>
        <w:tc>
          <w:tcPr>
            <w:tcW w:w="1306" w:type="dxa"/>
            <w:tcBorders>
              <w:bottom w:val="single" w:color="auto" w:sz="4" w:space="0"/>
            </w:tcBorders>
            <w:vAlign w:val="center"/>
          </w:tcPr>
          <w:p w14:paraId="6C06288F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outlineLvl w:val="0"/>
              <w:rPr>
                <w:rFonts w:eastAsia="Times New Roman"/>
                <w:kern w:val="0"/>
                <w:sz w:val="18"/>
                <w:szCs w:val="21"/>
              </w:rPr>
            </w:pPr>
            <w:r>
              <w:rPr>
                <w:rFonts w:hint="eastAsia" w:hAnsi="宋体" w:eastAsia="Times New Roman"/>
                <w:kern w:val="0"/>
                <w:sz w:val="18"/>
                <w:szCs w:val="21"/>
              </w:rPr>
              <w:t>Subtype 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0F5CD778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outlineLvl w:val="0"/>
              <w:rPr>
                <w:rFonts w:eastAsia="Times New Roman"/>
                <w:kern w:val="0"/>
                <w:sz w:val="18"/>
                <w:szCs w:val="21"/>
              </w:rPr>
            </w:pPr>
            <w:r>
              <w:rPr>
                <w:rFonts w:hint="eastAsia" w:hAnsi="宋体" w:eastAsia="Times New Roman"/>
                <w:kern w:val="0"/>
                <w:sz w:val="18"/>
                <w:szCs w:val="21"/>
              </w:rPr>
              <w:t>Subtype 6</w:t>
            </w: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 w14:paraId="6F5CB68A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outlineLvl w:val="0"/>
              <w:rPr>
                <w:rFonts w:eastAsia="Times New Roman"/>
                <w:kern w:val="0"/>
                <w:sz w:val="18"/>
                <w:szCs w:val="21"/>
              </w:rPr>
            </w:pPr>
            <w:r>
              <w:rPr>
                <w:rFonts w:eastAsia="Times New Roman"/>
                <w:sz w:val="18"/>
                <w:szCs w:val="20"/>
                <w:shd w:val="clear" w:color="auto" w:fill="FFFFFF"/>
              </w:rPr>
              <w:t>Test value</w:t>
            </w:r>
          </w:p>
        </w:tc>
        <w:tc>
          <w:tcPr>
            <w:tcW w:w="919" w:type="dxa"/>
            <w:tcBorders>
              <w:bottom w:val="single" w:color="auto" w:sz="4" w:space="0"/>
            </w:tcBorders>
            <w:vAlign w:val="center"/>
          </w:tcPr>
          <w:p w14:paraId="53933A7A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outlineLvl w:val="0"/>
              <w:rPr>
                <w:rFonts w:eastAsia="Times New Roman"/>
                <w:kern w:val="0"/>
                <w:sz w:val="18"/>
                <w:szCs w:val="21"/>
              </w:rPr>
            </w:pPr>
            <w:r>
              <w:rPr>
                <w:rFonts w:eastAsia="Times New Roman"/>
                <w:kern w:val="0"/>
                <w:sz w:val="18"/>
                <w:szCs w:val="21"/>
              </w:rPr>
              <w:t>P</w:t>
            </w:r>
          </w:p>
        </w:tc>
      </w:tr>
      <w:tr w14:paraId="5C46AD2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19" w:type="dxa"/>
            <w:vAlign w:val="center"/>
          </w:tcPr>
          <w:p w14:paraId="4B3F9FAE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outlineLvl w:val="0"/>
              <w:rPr>
                <w:rFonts w:eastAsia="Times New Roman"/>
                <w:kern w:val="0"/>
                <w:sz w:val="18"/>
                <w:szCs w:val="21"/>
              </w:rPr>
            </w:pPr>
            <w:r>
              <w:rPr>
                <w:rFonts w:eastAsia="Times New Roman"/>
                <w:kern w:val="0"/>
                <w:sz w:val="18"/>
                <w:szCs w:val="18"/>
              </w:rPr>
              <w:t xml:space="preserve">Classification </w:t>
            </w:r>
            <w:r>
              <w:rPr>
                <w:rFonts w:hint="eastAsia" w:eastAsia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383" w:type="dxa"/>
          </w:tcPr>
          <w:p w14:paraId="04317DDB">
            <w:pPr>
              <w:ind w:firstLine="0" w:firstLineChars="0"/>
              <w:rPr>
                <w:rFonts w:eastAsia="Times New Roman"/>
                <w:color w:val="000000"/>
                <w:sz w:val="18"/>
                <w:szCs w:val="20"/>
              </w:rPr>
            </w:pPr>
            <w:r>
              <w:rPr>
                <w:rFonts w:hint="eastAsia" w:eastAsia="Times New Roman"/>
                <w:color w:val="000000"/>
                <w:sz w:val="18"/>
                <w:szCs w:val="20"/>
              </w:rPr>
              <w:t>20 (12.0,42.0)</w:t>
            </w:r>
          </w:p>
        </w:tc>
        <w:tc>
          <w:tcPr>
            <w:tcW w:w="1548" w:type="dxa"/>
          </w:tcPr>
          <w:p w14:paraId="3679BACE">
            <w:pPr>
              <w:ind w:firstLine="0" w:firstLineChars="0"/>
              <w:rPr>
                <w:rFonts w:eastAsia="Times New Roman"/>
                <w:color w:val="000000"/>
                <w:sz w:val="18"/>
                <w:szCs w:val="20"/>
              </w:rPr>
            </w:pPr>
            <w:r>
              <w:rPr>
                <w:rFonts w:hint="eastAsia" w:eastAsia="Times New Roman"/>
                <w:color w:val="000000"/>
                <w:sz w:val="18"/>
                <w:szCs w:val="20"/>
              </w:rPr>
              <w:t>33.5(13.7,61.8)</w:t>
            </w:r>
          </w:p>
        </w:tc>
        <w:tc>
          <w:tcPr>
            <w:tcW w:w="1125" w:type="dxa"/>
          </w:tcPr>
          <w:p w14:paraId="09A94F44">
            <w:pPr>
              <w:ind w:firstLine="0" w:firstLineChars="0"/>
              <w:rPr>
                <w:rFonts w:eastAsia="Times New Roman"/>
                <w:color w:val="000000"/>
                <w:sz w:val="18"/>
                <w:szCs w:val="20"/>
              </w:rPr>
            </w:pPr>
            <w:r>
              <w:rPr>
                <w:rFonts w:hint="eastAsia" w:eastAsia="Times New Roman"/>
                <w:color w:val="000000"/>
                <w:sz w:val="18"/>
                <w:szCs w:val="20"/>
              </w:rPr>
              <w:t>55(30,108)</w:t>
            </w:r>
          </w:p>
        </w:tc>
        <w:tc>
          <w:tcPr>
            <w:tcW w:w="1338" w:type="dxa"/>
          </w:tcPr>
          <w:p w14:paraId="3A5B8CE2">
            <w:pPr>
              <w:ind w:firstLine="0" w:firstLineChars="0"/>
              <w:rPr>
                <w:rFonts w:eastAsia="Times New Roman"/>
                <w:color w:val="000000"/>
                <w:sz w:val="18"/>
                <w:szCs w:val="20"/>
              </w:rPr>
            </w:pPr>
            <w:r>
              <w:rPr>
                <w:rFonts w:hint="eastAsia" w:eastAsia="Times New Roman"/>
                <w:color w:val="000000"/>
                <w:sz w:val="18"/>
                <w:szCs w:val="20"/>
              </w:rPr>
              <w:t>93(51-)</w:t>
            </w:r>
          </w:p>
        </w:tc>
        <w:tc>
          <w:tcPr>
            <w:tcW w:w="1306" w:type="dxa"/>
          </w:tcPr>
          <w:p w14:paraId="2FEECB7E">
            <w:pPr>
              <w:ind w:firstLine="0" w:firstLineChars="0"/>
              <w:rPr>
                <w:rFonts w:eastAsia="Times New Roman"/>
                <w:color w:val="000000"/>
                <w:sz w:val="18"/>
                <w:szCs w:val="20"/>
              </w:rPr>
            </w:pPr>
            <w:r>
              <w:rPr>
                <w:rFonts w:hint="eastAsia" w:eastAsia="Times New Roman"/>
                <w:color w:val="000000"/>
                <w:sz w:val="18"/>
                <w:szCs w:val="20"/>
              </w:rPr>
              <w:t>35(26.3,67.8)</w:t>
            </w:r>
          </w:p>
        </w:tc>
        <w:tc>
          <w:tcPr>
            <w:tcW w:w="1275" w:type="dxa"/>
          </w:tcPr>
          <w:p w14:paraId="7A58B07B">
            <w:pPr>
              <w:ind w:firstLine="0" w:firstLineChars="0"/>
              <w:rPr>
                <w:rFonts w:eastAsia="Times New Roman"/>
                <w:color w:val="000000"/>
                <w:sz w:val="18"/>
                <w:szCs w:val="20"/>
              </w:rPr>
            </w:pPr>
            <w:r>
              <w:rPr>
                <w:rFonts w:hint="eastAsia" w:eastAsia="Times New Roman"/>
                <w:color w:val="000000"/>
                <w:sz w:val="18"/>
                <w:szCs w:val="20"/>
              </w:rPr>
              <w:t>59(34,123)</w:t>
            </w:r>
          </w:p>
        </w:tc>
        <w:tc>
          <w:tcPr>
            <w:tcW w:w="1008" w:type="dxa"/>
          </w:tcPr>
          <w:p w14:paraId="47F65987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jc w:val="center"/>
              <w:outlineLvl w:val="0"/>
              <w:rPr>
                <w:rFonts w:eastAsia="Times New Roman"/>
                <w:color w:val="000000"/>
                <w:sz w:val="18"/>
                <w:szCs w:val="20"/>
              </w:rPr>
            </w:pPr>
            <w:r>
              <w:rPr>
                <w:rFonts w:hint="eastAsia" w:eastAsia="Times New Roman"/>
                <w:color w:val="000000"/>
                <w:sz w:val="18"/>
                <w:szCs w:val="20"/>
              </w:rPr>
              <w:t>22.003</w:t>
            </w:r>
          </w:p>
        </w:tc>
        <w:tc>
          <w:tcPr>
            <w:tcW w:w="919" w:type="dxa"/>
          </w:tcPr>
          <w:p w14:paraId="201D1858">
            <w:pPr>
              <w:widowControl/>
              <w:snapToGrid w:val="0"/>
              <w:spacing w:before="100" w:beforeAutospacing="1" w:after="100" w:afterAutospacing="1" w:line="240" w:lineRule="auto"/>
              <w:ind w:firstLine="0" w:firstLineChars="0"/>
              <w:outlineLvl w:val="0"/>
              <w:rPr>
                <w:rFonts w:eastAsia="Times New Roman"/>
                <w:color w:val="000000"/>
                <w:sz w:val="18"/>
                <w:szCs w:val="20"/>
              </w:rPr>
            </w:pPr>
            <w:r>
              <w:rPr>
                <w:rFonts w:eastAsia="Times New Roman"/>
                <w:color w:val="000000"/>
                <w:sz w:val="18"/>
                <w:szCs w:val="20"/>
              </w:rPr>
              <w:t>＜0.001</w:t>
            </w:r>
          </w:p>
        </w:tc>
      </w:tr>
    </w:tbl>
    <w:p w14:paraId="19A1869F">
      <w:pPr>
        <w:ind w:firstLine="0" w:firstLineChars="0"/>
        <w:rPr>
          <w:rFonts w:hint="eastAsia" w:eastAsia="宋体"/>
          <w:sz w:val="20"/>
          <w:szCs w:val="20"/>
        </w:rPr>
      </w:pPr>
    </w:p>
    <w:p w14:paraId="7FA395C9">
      <w:pPr>
        <w:ind w:firstLine="0" w:firstLineChars="0"/>
        <w:rPr>
          <w:rFonts w:eastAsia="宋体"/>
          <w:sz w:val="20"/>
          <w:szCs w:val="20"/>
        </w:rPr>
      </w:pPr>
      <w:r>
        <w:rPr>
          <w:rFonts w:hint="eastAsia" w:eastAsia="宋体"/>
          <w:sz w:val="20"/>
          <w:szCs w:val="20"/>
        </w:rPr>
        <w:t>Abbreviations: MRI-Based classification systems of adenomyosis refers t</w:t>
      </w:r>
      <w:bookmarkStart w:id="0" w:name="_GoBack"/>
      <w:bookmarkEnd w:id="0"/>
      <w:r>
        <w:rPr>
          <w:rFonts w:hint="eastAsia" w:eastAsia="宋体"/>
          <w:sz w:val="20"/>
          <w:szCs w:val="20"/>
        </w:rPr>
        <w:t>o two of our previous papers.</w:t>
      </w:r>
    </w:p>
    <w:p w14:paraId="41B6483D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93552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0C39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2B5D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B8756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E941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3080A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1"/>
    <w:rsid w:val="00475F51"/>
    <w:rsid w:val="0059474B"/>
    <w:rsid w:val="007050E9"/>
    <w:rsid w:val="00987122"/>
    <w:rsid w:val="00C17CEC"/>
    <w:rsid w:val="00E43398"/>
    <w:rsid w:val="00FA7B2A"/>
    <w:rsid w:val="1F743E17"/>
    <w:rsid w:val="20A12650"/>
    <w:rsid w:val="39404BD5"/>
    <w:rsid w:val="669E7FD2"/>
    <w:rsid w:val="7BA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华文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character" w:customStyle="1" w:styleId="7">
    <w:name w:val="页眉 字符"/>
    <w:basedOn w:val="6"/>
    <w:link w:val="3"/>
    <w:uiPriority w:val="0"/>
    <w:rPr>
      <w:rFonts w:eastAsia="华文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华文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624</Characters>
  <Lines>5</Lines>
  <Paragraphs>1</Paragraphs>
  <TotalTime>9</TotalTime>
  <ScaleCrop>false</ScaleCrop>
  <LinksUpToDate>false</LinksUpToDate>
  <CharactersWithSpaces>668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2025-04-13T07:58:00Z</dcterms:created>
  <dc:creator>黄峻荣</dc:creator>
  <cp:lastModifiedBy>十年</cp:lastModifiedBy>
  <dcterms:modified xsi:type="dcterms:W3CDTF">2025-06-02T10:07:51Z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B369261C18EC4A70BC12DE3FF0F447EF_13</vt:lpwstr>
  </property>
  <property fmtid="{D5CDD505-2E9C-101B-9397-08002B2CF9AE}" pid="4" name="KSOTemplateDocerSaveRecord">
    <vt:lpwstr>eyJoZGlkIjoiOGY4MDNjMTIxNjVlMTA4NzI1NTk0OTdjMmNiODMxYTMiLCJ1c2VySWQiOiIyNTk4NzU3MzYifQ==</vt:lpwstr>
  </property>
</Properties>
</file>