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27E" w14:textId="1A559911" w:rsidR="00027706" w:rsidRDefault="00027706" w:rsidP="00350E36">
      <w:pPr>
        <w:pStyle w:val="af2"/>
        <w:spacing w:line="480" w:lineRule="auto"/>
        <w:jc w:val="both"/>
        <w:rPr>
          <w:rStyle w:val="af4"/>
          <w:rFonts w:ascii="Times New Roman" w:hAnsi="Times New Roman" w:cs="Times New Roman" w:hint="eastAsia"/>
        </w:rPr>
      </w:pPr>
      <w:r w:rsidRPr="00027706">
        <w:rPr>
          <w:rStyle w:val="af4"/>
          <w:rFonts w:ascii="Times New Roman" w:hAnsi="Times New Roman" w:cs="Times New Roman" w:hint="eastAsia"/>
          <w:sz w:val="28"/>
          <w:szCs w:val="28"/>
        </w:rPr>
        <w:t>Supplementary Methods</w:t>
      </w:r>
    </w:p>
    <w:p w14:paraId="23F5512D" w14:textId="62A19D86" w:rsidR="00350E36" w:rsidRDefault="00350E36" w:rsidP="00350E36">
      <w:pPr>
        <w:pStyle w:val="af2"/>
        <w:spacing w:line="480" w:lineRule="auto"/>
        <w:jc w:val="both"/>
        <w:rPr>
          <w:rStyle w:val="af4"/>
          <w:rFonts w:ascii="Times New Roman" w:hAnsi="Times New Roman" w:cs="Times New Roman"/>
        </w:rPr>
      </w:pPr>
      <w:proofErr w:type="spellStart"/>
      <w:r>
        <w:rPr>
          <w:rStyle w:val="af4"/>
          <w:rFonts w:ascii="Times New Roman" w:hAnsi="Times New Roman" w:cs="Times New Roman"/>
        </w:rPr>
        <w:t>scRNA</w:t>
      </w:r>
      <w:proofErr w:type="spellEnd"/>
      <w:r>
        <w:rPr>
          <w:rStyle w:val="af4"/>
          <w:rFonts w:ascii="Times New Roman" w:hAnsi="Times New Roman" w:cs="Times New Roman"/>
        </w:rPr>
        <w:t>-seq Analysis</w:t>
      </w:r>
    </w:p>
    <w:p w14:paraId="6238467F" w14:textId="4316CE20" w:rsidR="00350E36" w:rsidRDefault="00350E36" w:rsidP="00350E36">
      <w:pPr>
        <w:pStyle w:val="af2"/>
        <w:spacing w:line="480" w:lineRule="auto"/>
        <w:ind w:firstLineChars="200" w:firstLine="480"/>
        <w:jc w:val="both"/>
        <w:rPr>
          <w:rStyle w:val="af4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processing was performed using the R package "Seurat." Cells with a mitochondrial gene percentage above 10%, an erythrocyte gene expression percentage above 3%, fewer than 300 expressed genes, or more than 7,000 expressed genes were excluded to ensure high-quality data. Batch effects between samples were eliminated using the "harmony" package, and data normalization was performed using the </w:t>
      </w:r>
      <w:proofErr w:type="spellStart"/>
      <w:r>
        <w:rPr>
          <w:rFonts w:ascii="Times New Roman" w:hAnsi="Times New Roman" w:cs="Times New Roman"/>
        </w:rPr>
        <w:t>ScaleData</w:t>
      </w:r>
      <w:proofErr w:type="spellEnd"/>
      <w:r>
        <w:rPr>
          <w:rFonts w:ascii="Times New Roman" w:hAnsi="Times New Roman" w:cs="Times New Roman"/>
        </w:rPr>
        <w:t xml:space="preserve"> function, followed by Principal Component Analysis (PCA). Cell clusters were identified using the "</w:t>
      </w:r>
      <w:proofErr w:type="spellStart"/>
      <w:r>
        <w:rPr>
          <w:rFonts w:ascii="Times New Roman" w:hAnsi="Times New Roman" w:cs="Times New Roman"/>
        </w:rPr>
        <w:t>FindClusters</w:t>
      </w:r>
      <w:proofErr w:type="spellEnd"/>
      <w:r>
        <w:rPr>
          <w:rFonts w:ascii="Times New Roman" w:hAnsi="Times New Roman" w:cs="Times New Roman"/>
        </w:rPr>
        <w:t>" function and visualized through UMAP plots.</w:t>
      </w:r>
    </w:p>
    <w:p w14:paraId="2D2E8BF8" w14:textId="762AC79A" w:rsidR="00350E36" w:rsidRDefault="00350E36" w:rsidP="00350E36">
      <w:pPr>
        <w:pStyle w:val="af2"/>
        <w:spacing w:line="480" w:lineRule="auto"/>
        <w:ind w:left="241" w:hangingChars="100" w:hanging="241"/>
        <w:jc w:val="both"/>
        <w:rPr>
          <w:rStyle w:val="af4"/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t>Immunohistochemical (IHC) Staining</w:t>
      </w:r>
    </w:p>
    <w:p w14:paraId="437403DF" w14:textId="7F782EC5" w:rsidR="00350E36" w:rsidRDefault="00350E36" w:rsidP="00821CAD">
      <w:pPr>
        <w:pStyle w:val="af2"/>
        <w:spacing w:line="48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Synovial specimens were fixed in 4% paraformaldehyde at 4°C for 48 hours, embedded in liquid paraffin, and subjected to two consecutive 10-hour </w:t>
      </w:r>
      <w:r w:rsidRPr="00F955EF">
        <w:rPr>
          <w:rFonts w:ascii="Times New Roman" w:hAnsi="Times New Roman" w:cs="Times New Roman"/>
        </w:rPr>
        <w:t xml:space="preserve">permeabilization treatments, followed by overnight heating at 60°C. Paraffin blocks were sectioned into 5 </w:t>
      </w:r>
      <w:proofErr w:type="spellStart"/>
      <w:r w:rsidRPr="00F955EF">
        <w:rPr>
          <w:rFonts w:ascii="Times New Roman" w:hAnsi="Times New Roman" w:cs="Times New Roman"/>
        </w:rPr>
        <w:t>μm</w:t>
      </w:r>
      <w:proofErr w:type="spellEnd"/>
      <w:r w:rsidRPr="00F955EF">
        <w:rPr>
          <w:rFonts w:ascii="Times New Roman" w:hAnsi="Times New Roman" w:cs="Times New Roman"/>
        </w:rPr>
        <w:t xml:space="preserve"> slices. </w:t>
      </w:r>
      <w:bookmarkStart w:id="0" w:name="_Hlk219738105"/>
      <w:r w:rsidRPr="00F955EF">
        <w:rPr>
          <w:rFonts w:ascii="Times New Roman" w:hAnsi="Times New Roman" w:cs="Times New Roman" w:hint="eastAsia"/>
        </w:rPr>
        <w:t xml:space="preserve">Tissue sections were incubated with Calprotectin monoclonal antibody (clone MAC387, Invitrogen, Ref: MA1-81381, Waltham, MA, USA) diluted at 1:600 </w:t>
      </w:r>
      <w:r w:rsidRPr="00F955EF">
        <w:rPr>
          <w:rFonts w:ascii="Times New Roman" w:hAnsi="Times New Roman" w:cs="Times New Roman"/>
        </w:rPr>
        <w:t>overnigh</w:t>
      </w:r>
      <w:r w:rsidRPr="00F955EF">
        <w:rPr>
          <w:rFonts w:ascii="Times New Roman" w:hAnsi="Times New Roman" w:cs="Times New Roman" w:hint="eastAsia"/>
        </w:rPr>
        <w:t>t</w:t>
      </w:r>
      <w:r w:rsidRPr="00F955EF">
        <w:rPr>
          <w:rFonts w:ascii="Times New Roman" w:hAnsi="Times New Roman" w:cs="Times New Roman"/>
        </w:rPr>
        <w:t xml:space="preserve">. </w:t>
      </w:r>
      <w:bookmarkEnd w:id="0"/>
      <w:r w:rsidRPr="00F955EF">
        <w:rPr>
          <w:rFonts w:ascii="Times New Roman" w:hAnsi="Times New Roman" w:cs="Times New Roman"/>
        </w:rPr>
        <w:t>Sections were</w:t>
      </w:r>
      <w:r>
        <w:rPr>
          <w:rFonts w:ascii="Times New Roman" w:hAnsi="Times New Roman" w:cs="Times New Roman"/>
        </w:rPr>
        <w:t xml:space="preserve"> washed with PBS, incubated with HRP-secondary antibodies for 30 minutes, stained with DAB in PBS, and counterstained with neutral background reagent.</w:t>
      </w:r>
      <w:bookmarkStart w:id="1" w:name="_Hlk219842658"/>
      <w:r>
        <w:rPr>
          <w:rFonts w:ascii="Times New Roman" w:hAnsi="Times New Roman" w:cs="Times New Roman"/>
        </w:rPr>
        <w:t xml:space="preserve"> </w:t>
      </w:r>
      <w:bookmarkStart w:id="2" w:name="OLE_LINK16"/>
      <w:r w:rsidRPr="000F093B">
        <w:rPr>
          <w:rFonts w:ascii="Times New Roman" w:hAnsi="Times New Roman" w:cs="Times New Roman" w:hint="eastAsia"/>
        </w:rPr>
        <w:t xml:space="preserve">Immunohistochemical images were first converted to RGB and subjected to color deconvolution using the H-DAB plugin in ImageJ to separate DAB signal from hematoxylin (H). A global threshold was then applied </w:t>
      </w:r>
      <w:r w:rsidRPr="000F093B">
        <w:rPr>
          <w:rFonts w:ascii="Times New Roman" w:hAnsi="Times New Roman" w:cs="Times New Roman" w:hint="eastAsia"/>
        </w:rPr>
        <w:lastRenderedPageBreak/>
        <w:t xml:space="preserve">uniformly across all images to identify DAB-positive areas, based on negative control background staining, and binary masks were generated for quantification. </w:t>
      </w:r>
      <w:bookmarkStart w:id="3" w:name="_Hlk219842363"/>
      <w:r w:rsidRPr="000F093B">
        <w:rPr>
          <w:rFonts w:ascii="Times New Roman" w:hAnsi="Times New Roman" w:cs="Times New Roman" w:hint="eastAsia"/>
        </w:rPr>
        <w:t>For each sample, three high-magnification fields were analyzed using ImageJ, and the positive staining area was calculated as the percentage of DAB-positive pixels relative to the total tissue area, a method consistent with previously published ImageJ-based IHC quantification workflows.</w:t>
      </w:r>
      <w:bookmarkEnd w:id="2"/>
      <w:r w:rsidR="00830DDB" w:rsidRPr="00830DDB">
        <w:rPr>
          <w:rFonts w:hint="eastAsia"/>
        </w:rPr>
        <w:t xml:space="preserve"> </w:t>
      </w:r>
      <w:r w:rsidR="00830DDB">
        <w:rPr>
          <w:rFonts w:ascii="Times New Roman" w:hAnsi="Times New Roman" w:cs="Times New Roman"/>
        </w:rPr>
        <w:fldChar w:fldCharType="begin">
          <w:fldData xml:space="preserve">PEVuZE5vdGU+PENpdGU+PEF1dGhvcj5Lb25zdGk8L0F1dGhvcj48WWVhcj4yMDEyPC9ZZWFyPjxS
ZWNOdW0+ODI8L1JlY051bT48RGlzcGxheVRleHQ+PHN0eWxlIGZhY2U9InN1cGVyc2NyaXB0Ij4x
PC9zdHlsZT48L0Rpc3BsYXlUZXh0PjxyZWNvcmQ+PHJlYy1udW1iZXI+ODI8L3JlYy1udW1iZXI+
PGZvcmVpZ24ta2V5cz48a2V5IGFwcD0iRU4iIGRiLWlkPSJwZmRlOWQyeDNzd3Z0NGUycGFmdmF2
cmp4YXByNWVwdnAweHciIHRpbWVzdGFtcD0iMTc2OTQxNTI3MSI+ODI8L2tleT48L2ZvcmVpZ24t
a2V5cz48cmVmLXR5cGUgbmFtZT0iSm91cm5hbCBBcnRpY2xlIj4xNzwvcmVmLXR5cGU+PGNvbnRy
aWJ1dG9ycz48YXV0aG9ycz48YXV0aG9yPktvbnN0aSwgSi48L2F1dGhvcj48YXV0aG9yPkx1bmRp
biwgTS48L2F1dGhvcj48YXV0aG9yPkxpbmRlciwgTi48L2F1dGhvcj48YXV0aG9yPkhhZ2x1bmQs
IEMuPC9hdXRob3I+PGF1dGhvcj5CbG9tcXZpc3QsIEMuPC9hdXRob3I+PGF1dGhvcj5OZXZhbmxp
bm5hLCBILjwvYXV0aG9yPjxhdXRob3I+QWFsdG9uZW4sIEsuPC9hdXRob3I+PGF1dGhvcj5Ob3Jk
bGluZywgUy48L2F1dGhvcj48YXV0aG9yPkx1bmRpbiwgSi48L2F1dGhvcj48L2F1dGhvcnM+PC9j
b250cmlidXRvcnM+PGF1dGgtYWRkcmVzcz5JbnN0aXR1dGUgZm9yIE1vbGVjdWxhciBNZWRpY2lu
ZSBGaW5sYW5kLCBVbml2ZXJzaXR5IG9mIEhlbHNpbmtpLCBIZWxzaW5raSwgRmlubGFuZC4ganVo
by5rb25zdGlAaGVsc2lua2kuZmk8L2F1dGgtYWRkcmVzcz48dGl0bGVzPjx0aXRsZT5FZmZlY3Qg
b2YgaW1hZ2UgY29tcHJlc3Npb24gYW5kIHNjYWxpbmcgb24gYXV0b21hdGVkIHNjb3Jpbmcgb2Yg
aW1tdW5vaGlzdG9jaGVtaWNhbCBzdGFpbmluZ3MgYW5kIHNlZ21lbnRhdGlvbiBvZiB0dW1vciBl
cGl0aGVsaXVtPC90aXRsZT48c2Vjb25kYXJ5LXRpdGxlPkRpYWduIFBhdGhvbDwvc2Vjb25kYXJ5
LXRpdGxlPjwvdGl0bGVzPjxwZXJpb2RpY2FsPjxmdWxsLXRpdGxlPkRpYWduIFBhdGhvbDwvZnVs
bC10aXRsZT48L3BlcmlvZGljYWw+PHBhZ2VzPjI5PC9wYWdlcz48dm9sdW1lPjc8L3ZvbHVtZT48
ZWRpdGlvbj4yMDEyLzAzLzIzPC9lZGl0aW9uPjxrZXl3b3Jkcz48a2V5d29yZD5BbGdvcml0aG1z
PC9rZXl3b3JkPjxrZXl3b3JkPkJyZWFzdCBOZW9wbGFzbXMvbWV0YWJvbGlzbS8qcGF0aG9sb2d5
PC9rZXl3b3JkPjxrZXl3b3JkPkNvbG9yZWN0YWwgTmVvcGxhc21zL21ldGFib2xpc20vKnBhdGhv
bG9neTwva2V5d29yZD48a2V5d29yZD5EYXRhIENvbXByZXNzaW9uLyptZXRob2RzPC9rZXl3b3Jk
PjxrZXl3b3JkPkVsZWN0cm9uaWMgRGF0YSBQcm9jZXNzaW5nLyptZXRob2RzPC9rZXl3b3JkPjxr
ZXl3b3JkPkVwaXRoZWxpdW0vbWV0YWJvbGlzbS9wYXRob2xvZ3k8L2tleXdvcmQ+PGtleXdvcmQ+
RXJiQiBSZWNlcHRvcnMvbWV0YWJvbGlzbTwva2V5d29yZD48a2V5d29yZD5GZW1hbGU8L2tleXdv
cmQ+PGtleXdvcmQ+SHVtYW5zPC9rZXl3b3JkPjxrZXl3b3JkPkltYWdlIFByb2Nlc3NpbmcsIENv
bXB1dGVyLUFzc2lzdGVkLyptZXRob2RzPC9rZXl3b3JkPjxrZXl3b3JkPkltbXVub2hpc3RvY2hl
bWlzdHJ5LyptZXRob2RzPC9rZXl3b3JkPjxrZXl3b3JkPktpLTY3IEFudGlnZW4vbWV0YWJvbGlz
bTwva2V5d29yZD48a2V5d29yZD5NaWNyb2FycmF5IEFuYWx5c2lzPC9rZXl3b3JkPjxrZXl3b3Jk
PlJldHJvc3BlY3RpdmUgU3R1ZGllczwva2V5d29yZD48a2V5d29yZD5TdGFpbmluZyBhbmQgTGFi
ZWxpbmcvKm1ldGhvZHM8L2tleXdvcmQ+PC9rZXl3b3Jkcz48ZGF0ZXM+PHllYXI+MjAxMjwveWVh
cj48cHViLWRhdGVzPjxkYXRlPk1hciAyMTwvZGF0ZT48L3B1Yi1kYXRlcz48L2RhdGVzPjxpc2Ju
PjE3NDYtMTU5NiAoRWxlY3Ryb25pYykmI3hEOzE3NDYtMTU5NiAoTGlua2luZyk8L2lzYm4+PGFj
Y2Vzc2lvbi1udW0+MjI0MzY1OTY8L2FjY2Vzc2lvbi1udW0+PHVybHM+PHJlbGF0ZWQtdXJscz48
dXJsPmh0dHBzOi8vd3d3Lm5jYmkubmxtLm5paC5nb3YvcHVibWVkLzIyNDM2NTk2PC91cmw+PC9y
ZWxhdGVkLXVybHM+PC91cmxzPjxjdXN0b20yPlBNQzMzNzUxODU8L2N1c3RvbTI+PGVsZWN0cm9u
aWMtcmVzb3VyY2UtbnVtPjEwLjExODYvMTc0Ni0xNTk2LTctMjk8L2VsZWN0cm9uaWMtcmVzb3Vy
Y2UtbnVtPjwvcmVjb3JkPjwvQ2l0ZT48L0VuZE5vdGU+AG==
</w:fldData>
        </w:fldChar>
      </w:r>
      <w:r w:rsidR="00830DDB">
        <w:rPr>
          <w:rFonts w:ascii="Times New Roman" w:hAnsi="Times New Roman" w:cs="Times New Roman"/>
        </w:rPr>
        <w:instrText xml:space="preserve"> ADDIN EN.CITE </w:instrText>
      </w:r>
      <w:r w:rsidR="00830DDB">
        <w:rPr>
          <w:rFonts w:ascii="Times New Roman" w:hAnsi="Times New Roman" w:cs="Times New Roman"/>
        </w:rPr>
        <w:fldChar w:fldCharType="begin">
          <w:fldData xml:space="preserve">PEVuZE5vdGU+PENpdGU+PEF1dGhvcj5Lb25zdGk8L0F1dGhvcj48WWVhcj4yMDEyPC9ZZWFyPjxS
ZWNOdW0+ODI8L1JlY051bT48RGlzcGxheVRleHQ+PHN0eWxlIGZhY2U9InN1cGVyc2NyaXB0Ij4x
PC9zdHlsZT48L0Rpc3BsYXlUZXh0PjxyZWNvcmQ+PHJlYy1udW1iZXI+ODI8L3JlYy1udW1iZXI+
PGZvcmVpZ24ta2V5cz48a2V5IGFwcD0iRU4iIGRiLWlkPSJwZmRlOWQyeDNzd3Z0NGUycGFmdmF2
cmp4YXByNWVwdnAweHciIHRpbWVzdGFtcD0iMTc2OTQxNTI3MSI+ODI8L2tleT48L2ZvcmVpZ24t
a2V5cz48cmVmLXR5cGUgbmFtZT0iSm91cm5hbCBBcnRpY2xlIj4xNzwvcmVmLXR5cGU+PGNvbnRy
aWJ1dG9ycz48YXV0aG9ycz48YXV0aG9yPktvbnN0aSwgSi48L2F1dGhvcj48YXV0aG9yPkx1bmRp
biwgTS48L2F1dGhvcj48YXV0aG9yPkxpbmRlciwgTi48L2F1dGhvcj48YXV0aG9yPkhhZ2x1bmQs
IEMuPC9hdXRob3I+PGF1dGhvcj5CbG9tcXZpc3QsIEMuPC9hdXRob3I+PGF1dGhvcj5OZXZhbmxp
bm5hLCBILjwvYXV0aG9yPjxhdXRob3I+QWFsdG9uZW4sIEsuPC9hdXRob3I+PGF1dGhvcj5Ob3Jk
bGluZywgUy48L2F1dGhvcj48YXV0aG9yPkx1bmRpbiwgSi48L2F1dGhvcj48L2F1dGhvcnM+PC9j
b250cmlidXRvcnM+PGF1dGgtYWRkcmVzcz5JbnN0aXR1dGUgZm9yIE1vbGVjdWxhciBNZWRpY2lu
ZSBGaW5sYW5kLCBVbml2ZXJzaXR5IG9mIEhlbHNpbmtpLCBIZWxzaW5raSwgRmlubGFuZC4ganVo
by5rb25zdGlAaGVsc2lua2kuZmk8L2F1dGgtYWRkcmVzcz48dGl0bGVzPjx0aXRsZT5FZmZlY3Qg
b2YgaW1hZ2UgY29tcHJlc3Npb24gYW5kIHNjYWxpbmcgb24gYXV0b21hdGVkIHNjb3Jpbmcgb2Yg
aW1tdW5vaGlzdG9jaGVtaWNhbCBzdGFpbmluZ3MgYW5kIHNlZ21lbnRhdGlvbiBvZiB0dW1vciBl
cGl0aGVsaXVtPC90aXRsZT48c2Vjb25kYXJ5LXRpdGxlPkRpYWduIFBhdGhvbDwvc2Vjb25kYXJ5
LXRpdGxlPjwvdGl0bGVzPjxwZXJpb2RpY2FsPjxmdWxsLXRpdGxlPkRpYWduIFBhdGhvbDwvZnVs
bC10aXRsZT48L3BlcmlvZGljYWw+PHBhZ2VzPjI5PC9wYWdlcz48dm9sdW1lPjc8L3ZvbHVtZT48
ZWRpdGlvbj4yMDEyLzAzLzIzPC9lZGl0aW9uPjxrZXl3b3Jkcz48a2V5d29yZD5BbGdvcml0aG1z
PC9rZXl3b3JkPjxrZXl3b3JkPkJyZWFzdCBOZW9wbGFzbXMvbWV0YWJvbGlzbS8qcGF0aG9sb2d5
PC9rZXl3b3JkPjxrZXl3b3JkPkNvbG9yZWN0YWwgTmVvcGxhc21zL21ldGFib2xpc20vKnBhdGhv
bG9neTwva2V5d29yZD48a2V5d29yZD5EYXRhIENvbXByZXNzaW9uLyptZXRob2RzPC9rZXl3b3Jk
PjxrZXl3b3JkPkVsZWN0cm9uaWMgRGF0YSBQcm9jZXNzaW5nLyptZXRob2RzPC9rZXl3b3JkPjxr
ZXl3b3JkPkVwaXRoZWxpdW0vbWV0YWJvbGlzbS9wYXRob2xvZ3k8L2tleXdvcmQ+PGtleXdvcmQ+
RXJiQiBSZWNlcHRvcnMvbWV0YWJvbGlzbTwva2V5d29yZD48a2V5d29yZD5GZW1hbGU8L2tleXdv
cmQ+PGtleXdvcmQ+SHVtYW5zPC9rZXl3b3JkPjxrZXl3b3JkPkltYWdlIFByb2Nlc3NpbmcsIENv
bXB1dGVyLUFzc2lzdGVkLyptZXRob2RzPC9rZXl3b3JkPjxrZXl3b3JkPkltbXVub2hpc3RvY2hl
bWlzdHJ5LyptZXRob2RzPC9rZXl3b3JkPjxrZXl3b3JkPktpLTY3IEFudGlnZW4vbWV0YWJvbGlz
bTwva2V5d29yZD48a2V5d29yZD5NaWNyb2FycmF5IEFuYWx5c2lzPC9rZXl3b3JkPjxrZXl3b3Jk
PlJldHJvc3BlY3RpdmUgU3R1ZGllczwva2V5d29yZD48a2V5d29yZD5TdGFpbmluZyBhbmQgTGFi
ZWxpbmcvKm1ldGhvZHM8L2tleXdvcmQ+PC9rZXl3b3Jkcz48ZGF0ZXM+PHllYXI+MjAxMjwveWVh
cj48cHViLWRhdGVzPjxkYXRlPk1hciAyMTwvZGF0ZT48L3B1Yi1kYXRlcz48L2RhdGVzPjxpc2Ju
PjE3NDYtMTU5NiAoRWxlY3Ryb25pYykmI3hEOzE3NDYtMTU5NiAoTGlua2luZyk8L2lzYm4+PGFj
Y2Vzc2lvbi1udW0+MjI0MzY1OTY8L2FjY2Vzc2lvbi1udW0+PHVybHM+PHJlbGF0ZWQtdXJscz48
dXJsPmh0dHBzOi8vd3d3Lm5jYmkubmxtLm5paC5nb3YvcHVibWVkLzIyNDM2NTk2PC91cmw+PC9y
ZWxhdGVkLXVybHM+PC91cmxzPjxjdXN0b20yPlBNQzMzNzUxODU8L2N1c3RvbTI+PGVsZWN0cm9u
aWMtcmVzb3VyY2UtbnVtPjEwLjExODYvMTc0Ni0xNTk2LTctMjk8L2VsZWN0cm9uaWMtcmVzb3Vy
Y2UtbnVtPjwvcmVjb3JkPjwvQ2l0ZT48L0VuZE5vdGU+AG==
</w:fldData>
        </w:fldChar>
      </w:r>
      <w:r w:rsidR="00830DDB">
        <w:rPr>
          <w:rFonts w:ascii="Times New Roman" w:hAnsi="Times New Roman" w:cs="Times New Roman"/>
        </w:rPr>
        <w:instrText xml:space="preserve"> ADDIN EN.CITE.DATA </w:instrText>
      </w:r>
      <w:r w:rsidR="00830DDB">
        <w:rPr>
          <w:rFonts w:ascii="Times New Roman" w:hAnsi="Times New Roman" w:cs="Times New Roman"/>
        </w:rPr>
      </w:r>
      <w:r w:rsidR="00830DDB">
        <w:rPr>
          <w:rFonts w:ascii="Times New Roman" w:hAnsi="Times New Roman" w:cs="Times New Roman"/>
        </w:rPr>
        <w:fldChar w:fldCharType="end"/>
      </w:r>
      <w:r w:rsidR="00830DDB">
        <w:rPr>
          <w:rFonts w:ascii="Times New Roman" w:hAnsi="Times New Roman" w:cs="Times New Roman"/>
        </w:rPr>
      </w:r>
      <w:r w:rsidR="00830DDB">
        <w:rPr>
          <w:rFonts w:ascii="Times New Roman" w:hAnsi="Times New Roman" w:cs="Times New Roman"/>
        </w:rPr>
        <w:fldChar w:fldCharType="separate"/>
      </w:r>
      <w:r w:rsidR="00830DDB" w:rsidRPr="00830DDB">
        <w:rPr>
          <w:rFonts w:ascii="Times New Roman" w:hAnsi="Times New Roman" w:cs="Times New Roman"/>
          <w:noProof/>
          <w:vertAlign w:val="superscript"/>
        </w:rPr>
        <w:t>1</w:t>
      </w:r>
      <w:r w:rsidR="00830DDB">
        <w:rPr>
          <w:rFonts w:ascii="Times New Roman" w:hAnsi="Times New Roman" w:cs="Times New Roman"/>
        </w:rPr>
        <w:fldChar w:fldCharType="end"/>
      </w:r>
    </w:p>
    <w:bookmarkEnd w:id="1"/>
    <w:bookmarkEnd w:id="3"/>
    <w:p w14:paraId="54951F64" w14:textId="77777777" w:rsidR="00027706" w:rsidRDefault="00027706">
      <w:pPr>
        <w:widowControl/>
      </w:pPr>
      <w:r w:rsidRPr="00027706">
        <w:rPr>
          <w:rStyle w:val="af4"/>
          <w:rFonts w:ascii="Times New Roman" w:hAnsi="Times New Roman" w:cs="Times New Roman" w:hint="eastAsia"/>
          <w:sz w:val="28"/>
          <w:szCs w:val="28"/>
        </w:rPr>
        <w:t xml:space="preserve">Supplementary </w:t>
      </w:r>
      <w:r>
        <w:rPr>
          <w:rStyle w:val="af4"/>
          <w:rFonts w:ascii="Times New Roman" w:hAnsi="Times New Roman" w:cs="Times New Roman" w:hint="eastAsia"/>
          <w:sz w:val="28"/>
          <w:szCs w:val="28"/>
        </w:rPr>
        <w:t>Figure</w:t>
      </w:r>
      <w:r w:rsidRPr="00027706">
        <w:rPr>
          <w:rStyle w:val="af4"/>
          <w:rFonts w:ascii="Times New Roman" w:hAnsi="Times New Roman" w:cs="Times New Roman" w:hint="eastAsia"/>
          <w:sz w:val="28"/>
          <w:szCs w:val="28"/>
        </w:rPr>
        <w:t>s</w:t>
      </w:r>
      <w:r>
        <w:rPr>
          <w:rFonts w:hint="eastAsia"/>
        </w:rPr>
        <w:t xml:space="preserve"> </w:t>
      </w:r>
    </w:p>
    <w:p w14:paraId="2B9A3289" w14:textId="77777777" w:rsidR="002C14EF" w:rsidRDefault="00027706">
      <w:pPr>
        <w:widowControl/>
      </w:pPr>
      <w:r>
        <w:rPr>
          <w:noProof/>
        </w:rPr>
        <w:drawing>
          <wp:inline distT="0" distB="0" distL="0" distR="0" wp14:anchorId="0FE0F4FD" wp14:editId="43FAF4EB">
            <wp:extent cx="5274310" cy="3116580"/>
            <wp:effectExtent l="0" t="0" r="2540" b="7620"/>
            <wp:docPr id="1096372332" name="图片 3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72332" name="图片 3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5A15" w14:textId="77777777" w:rsidR="002C14EF" w:rsidRDefault="002C14EF" w:rsidP="002C14EF">
      <w:pPr>
        <w:widowControl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0F5C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S1. S100A8/A9 expression in PJI samples stratified by infective pathogen.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A. Boxplots showing S100A8 expression across S. aureus PJI, S. epidermidis PJI, Non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-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S. aureus/</w:t>
      </w:r>
      <w:bookmarkStart w:id="4" w:name="OLE_LINK15"/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S. epidermidis</w:t>
      </w:r>
      <w:bookmarkEnd w:id="4"/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PJI, and AF samples. B. Boxplots showing S100A9 expression across the same groups.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*** represents P &lt; 0.001, ** represents P &lt; 0.01, * represents P &lt; 0.05.</w:t>
      </w:r>
    </w:p>
    <w:p w14:paraId="2B6FF97C" w14:textId="77777777" w:rsidR="002C14EF" w:rsidRDefault="00027706">
      <w:pPr>
        <w:widowControl/>
      </w:pPr>
      <w:r>
        <w:rPr>
          <w:noProof/>
        </w:rPr>
        <w:lastRenderedPageBreak/>
        <w:drawing>
          <wp:inline distT="0" distB="0" distL="0" distR="0" wp14:anchorId="4423571D" wp14:editId="506168B6">
            <wp:extent cx="5274310" cy="5386705"/>
            <wp:effectExtent l="0" t="0" r="2540" b="4445"/>
            <wp:docPr id="396928206" name="图片 2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28206" name="图片 2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8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1BBD" w14:textId="77777777" w:rsidR="002C14EF" w:rsidRDefault="002C14EF" w:rsidP="002C14EF">
      <w:pPr>
        <w:widowControl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0F5C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S2. ESTIMATE analysis of immune and stromal scores in PJI and AF samples.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–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C. Comparison of ESTIMATE, immune, and stromal scores between PJI patients and AF controls. D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–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F. Comparison of ESTIMATE, immune, and stromal scores between </w:t>
      </w:r>
      <w:r w:rsidRPr="00530A04">
        <w:rPr>
          <w:rFonts w:ascii="Times New Roman" w:hAnsi="Times New Roman" w:cs="Times New Roman" w:hint="eastAsia"/>
          <w:b/>
          <w:bCs/>
          <w:sz w:val="20"/>
          <w:szCs w:val="20"/>
        </w:rPr>
        <w:t>S100A8 high expression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PJI patients and </w:t>
      </w:r>
      <w:r w:rsidRPr="00530A04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S100A8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low</w:t>
      </w:r>
      <w:r w:rsidRPr="00530A04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expression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PJI patients.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G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–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I. </w:t>
      </w:r>
      <w:r w:rsidRPr="00530A04">
        <w:rPr>
          <w:rFonts w:ascii="Times New Roman" w:hAnsi="Times New Roman" w:cs="Times New Roman" w:hint="eastAsia"/>
          <w:b/>
          <w:bCs/>
          <w:sz w:val="20"/>
          <w:szCs w:val="20"/>
        </w:rPr>
        <w:t>Comparison of ESTIMATE, immune, and stromal scores between S100A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9</w:t>
      </w:r>
      <w:r w:rsidRPr="00530A04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high expression PJI patients and S100A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9</w:t>
      </w:r>
      <w:r w:rsidRPr="00530A04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low expression PJI patients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</w:p>
    <w:p w14:paraId="03A7BC73" w14:textId="77777777" w:rsidR="002C14EF" w:rsidRDefault="00027706">
      <w:pPr>
        <w:widowControl/>
      </w:pPr>
      <w:r>
        <w:rPr>
          <w:noProof/>
        </w:rPr>
        <w:lastRenderedPageBreak/>
        <w:drawing>
          <wp:inline distT="0" distB="0" distL="0" distR="0" wp14:anchorId="1AD1DF23" wp14:editId="2475A5AB">
            <wp:extent cx="5274310" cy="3521710"/>
            <wp:effectExtent l="0" t="0" r="2540" b="2540"/>
            <wp:docPr id="463880428" name="图片 1" descr="图片包含 雷达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80428" name="图片 1" descr="图片包含 雷达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290889D5" w14:textId="546D5D6E" w:rsidR="00821CAD" w:rsidRDefault="002C14EF">
      <w:pPr>
        <w:widowControl/>
        <w:rPr>
          <w:rFonts w:hint="eastAsia"/>
        </w:rPr>
      </w:pPr>
      <w:r w:rsidRPr="00B80F5C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S3. Correlation between S100A8/S100A9 expression and MDSC-recruiting chemokines in PJI synovial tissue.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A. Heatmap showing the correlation of S100A8 and S100A9 expression with multiple MDSC-recruiting chemokines.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B. Scatter plot of S100A8 expression versus CXCL1 expression.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E4472">
        <w:rPr>
          <w:rFonts w:ascii="Times New Roman" w:hAnsi="Times New Roman" w:cs="Times New Roman" w:hint="eastAsia"/>
          <w:b/>
          <w:bCs/>
          <w:sz w:val="20"/>
          <w:szCs w:val="20"/>
        </w:rPr>
        <w:t>C. Scatter plot of S100A9 expression versus CXCL1 expression.</w:t>
      </w:r>
      <w:r w:rsidR="00821CAD">
        <w:rPr>
          <w:rFonts w:hint="eastAsia"/>
        </w:rPr>
        <w:br w:type="page"/>
      </w:r>
    </w:p>
    <w:p w14:paraId="0B609FAD" w14:textId="66C8346F" w:rsidR="00821CAD" w:rsidRPr="00821CAD" w:rsidRDefault="00821CAD" w:rsidP="00830DDB">
      <w:pPr>
        <w:pStyle w:val="EndNoteBibliography"/>
        <w:rPr>
          <w:rFonts w:ascii="Times New Roman" w:hAnsi="Times New Roman" w:cs="Times New Roman"/>
          <w:b/>
          <w:bCs/>
        </w:rPr>
      </w:pPr>
      <w:r w:rsidRPr="00821CAD">
        <w:rPr>
          <w:rFonts w:ascii="Times New Roman" w:hAnsi="Times New Roman" w:cs="Times New Roman" w:hint="eastAsia"/>
          <w:b/>
          <w:bCs/>
        </w:rPr>
        <w:lastRenderedPageBreak/>
        <w:t xml:space="preserve">References: </w:t>
      </w:r>
    </w:p>
    <w:p w14:paraId="6E0B57FE" w14:textId="3CA46FC5" w:rsidR="00830DDB" w:rsidRPr="00830DDB" w:rsidRDefault="00830DDB" w:rsidP="00830DDB">
      <w:pPr>
        <w:pStyle w:val="EndNoteBibliography"/>
        <w:rPr>
          <w:rFonts w:ascii="Times New Roman" w:hAnsi="Times New Roman" w:cs="Times New Roman"/>
        </w:rPr>
      </w:pPr>
      <w:r w:rsidRPr="00830DDB">
        <w:rPr>
          <w:rFonts w:ascii="Times New Roman" w:hAnsi="Times New Roman" w:cs="Times New Roman"/>
        </w:rPr>
        <w:fldChar w:fldCharType="begin"/>
      </w:r>
      <w:r w:rsidRPr="00830DDB">
        <w:rPr>
          <w:rFonts w:ascii="Times New Roman" w:hAnsi="Times New Roman" w:cs="Times New Roman"/>
        </w:rPr>
        <w:instrText xml:space="preserve"> ADDIN EN.REFLIST </w:instrText>
      </w:r>
      <w:r w:rsidRPr="00830DDB">
        <w:rPr>
          <w:rFonts w:ascii="Times New Roman" w:hAnsi="Times New Roman" w:cs="Times New Roman"/>
        </w:rPr>
        <w:fldChar w:fldCharType="separate"/>
      </w:r>
      <w:r w:rsidRPr="00830DDB">
        <w:rPr>
          <w:rFonts w:ascii="Times New Roman" w:hAnsi="Times New Roman" w:cs="Times New Roman"/>
        </w:rPr>
        <w:t>1. Konsti, J.;  Lundin, M.;  Linder, N., et al. (2012). Effect of image compression and scaling on automated scoring of immunohistochemical stainings and segmentation of tumor epithelium. Diagn Pathol. 7(29. doi: 10.1186/1746-1596-7-29</w:t>
      </w:r>
    </w:p>
    <w:p w14:paraId="3DE7E47D" w14:textId="77997461" w:rsidR="008C6A93" w:rsidRPr="00350E36" w:rsidRDefault="00830DDB">
      <w:pPr>
        <w:rPr>
          <w:rFonts w:hint="eastAsia"/>
        </w:rPr>
      </w:pPr>
      <w:r w:rsidRPr="00830DDB">
        <w:rPr>
          <w:rFonts w:ascii="Times New Roman" w:hAnsi="Times New Roman" w:cs="Times New Roman"/>
        </w:rPr>
        <w:fldChar w:fldCharType="end"/>
      </w:r>
    </w:p>
    <w:sectPr w:rsidR="008C6A93" w:rsidRPr="00350E36" w:rsidSect="00821CA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E53B" w14:textId="77777777" w:rsidR="007F164B" w:rsidRDefault="007F164B" w:rsidP="00350E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4399EA" w14:textId="77777777" w:rsidR="007F164B" w:rsidRDefault="007F164B" w:rsidP="00350E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C11D" w14:textId="77777777" w:rsidR="007F164B" w:rsidRDefault="007F164B" w:rsidP="00350E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2E821A" w14:textId="77777777" w:rsidR="007F164B" w:rsidRDefault="007F164B" w:rsidP="00350E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 复制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de9d2x3swvt4e2pafvavrjxapr5epvp0xw&quot;&gt;我的EndNote库&lt;record-ids&gt;&lt;item&gt;82&lt;/item&gt;&lt;/record-ids&gt;&lt;/item&gt;&lt;/Libraries&gt;"/>
  </w:docVars>
  <w:rsids>
    <w:rsidRoot w:val="008C6A93"/>
    <w:rsid w:val="000267E8"/>
    <w:rsid w:val="00027706"/>
    <w:rsid w:val="00035B58"/>
    <w:rsid w:val="000F093B"/>
    <w:rsid w:val="00162D98"/>
    <w:rsid w:val="00234E61"/>
    <w:rsid w:val="002C14EF"/>
    <w:rsid w:val="00350E36"/>
    <w:rsid w:val="00410E75"/>
    <w:rsid w:val="005072B4"/>
    <w:rsid w:val="005F45A9"/>
    <w:rsid w:val="007F164B"/>
    <w:rsid w:val="00821CAD"/>
    <w:rsid w:val="00830DDB"/>
    <w:rsid w:val="008C6A93"/>
    <w:rsid w:val="009952F9"/>
    <w:rsid w:val="00995645"/>
    <w:rsid w:val="00AF7E2B"/>
    <w:rsid w:val="00BA6C09"/>
    <w:rsid w:val="00ED7301"/>
    <w:rsid w:val="00F216E3"/>
    <w:rsid w:val="00F955EF"/>
    <w:rsid w:val="00F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2689E"/>
  <w15:chartTrackingRefBased/>
  <w15:docId w15:val="{099FC6EA-4FB9-4ABE-ABA8-BD876F10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9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A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A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A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A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A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A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6A9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0E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0E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0E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0E36"/>
    <w:rPr>
      <w:sz w:val="18"/>
      <w:szCs w:val="18"/>
    </w:rPr>
  </w:style>
  <w:style w:type="paragraph" w:styleId="af2">
    <w:name w:val="Normal (Web)"/>
    <w:basedOn w:val="a"/>
    <w:link w:val="af3"/>
    <w:uiPriority w:val="99"/>
    <w:unhideWhenUsed/>
    <w:qFormat/>
    <w:rsid w:val="00350E3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350E36"/>
    <w:rPr>
      <w:b/>
    </w:rPr>
  </w:style>
  <w:style w:type="character" w:styleId="af5">
    <w:name w:val="Unresolved Mention"/>
    <w:basedOn w:val="a0"/>
    <w:uiPriority w:val="99"/>
    <w:semiHidden/>
    <w:unhideWhenUsed/>
    <w:rsid w:val="00350E3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830DDB"/>
    <w:pPr>
      <w:spacing w:after="0"/>
      <w:jc w:val="center"/>
    </w:pPr>
    <w:rPr>
      <w:rFonts w:ascii="等线" w:eastAsia="等线" w:hAnsi="等线"/>
      <w:noProof/>
    </w:rPr>
  </w:style>
  <w:style w:type="character" w:customStyle="1" w:styleId="af3">
    <w:name w:val="普通(网站) 字符"/>
    <w:basedOn w:val="a0"/>
    <w:link w:val="af2"/>
    <w:uiPriority w:val="99"/>
    <w:rsid w:val="00830DDB"/>
    <w:rPr>
      <w:rFonts w:ascii="宋体" w:eastAsia="宋体" w:hAnsi="宋体" w:cs="宋体"/>
      <w:kern w:val="0"/>
      <w:sz w:val="24"/>
      <w14:ligatures w14:val="none"/>
    </w:rPr>
  </w:style>
  <w:style w:type="character" w:customStyle="1" w:styleId="EndNoteBibliographyTitle0">
    <w:name w:val="EndNote Bibliography Title 字符"/>
    <w:basedOn w:val="af3"/>
    <w:link w:val="EndNoteBibliographyTitle"/>
    <w:rsid w:val="00830DDB"/>
    <w:rPr>
      <w:rFonts w:ascii="等线" w:eastAsia="等线" w:hAnsi="等线" w:cs="宋体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830DDB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f3"/>
    <w:link w:val="EndNoteBibliography"/>
    <w:rsid w:val="00830DDB"/>
    <w:rPr>
      <w:rFonts w:ascii="等线" w:eastAsia="等线" w:hAnsi="等线" w:cs="宋体"/>
      <w:noProof/>
      <w:kern w:val="0"/>
      <w:sz w:val="24"/>
      <w14:ligatures w14:val="none"/>
    </w:rPr>
  </w:style>
  <w:style w:type="character" w:styleId="af6">
    <w:name w:val="line number"/>
    <w:basedOn w:val="a0"/>
    <w:uiPriority w:val="99"/>
    <w:semiHidden/>
    <w:unhideWhenUsed/>
    <w:rsid w:val="0082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D597-E8CD-46E4-BBF5-52B3A1C2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462</Words>
  <Characters>2906</Characters>
  <Application>Microsoft Office Word</Application>
  <DocSecurity>0</DocSecurity>
  <Lines>48</Lines>
  <Paragraphs>15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邢</dc:creator>
  <cp:keywords/>
  <dc:description/>
  <cp:lastModifiedBy>阳 邢</cp:lastModifiedBy>
  <cp:revision>9</cp:revision>
  <dcterms:created xsi:type="dcterms:W3CDTF">2026-01-25T07:45:00Z</dcterms:created>
  <dcterms:modified xsi:type="dcterms:W3CDTF">2026-02-11T03:22:00Z</dcterms:modified>
</cp:coreProperties>
</file>