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9AEC" w14:textId="77777777" w:rsidR="005A3114" w:rsidRDefault="005A3114" w:rsidP="005A3114">
      <w:pPr>
        <w:widowControl/>
        <w:ind w:firstLineChars="200" w:firstLine="480"/>
        <w:rPr>
          <w:rFonts w:cs="Times New Roman"/>
          <w:color w:val="000000" w:themeColor="text1"/>
        </w:rPr>
      </w:pPr>
      <w:r w:rsidRPr="00F14CE5">
        <w:rPr>
          <w:rFonts w:cs="Times New Roman"/>
          <w:color w:val="000000" w:themeColor="text1"/>
        </w:rPr>
        <w:t xml:space="preserve">Samples were separated on a reversed-phase C18 column </w:t>
      </w:r>
      <w:r w:rsidRPr="00B3132A">
        <w:rPr>
          <w:rFonts w:cs="Times New Roman"/>
          <w:color w:val="000000" w:themeColor="text1"/>
        </w:rPr>
        <w:t>(</w:t>
      </w:r>
      <w:r w:rsidRPr="00C456A1">
        <w:rPr>
          <w:rFonts w:cs="Times New Roman" w:hint="eastAsia"/>
          <w:color w:val="000000" w:themeColor="text1"/>
        </w:rPr>
        <w:t>ACQUITY UPLC®HSS</w:t>
      </w:r>
      <w:r>
        <w:rPr>
          <w:rFonts w:cs="Times New Roman" w:hint="eastAsia"/>
          <w:color w:val="000000" w:themeColor="text1"/>
        </w:rPr>
        <w:t xml:space="preserve"> T3</w:t>
      </w:r>
      <w:r w:rsidRPr="00B3132A">
        <w:rPr>
          <w:rFonts w:cs="Times New Roman"/>
          <w:color w:val="000000" w:themeColor="text1"/>
        </w:rPr>
        <w:t xml:space="preserve"> co</w:t>
      </w:r>
      <w:r w:rsidRPr="00692E70">
        <w:rPr>
          <w:rFonts w:cs="Times New Roman"/>
          <w:color w:val="000000" w:themeColor="text1"/>
        </w:rPr>
        <w:t xml:space="preserve">lumn, </w:t>
      </w:r>
      <w:r w:rsidRPr="00692E70">
        <w:rPr>
          <w:rFonts w:cs="Times New Roman" w:hint="eastAsia"/>
          <w:color w:val="000000" w:themeColor="text1"/>
        </w:rPr>
        <w:t>1</w:t>
      </w:r>
      <w:r w:rsidRPr="00692E70">
        <w:rPr>
          <w:rFonts w:cs="Times New Roman"/>
          <w:color w:val="000000" w:themeColor="text1"/>
        </w:rPr>
        <w:t>50</w:t>
      </w:r>
      <w:r w:rsidRPr="00692E70">
        <w:rPr>
          <w:rFonts w:cs="Times New Roman" w:hint="eastAsia"/>
          <w:color w:val="000000" w:themeColor="text1"/>
        </w:rPr>
        <w:t xml:space="preserve"> mm</w:t>
      </w:r>
      <w:r w:rsidRPr="00692E70">
        <w:rPr>
          <w:rFonts w:cs="Times New Roman"/>
          <w:color w:val="000000" w:themeColor="text1"/>
        </w:rPr>
        <w:t xml:space="preserve"> × </w:t>
      </w:r>
      <w:r w:rsidRPr="00692E70">
        <w:rPr>
          <w:rFonts w:cs="Times New Roman" w:hint="eastAsia"/>
          <w:color w:val="000000" w:themeColor="text1"/>
        </w:rPr>
        <w:t>2.1</w:t>
      </w:r>
      <w:r w:rsidRPr="00692E70">
        <w:rPr>
          <w:rFonts w:cs="Times New Roman"/>
          <w:color w:val="000000" w:themeColor="text1"/>
        </w:rPr>
        <w:t xml:space="preserve"> mm,</w:t>
      </w:r>
      <w:r w:rsidRPr="00B3132A">
        <w:rPr>
          <w:rFonts w:cs="Times New Roman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1.8</w:t>
      </w:r>
      <w:r w:rsidRPr="00B3132A">
        <w:rPr>
          <w:rFonts w:cs="Times New Roman"/>
          <w:color w:val="000000" w:themeColor="text1"/>
        </w:rPr>
        <w:t xml:space="preserve"> µm, </w:t>
      </w:r>
      <w:r>
        <w:rPr>
          <w:rFonts w:cs="Times New Roman" w:hint="eastAsia"/>
          <w:color w:val="000000" w:themeColor="text1"/>
        </w:rPr>
        <w:t>Waters</w:t>
      </w:r>
      <w:r w:rsidRPr="00B3132A">
        <w:rPr>
          <w:rFonts w:cs="Times New Roman"/>
          <w:color w:val="000000" w:themeColor="text1"/>
        </w:rPr>
        <w:t>, USA)</w:t>
      </w:r>
      <w:r>
        <w:rPr>
          <w:rFonts w:cs="Times New Roman" w:hint="eastAsia"/>
          <w:color w:val="000000" w:themeColor="text1"/>
        </w:rPr>
        <w:t>.</w:t>
      </w:r>
      <w:r w:rsidRPr="00F14CE5">
        <w:rPr>
          <w:rFonts w:cs="Times New Roman"/>
          <w:color w:val="000000" w:themeColor="text1"/>
        </w:rPr>
        <w:t xml:space="preserve"> The mobile phase consisted of </w:t>
      </w:r>
      <w:r w:rsidRPr="00123EC9">
        <w:rPr>
          <w:rFonts w:cs="Times New Roman" w:hint="eastAsia"/>
          <w:color w:val="000000" w:themeColor="text1"/>
        </w:rPr>
        <w:t>acetonitrile</w:t>
      </w:r>
      <w:r w:rsidRPr="00F14CE5">
        <w:rPr>
          <w:rFonts w:cs="Times New Roman"/>
          <w:color w:val="000000" w:themeColor="text1"/>
        </w:rPr>
        <w:t xml:space="preserve"> and water in the ratio of </w:t>
      </w:r>
      <w:r>
        <w:rPr>
          <w:rFonts w:cs="Times New Roman" w:hint="eastAsia"/>
          <w:color w:val="000000" w:themeColor="text1"/>
        </w:rPr>
        <w:t>9</w:t>
      </w:r>
      <w:r w:rsidRPr="00F14CE5">
        <w:rPr>
          <w:rFonts w:cs="Times New Roman"/>
          <w:color w:val="000000" w:themeColor="text1"/>
        </w:rPr>
        <w:t xml:space="preserve">5:5 (v/v) with 0.1% formic acid. The flow rate was set as </w:t>
      </w:r>
      <w:r>
        <w:rPr>
          <w:rFonts w:cs="Times New Roman" w:hint="eastAsia"/>
          <w:color w:val="000000" w:themeColor="text1"/>
        </w:rPr>
        <w:t>0.3</w:t>
      </w:r>
      <w:r w:rsidRPr="00F14CE5">
        <w:rPr>
          <w:rFonts w:cs="Times New Roman"/>
          <w:color w:val="000000" w:themeColor="text1"/>
        </w:rPr>
        <w:t xml:space="preserve"> mL/min, and the temperature was maintained at 25℃. I</w:t>
      </w:r>
      <w:r w:rsidRPr="00F14CE5">
        <w:rPr>
          <w:rFonts w:cs="Times New Roman" w:hint="eastAsia"/>
          <w:color w:val="000000" w:themeColor="text1"/>
        </w:rPr>
        <w:t>n</w:t>
      </w:r>
      <w:r w:rsidRPr="00F14CE5">
        <w:rPr>
          <w:rFonts w:cs="Times New Roman"/>
          <w:color w:val="000000" w:themeColor="text1"/>
        </w:rPr>
        <w:t xml:space="preserve"> the QDa detector condition, the capillary and cone voltage were set as </w:t>
      </w:r>
      <w:r>
        <w:rPr>
          <w:rFonts w:cs="Times New Roman" w:hint="eastAsia"/>
          <w:color w:val="000000" w:themeColor="text1"/>
        </w:rPr>
        <w:t>2.4</w:t>
      </w:r>
      <w:r w:rsidRPr="00F14CE5">
        <w:rPr>
          <w:rFonts w:cs="Times New Roman"/>
          <w:color w:val="000000" w:themeColor="text1"/>
        </w:rPr>
        <w:t xml:space="preserve"> </w:t>
      </w:r>
      <w:r w:rsidRPr="00F14CE5">
        <w:rPr>
          <w:rFonts w:cs="Times New Roman" w:hint="eastAsia"/>
          <w:color w:val="000000" w:themeColor="text1"/>
        </w:rPr>
        <w:t>k</w:t>
      </w:r>
      <w:r w:rsidRPr="00F14CE5">
        <w:rPr>
          <w:rFonts w:cs="Times New Roman"/>
          <w:color w:val="000000" w:themeColor="text1"/>
        </w:rPr>
        <w:t xml:space="preserve">V and </w:t>
      </w:r>
      <w:r>
        <w:rPr>
          <w:rFonts w:cs="Times New Roman" w:hint="eastAsia"/>
          <w:color w:val="000000" w:themeColor="text1"/>
        </w:rPr>
        <w:t>40</w:t>
      </w:r>
      <w:r w:rsidRPr="00F14CE5">
        <w:rPr>
          <w:rFonts w:cs="Times New Roman"/>
          <w:color w:val="000000" w:themeColor="text1"/>
        </w:rPr>
        <w:t xml:space="preserve"> V, respectively. The </w:t>
      </w:r>
      <w:r>
        <w:rPr>
          <w:rFonts w:cs="Times New Roman"/>
          <w:color w:val="000000" w:themeColor="text1"/>
        </w:rPr>
        <w:t>q</w:t>
      </w:r>
      <w:r w:rsidRPr="00F14CE5">
        <w:rPr>
          <w:rFonts w:cs="Times New Roman"/>
          <w:color w:val="000000" w:themeColor="text1"/>
        </w:rPr>
        <w:t xml:space="preserve">uantitation of samples was performed by single ion recording </w:t>
      </w:r>
      <w:r w:rsidRPr="00F14CE5">
        <w:rPr>
          <w:rFonts w:cs="Times New Roman" w:hint="eastAsia"/>
          <w:color w:val="000000" w:themeColor="text1"/>
        </w:rPr>
        <w:t>(</w:t>
      </w:r>
      <w:r w:rsidRPr="00F14CE5">
        <w:rPr>
          <w:rFonts w:cs="Times New Roman"/>
          <w:color w:val="000000" w:themeColor="text1"/>
        </w:rPr>
        <w:t>SIR) of the transition of m/z 3</w:t>
      </w:r>
      <w:r>
        <w:rPr>
          <w:rFonts w:cs="Times New Roman" w:hint="eastAsia"/>
          <w:color w:val="000000" w:themeColor="text1"/>
        </w:rPr>
        <w:t>49</w:t>
      </w:r>
      <w:r w:rsidRPr="00F14CE5">
        <w:rPr>
          <w:rFonts w:cs="Times New Roman"/>
          <w:color w:val="000000" w:themeColor="text1"/>
        </w:rPr>
        <w:t xml:space="preserve"> [M+Na]</w:t>
      </w:r>
      <w:r w:rsidRPr="00F14CE5">
        <w:rPr>
          <w:rFonts w:cs="Times New Roman"/>
          <w:color w:val="000000" w:themeColor="text1"/>
          <w:vertAlign w:val="superscript"/>
        </w:rPr>
        <w:t>+</w:t>
      </w:r>
      <w:r w:rsidRPr="00F14CE5">
        <w:rPr>
          <w:rFonts w:cs="Times New Roman"/>
          <w:color w:val="000000" w:themeColor="text1"/>
        </w:rPr>
        <w:t xml:space="preserve"> for AG and m/z </w:t>
      </w:r>
      <w:r>
        <w:rPr>
          <w:rFonts w:cs="Times New Roman" w:hint="eastAsia"/>
          <w:color w:val="000000" w:themeColor="text1"/>
        </w:rPr>
        <w:t>325</w:t>
      </w:r>
      <w:r w:rsidRPr="00F14CE5">
        <w:rPr>
          <w:rFonts w:cs="Times New Roman"/>
          <w:color w:val="000000" w:themeColor="text1"/>
        </w:rPr>
        <w:t xml:space="preserve"> [M−H]</w:t>
      </w:r>
      <w:r w:rsidRPr="00F14CE5">
        <w:rPr>
          <w:rFonts w:cs="Times New Roman"/>
          <w:color w:val="000000" w:themeColor="text1"/>
          <w:vertAlign w:val="superscript"/>
        </w:rPr>
        <w:t>−</w:t>
      </w:r>
      <w:r w:rsidRPr="00F14CE5">
        <w:rPr>
          <w:rFonts w:cs="Times New Roman"/>
          <w:color w:val="000000" w:themeColor="text1"/>
        </w:rPr>
        <w:t xml:space="preserve"> for IS. </w:t>
      </w:r>
    </w:p>
    <w:p w14:paraId="383DFA39" w14:textId="77777777" w:rsidR="005A3114" w:rsidRPr="00123EC9" w:rsidRDefault="005A3114" w:rsidP="005A3114">
      <w:pPr>
        <w:widowControl/>
        <w:rPr>
          <w:rFonts w:cs="Times New Roman"/>
          <w:color w:val="000000" w:themeColor="text1"/>
        </w:rPr>
      </w:pPr>
      <w:r>
        <w:rPr>
          <w:rFonts w:cs="Times New Roman"/>
          <w:noProof/>
          <w:color w:val="000000" w:themeColor="text1"/>
        </w:rPr>
        <w:drawing>
          <wp:inline distT="0" distB="0" distL="0" distR="0" wp14:anchorId="0C9E69AE" wp14:editId="3448FE92">
            <wp:extent cx="3424067" cy="1421606"/>
            <wp:effectExtent l="0" t="0" r="5080" b="7620"/>
            <wp:docPr id="293989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89548" name="图片 2939895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658" cy="145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_GB2312" w:cs="Times New Roman"/>
          <w:noProof/>
          <w:color w:val="000000" w:themeColor="text1"/>
          <w:lang w:val="pt-PT"/>
        </w:rPr>
        <w:drawing>
          <wp:inline distT="0" distB="0" distL="0" distR="0" wp14:anchorId="6F5AF004" wp14:editId="0EB6C683">
            <wp:extent cx="1817455" cy="1466226"/>
            <wp:effectExtent l="0" t="0" r="0" b="635"/>
            <wp:docPr id="12368288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28831" name="图片 12368288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421" cy="147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526CD" w14:textId="7DDDF370" w:rsidR="005A3114" w:rsidRDefault="005A3114" w:rsidP="005A3114">
      <w:pPr>
        <w:widowControl/>
        <w:rPr>
          <w:rFonts w:eastAsia="楷体_GB2312" w:cs="Times New Roman"/>
          <w:szCs w:val="21"/>
          <w:lang w:val="pt-PT"/>
        </w:rPr>
      </w:pPr>
      <w:r w:rsidRPr="007272E9">
        <w:rPr>
          <w:rFonts w:cs="Times New Roman"/>
          <w:b/>
          <w:bCs/>
          <w:szCs w:val="24"/>
        </w:rPr>
        <w:t xml:space="preserve">Supplementary Figure </w:t>
      </w:r>
      <w:r>
        <w:rPr>
          <w:rFonts w:cs="Times New Roman"/>
          <w:b/>
          <w:bCs/>
          <w:szCs w:val="24"/>
        </w:rPr>
        <w:t>1.</w:t>
      </w:r>
      <w:r w:rsidRPr="005D0B4C">
        <w:rPr>
          <w:rFonts w:eastAsia="楷体_GB2312" w:cs="Times New Roman"/>
          <w:szCs w:val="21"/>
          <w:lang w:val="pt-PT"/>
        </w:rPr>
        <w:t xml:space="preserve"> The selected ion chromatograms for </w:t>
      </w:r>
      <w:r w:rsidRPr="005D0B4C">
        <w:rPr>
          <w:rFonts w:eastAsia="楷体_GB2312" w:cs="Times New Roman" w:hint="eastAsia"/>
          <w:szCs w:val="21"/>
          <w:lang w:val="pt-PT"/>
        </w:rPr>
        <w:t>(</w:t>
      </w:r>
      <w:r w:rsidRPr="005D0B4C">
        <w:rPr>
          <w:rFonts w:eastAsia="楷体_GB2312" w:cs="Times New Roman"/>
          <w:szCs w:val="21"/>
          <w:lang w:val="pt-PT"/>
        </w:rPr>
        <w:t xml:space="preserve">A) </w:t>
      </w:r>
      <w:r>
        <w:rPr>
          <w:rFonts w:eastAsia="楷体_GB2312" w:cs="Times New Roman" w:hint="eastAsia"/>
          <w:szCs w:val="21"/>
          <w:lang w:val="pt-PT"/>
        </w:rPr>
        <w:t>AG</w:t>
      </w:r>
      <w:r>
        <w:rPr>
          <w:rFonts w:eastAsia="楷体_GB2312" w:cs="Times New Roman"/>
          <w:szCs w:val="21"/>
          <w:lang w:val="pt-PT"/>
        </w:rPr>
        <w:t xml:space="preserve"> and</w:t>
      </w:r>
      <w:r w:rsidRPr="005D0B4C">
        <w:rPr>
          <w:rFonts w:eastAsia="楷体_GB2312" w:cs="Times New Roman"/>
          <w:szCs w:val="21"/>
          <w:lang w:val="pt-PT"/>
        </w:rPr>
        <w:t xml:space="preserve"> (B)</w:t>
      </w:r>
      <w:r>
        <w:rPr>
          <w:rFonts w:eastAsia="楷体_GB2312" w:cs="Times New Roman"/>
          <w:szCs w:val="21"/>
          <w:lang w:val="pt-PT"/>
        </w:rPr>
        <w:t xml:space="preserve"> </w:t>
      </w:r>
      <w:r>
        <w:rPr>
          <w:rFonts w:eastAsia="楷体_GB2312" w:cs="Times New Roman" w:hint="eastAsia"/>
          <w:szCs w:val="21"/>
          <w:lang w:val="pt-PT"/>
        </w:rPr>
        <w:t>IS</w:t>
      </w:r>
      <w:r>
        <w:rPr>
          <w:rFonts w:eastAsia="楷体_GB2312" w:cs="Times New Roman"/>
          <w:szCs w:val="21"/>
          <w:lang w:val="pt-PT"/>
        </w:rPr>
        <w:t xml:space="preserve"> in rat plasma</w:t>
      </w:r>
      <w:r w:rsidRPr="005D0B4C">
        <w:rPr>
          <w:rFonts w:eastAsia="楷体_GB2312" w:cs="Times New Roman"/>
          <w:szCs w:val="21"/>
          <w:lang w:val="pt-PT"/>
        </w:rPr>
        <w:t>.</w:t>
      </w:r>
    </w:p>
    <w:p w14:paraId="46D10B18" w14:textId="77777777" w:rsidR="00554D61" w:rsidRPr="00A47D88" w:rsidRDefault="00554D61" w:rsidP="005A3114">
      <w:pPr>
        <w:widowControl/>
        <w:rPr>
          <w:rFonts w:eastAsia="楷体_GB2312" w:cs="Times New Roman"/>
          <w:szCs w:val="21"/>
          <w:lang w:val="pt-PT"/>
        </w:rPr>
      </w:pPr>
    </w:p>
    <w:p w14:paraId="2414866B" w14:textId="10A9C55D" w:rsidR="00554D61" w:rsidRDefault="00554D61" w:rsidP="00554D61">
      <w:pPr>
        <w:jc w:val="center"/>
      </w:pPr>
      <w:r w:rsidRPr="00554D61">
        <w:drawing>
          <wp:inline distT="0" distB="0" distL="0" distR="0" wp14:anchorId="74A65E62" wp14:editId="413B07DF">
            <wp:extent cx="1638300" cy="171640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7984" cy="172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2C0D5" w14:textId="0E1A4A23" w:rsidR="00554D61" w:rsidRDefault="00554D61" w:rsidP="00554D61">
      <w:pPr>
        <w:widowControl/>
        <w:shd w:val="clear" w:color="auto" w:fill="FFFFFF"/>
        <w:spacing w:before="100" w:beforeAutospacing="1" w:after="100" w:afterAutospacing="1"/>
        <w:rPr>
          <w:rFonts w:cs="Times New Roman"/>
          <w:szCs w:val="24"/>
        </w:rPr>
      </w:pPr>
      <w:bookmarkStart w:id="0" w:name="OLE_LINK2"/>
      <w:r w:rsidRPr="007272E9">
        <w:rPr>
          <w:rFonts w:cs="Times New Roman"/>
          <w:b/>
          <w:bCs/>
          <w:szCs w:val="24"/>
        </w:rPr>
        <w:t xml:space="preserve">Supplementary Figure </w:t>
      </w:r>
      <w:r>
        <w:rPr>
          <w:rFonts w:cs="Times New Roman"/>
          <w:b/>
          <w:bCs/>
          <w:szCs w:val="24"/>
        </w:rPr>
        <w:t>2</w:t>
      </w:r>
      <w:r w:rsidRPr="007272E9">
        <w:rPr>
          <w:rFonts w:cs="Times New Roman"/>
          <w:b/>
          <w:bCs/>
          <w:szCs w:val="24"/>
        </w:rPr>
        <w:t>.</w:t>
      </w:r>
      <w:r w:rsidRPr="00371D0A">
        <w:t xml:space="preserve"> </w:t>
      </w:r>
      <w:bookmarkEnd w:id="0"/>
      <w:r w:rsidRPr="00542DEB">
        <w:rPr>
          <w:rFonts w:cs="Times New Roman"/>
          <w:szCs w:val="24"/>
        </w:rPr>
        <w:t>Apparent permeability coefficient (Papp)</w:t>
      </w:r>
      <w:r>
        <w:rPr>
          <w:rFonts w:cs="Times New Roman"/>
          <w:szCs w:val="24"/>
        </w:rPr>
        <w:t xml:space="preserve"> </w:t>
      </w:r>
      <w:r w:rsidR="008455DF" w:rsidRPr="008455DF">
        <w:rPr>
          <w:rFonts w:cs="Times New Roman"/>
          <w:szCs w:val="24"/>
        </w:rPr>
        <w:t>determined by the</w:t>
      </w:r>
      <w:r>
        <w:rPr>
          <w:rFonts w:cs="Times New Roman"/>
          <w:szCs w:val="24"/>
        </w:rPr>
        <w:t xml:space="preserve"> </w:t>
      </w:r>
      <w:r w:rsidR="008455DF">
        <w:rPr>
          <w:rFonts w:cs="Times New Roman"/>
          <w:szCs w:val="24"/>
        </w:rPr>
        <w:t>p</w:t>
      </w:r>
      <w:r w:rsidRPr="00554D61">
        <w:rPr>
          <w:rFonts w:cs="Times New Roman"/>
          <w:szCs w:val="24"/>
        </w:rPr>
        <w:t xml:space="preserve">arallel </w:t>
      </w:r>
      <w:r w:rsidR="008455DF">
        <w:rPr>
          <w:rFonts w:cs="Times New Roman"/>
          <w:szCs w:val="24"/>
        </w:rPr>
        <w:t>a</w:t>
      </w:r>
      <w:r w:rsidRPr="00554D61">
        <w:rPr>
          <w:rFonts w:cs="Times New Roman"/>
          <w:szCs w:val="24"/>
        </w:rPr>
        <w:t xml:space="preserve">rtificial </w:t>
      </w:r>
      <w:r w:rsidR="008455DF">
        <w:rPr>
          <w:rFonts w:cs="Times New Roman"/>
          <w:szCs w:val="24"/>
        </w:rPr>
        <w:t>m</w:t>
      </w:r>
      <w:r w:rsidRPr="00554D61">
        <w:rPr>
          <w:rFonts w:cs="Times New Roman"/>
          <w:szCs w:val="24"/>
        </w:rPr>
        <w:t xml:space="preserve">embrane </w:t>
      </w:r>
      <w:r w:rsidR="008455DF">
        <w:rPr>
          <w:rFonts w:cs="Times New Roman"/>
          <w:szCs w:val="24"/>
        </w:rPr>
        <w:t>p</w:t>
      </w:r>
      <w:r w:rsidRPr="00554D61">
        <w:rPr>
          <w:rFonts w:cs="Times New Roman"/>
          <w:szCs w:val="24"/>
        </w:rPr>
        <w:t xml:space="preserve">ermeability </w:t>
      </w:r>
      <w:r w:rsidR="008455DF">
        <w:rPr>
          <w:rFonts w:cs="Times New Roman"/>
          <w:szCs w:val="24"/>
        </w:rPr>
        <w:t>a</w:t>
      </w:r>
      <w:r w:rsidRPr="00554D61">
        <w:rPr>
          <w:rFonts w:cs="Times New Roman"/>
          <w:szCs w:val="24"/>
        </w:rPr>
        <w:t>ssay (PAMPA)</w:t>
      </w:r>
      <w:r w:rsidRPr="00371D0A">
        <w:rPr>
          <w:rFonts w:cs="Times New Roman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554D61">
        <w:rPr>
          <w:rFonts w:cs="Times New Roman" w:hint="eastAsia"/>
          <w:szCs w:val="24"/>
          <w:vertAlign w:val="superscript"/>
        </w:rPr>
        <w:t>n</w:t>
      </w:r>
      <w:r w:rsidRPr="00554D61">
        <w:rPr>
          <w:rFonts w:cs="Times New Roman"/>
          <w:szCs w:val="24"/>
          <w:vertAlign w:val="superscript"/>
        </w:rPr>
        <w:t>s</w:t>
      </w:r>
      <w:r w:rsidRPr="00554D61">
        <w:rPr>
          <w:rFonts w:cs="Times New Roman"/>
          <w:szCs w:val="24"/>
        </w:rPr>
        <w:t xml:space="preserve"> no significance</w:t>
      </w:r>
      <w:r w:rsidRPr="00554D61">
        <w:rPr>
          <w:rFonts w:cs="Times New Roman" w:hint="eastAsia"/>
          <w:szCs w:val="24"/>
        </w:rPr>
        <w:t>;</w:t>
      </w:r>
      <w:r>
        <w:rPr>
          <w:rFonts w:cs="Times New Roman"/>
          <w:color w:val="C00000"/>
          <w:szCs w:val="24"/>
        </w:rPr>
        <w:t xml:space="preserve"> </w:t>
      </w:r>
      <w:r w:rsidRPr="00371D0A">
        <w:rPr>
          <w:rFonts w:cs="Times New Roman"/>
          <w:color w:val="000000" w:themeColor="text1"/>
          <w:szCs w:val="24"/>
        </w:rPr>
        <w:t>***</w:t>
      </w:r>
      <w:r w:rsidRPr="00371D0A">
        <w:rPr>
          <w:rFonts w:cs="Times New Roman"/>
          <w:i/>
          <w:iCs/>
          <w:color w:val="000000" w:themeColor="text1"/>
          <w:szCs w:val="24"/>
        </w:rPr>
        <w:t xml:space="preserve"> p </w:t>
      </w:r>
      <w:r w:rsidRPr="00371D0A">
        <w:rPr>
          <w:rFonts w:cs="Times New Roman"/>
          <w:color w:val="000000" w:themeColor="text1"/>
          <w:szCs w:val="24"/>
        </w:rPr>
        <w:t xml:space="preserve">&lt; 0.001 versus the </w:t>
      </w:r>
      <w:r>
        <w:rPr>
          <w:rFonts w:cs="Times New Roman"/>
          <w:color w:val="000000" w:themeColor="text1"/>
          <w:szCs w:val="24"/>
        </w:rPr>
        <w:t>Free AG</w:t>
      </w:r>
      <w:r w:rsidRPr="00371D0A">
        <w:rPr>
          <w:rFonts w:cs="Times New Roman"/>
          <w:color w:val="000000" w:themeColor="text1"/>
          <w:szCs w:val="24"/>
        </w:rPr>
        <w:t xml:space="preserve"> group</w:t>
      </w:r>
      <w:r w:rsidRPr="00371D0A">
        <w:rPr>
          <w:rFonts w:cs="Times New Roman"/>
          <w:szCs w:val="24"/>
        </w:rPr>
        <w:t>.</w:t>
      </w:r>
    </w:p>
    <w:p w14:paraId="31F0CC64" w14:textId="77777777" w:rsidR="00554D61" w:rsidRDefault="00554D61" w:rsidP="00554D61">
      <w:pPr>
        <w:widowControl/>
        <w:shd w:val="clear" w:color="auto" w:fill="FFFFFF"/>
        <w:spacing w:before="100" w:beforeAutospacing="1" w:after="100" w:afterAutospacing="1"/>
        <w:rPr>
          <w:rFonts w:cs="Times New Roman"/>
          <w:szCs w:val="24"/>
        </w:rPr>
      </w:pPr>
    </w:p>
    <w:p w14:paraId="27798BD1" w14:textId="67AB2D04" w:rsidR="007E4FF2" w:rsidRDefault="002A29F0" w:rsidP="007E4FF2">
      <w:pPr>
        <w:widowControl/>
        <w:shd w:val="clear" w:color="auto" w:fill="FFFFFF"/>
        <w:spacing w:before="100" w:beforeAutospacing="1" w:after="100" w:afterAutospacing="1"/>
        <w:jc w:val="center"/>
      </w:pPr>
      <w:r w:rsidRPr="002A29F0">
        <w:lastRenderedPageBreak/>
        <w:drawing>
          <wp:inline distT="0" distB="0" distL="0" distR="0" wp14:anchorId="2CEAD104" wp14:editId="7339AF69">
            <wp:extent cx="1579930" cy="1758543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7862" cy="177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2BAC" w14:textId="5D763A62" w:rsidR="002A29F0" w:rsidRDefault="002A29F0" w:rsidP="00A12A65">
      <w:pPr>
        <w:widowControl/>
        <w:shd w:val="clear" w:color="auto" w:fill="FFFFFF"/>
        <w:spacing w:before="100" w:beforeAutospacing="1" w:after="100" w:afterAutospacing="1"/>
        <w:rPr>
          <w:rFonts w:cs="Times New Roman"/>
          <w:szCs w:val="24"/>
        </w:rPr>
      </w:pPr>
      <w:r w:rsidRPr="007272E9">
        <w:rPr>
          <w:rFonts w:cs="Times New Roman"/>
          <w:b/>
          <w:bCs/>
          <w:szCs w:val="24"/>
        </w:rPr>
        <w:t xml:space="preserve">Supplementary Figure </w:t>
      </w:r>
      <w:r w:rsidR="00123076">
        <w:rPr>
          <w:rFonts w:cs="Times New Roman"/>
          <w:b/>
          <w:bCs/>
          <w:szCs w:val="24"/>
        </w:rPr>
        <w:t>3</w:t>
      </w:r>
      <w:r w:rsidRPr="007272E9">
        <w:rPr>
          <w:rFonts w:cs="Times New Roman"/>
          <w:b/>
          <w:bCs/>
          <w:szCs w:val="24"/>
        </w:rPr>
        <w:t>.</w:t>
      </w:r>
      <w:r w:rsidRPr="00371D0A">
        <w:t xml:space="preserve"> </w:t>
      </w:r>
      <w:r w:rsidR="00A12A65">
        <w:t>Effects of endocytosis inhibitors on the</w:t>
      </w:r>
      <w:r w:rsidR="00DE6F77">
        <w:t xml:space="preserve"> </w:t>
      </w:r>
      <w:r w:rsidR="00A12A65">
        <w:t xml:space="preserve">internalization of </w:t>
      </w:r>
      <w:r w:rsidR="00DE6F77">
        <w:t>BDDS</w:t>
      </w:r>
      <w:r w:rsidR="00A12A65">
        <w:t xml:space="preserve"> in </w:t>
      </w:r>
      <w:r w:rsidR="00DE6F77">
        <w:t>Caco-2</w:t>
      </w:r>
      <w:r w:rsidR="00A12A65">
        <w:t xml:space="preserve"> cells.</w:t>
      </w:r>
      <w:r>
        <w:rPr>
          <w:rFonts w:cs="Times New Roman"/>
          <w:color w:val="000000" w:themeColor="text1"/>
          <w:szCs w:val="24"/>
        </w:rPr>
        <w:t xml:space="preserve"> </w:t>
      </w:r>
      <w:r w:rsidR="00DE6F77" w:rsidRPr="00371D0A">
        <w:rPr>
          <w:rFonts w:cs="Times New Roman"/>
          <w:color w:val="000000" w:themeColor="text1"/>
          <w:szCs w:val="24"/>
        </w:rPr>
        <w:t>*</w:t>
      </w:r>
      <w:r w:rsidR="00DE6F77" w:rsidRPr="00371D0A">
        <w:rPr>
          <w:rFonts w:cs="Times New Roman"/>
          <w:i/>
          <w:iCs/>
          <w:color w:val="000000" w:themeColor="text1"/>
          <w:szCs w:val="24"/>
        </w:rPr>
        <w:t xml:space="preserve"> p </w:t>
      </w:r>
      <w:r w:rsidR="00DE6F77" w:rsidRPr="00371D0A">
        <w:rPr>
          <w:rFonts w:cs="Times New Roman"/>
          <w:color w:val="000000" w:themeColor="text1"/>
          <w:szCs w:val="24"/>
        </w:rPr>
        <w:t>&lt; 0.0</w:t>
      </w:r>
      <w:r w:rsidR="00DE6F77">
        <w:rPr>
          <w:rFonts w:cs="Times New Roman"/>
          <w:color w:val="000000" w:themeColor="text1"/>
          <w:szCs w:val="24"/>
        </w:rPr>
        <w:t xml:space="preserve">5; </w:t>
      </w:r>
      <w:r w:rsidR="00DE6F77" w:rsidRPr="00371D0A">
        <w:rPr>
          <w:rFonts w:cs="Times New Roman"/>
          <w:color w:val="000000" w:themeColor="text1"/>
          <w:szCs w:val="24"/>
        </w:rPr>
        <w:t>**</w:t>
      </w:r>
      <w:r w:rsidR="00DE6F77" w:rsidRPr="00371D0A">
        <w:rPr>
          <w:rFonts w:cs="Times New Roman"/>
          <w:i/>
          <w:iCs/>
          <w:color w:val="000000" w:themeColor="text1"/>
          <w:szCs w:val="24"/>
        </w:rPr>
        <w:t xml:space="preserve"> p </w:t>
      </w:r>
      <w:r w:rsidR="00DE6F77" w:rsidRPr="00371D0A">
        <w:rPr>
          <w:rFonts w:cs="Times New Roman"/>
          <w:color w:val="000000" w:themeColor="text1"/>
          <w:szCs w:val="24"/>
        </w:rPr>
        <w:t>&lt; 0.0</w:t>
      </w:r>
      <w:r w:rsidR="00DE6F77">
        <w:rPr>
          <w:rFonts w:cs="Times New Roman"/>
          <w:color w:val="000000" w:themeColor="text1"/>
          <w:szCs w:val="24"/>
        </w:rPr>
        <w:t xml:space="preserve">1; </w:t>
      </w:r>
      <w:r w:rsidRPr="00371D0A">
        <w:rPr>
          <w:rFonts w:cs="Times New Roman"/>
          <w:color w:val="000000" w:themeColor="text1"/>
          <w:szCs w:val="24"/>
        </w:rPr>
        <w:t>****</w:t>
      </w:r>
      <w:r w:rsidRPr="00371D0A">
        <w:rPr>
          <w:rFonts w:cs="Times New Roman"/>
          <w:i/>
          <w:iCs/>
          <w:color w:val="000000" w:themeColor="text1"/>
          <w:szCs w:val="24"/>
        </w:rPr>
        <w:t xml:space="preserve"> p </w:t>
      </w:r>
      <w:r w:rsidRPr="00371D0A">
        <w:rPr>
          <w:rFonts w:cs="Times New Roman"/>
          <w:color w:val="000000" w:themeColor="text1"/>
          <w:szCs w:val="24"/>
        </w:rPr>
        <w:t xml:space="preserve">&lt; 0.0001 versus the </w:t>
      </w:r>
      <w:r w:rsidR="00DE6F77">
        <w:rPr>
          <w:rFonts w:cs="Times New Roman"/>
          <w:color w:val="000000" w:themeColor="text1"/>
          <w:szCs w:val="24"/>
        </w:rPr>
        <w:t>control</w:t>
      </w:r>
      <w:r w:rsidRPr="00371D0A">
        <w:rPr>
          <w:rFonts w:cs="Times New Roman"/>
          <w:color w:val="000000" w:themeColor="text1"/>
          <w:szCs w:val="24"/>
        </w:rPr>
        <w:t xml:space="preserve"> group</w:t>
      </w:r>
      <w:r w:rsidRPr="00371D0A">
        <w:rPr>
          <w:rFonts w:cs="Times New Roman"/>
          <w:szCs w:val="24"/>
        </w:rPr>
        <w:t>.</w:t>
      </w:r>
    </w:p>
    <w:p w14:paraId="74CA9DA8" w14:textId="77777777" w:rsidR="002A29F0" w:rsidRPr="009A10B4" w:rsidRDefault="002A29F0" w:rsidP="007E4FF2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/>
        </w:rPr>
      </w:pPr>
    </w:p>
    <w:sectPr w:rsidR="002A29F0" w:rsidRPr="009A10B4" w:rsidSect="002C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4685" w14:textId="77777777" w:rsidR="0013671E" w:rsidRDefault="0013671E" w:rsidP="007012A7">
      <w:pPr>
        <w:spacing w:line="240" w:lineRule="auto"/>
      </w:pPr>
      <w:r>
        <w:separator/>
      </w:r>
    </w:p>
  </w:endnote>
  <w:endnote w:type="continuationSeparator" w:id="0">
    <w:p w14:paraId="3ED8FE20" w14:textId="77777777" w:rsidR="0013671E" w:rsidRDefault="0013671E" w:rsidP="00701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9308" w14:textId="77777777" w:rsidR="0013671E" w:rsidRDefault="0013671E" w:rsidP="007012A7">
      <w:pPr>
        <w:spacing w:line="240" w:lineRule="auto"/>
      </w:pPr>
      <w:r>
        <w:separator/>
      </w:r>
    </w:p>
  </w:footnote>
  <w:footnote w:type="continuationSeparator" w:id="0">
    <w:p w14:paraId="176D0226" w14:textId="77777777" w:rsidR="0013671E" w:rsidRDefault="0013671E" w:rsidP="00701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2"/>
    <w:rsid w:val="00003802"/>
    <w:rsid w:val="000E7089"/>
    <w:rsid w:val="00123076"/>
    <w:rsid w:val="0013671E"/>
    <w:rsid w:val="0020355E"/>
    <w:rsid w:val="00226B20"/>
    <w:rsid w:val="00273A65"/>
    <w:rsid w:val="002A29F0"/>
    <w:rsid w:val="002C0AF8"/>
    <w:rsid w:val="002C6B8B"/>
    <w:rsid w:val="002D32DF"/>
    <w:rsid w:val="00327403"/>
    <w:rsid w:val="00330CFD"/>
    <w:rsid w:val="00334762"/>
    <w:rsid w:val="003F1ED6"/>
    <w:rsid w:val="004063F7"/>
    <w:rsid w:val="00424034"/>
    <w:rsid w:val="00464A7D"/>
    <w:rsid w:val="004C6ED4"/>
    <w:rsid w:val="00554D61"/>
    <w:rsid w:val="005A3114"/>
    <w:rsid w:val="005F1E7A"/>
    <w:rsid w:val="006078AF"/>
    <w:rsid w:val="006341A1"/>
    <w:rsid w:val="006D5EDC"/>
    <w:rsid w:val="007012A7"/>
    <w:rsid w:val="007073D3"/>
    <w:rsid w:val="007158B8"/>
    <w:rsid w:val="007272E9"/>
    <w:rsid w:val="00731B25"/>
    <w:rsid w:val="00746BC7"/>
    <w:rsid w:val="007722F5"/>
    <w:rsid w:val="007E2046"/>
    <w:rsid w:val="007E4FF2"/>
    <w:rsid w:val="007F37E1"/>
    <w:rsid w:val="00811B12"/>
    <w:rsid w:val="008455DF"/>
    <w:rsid w:val="00847878"/>
    <w:rsid w:val="008640BE"/>
    <w:rsid w:val="008C3FA2"/>
    <w:rsid w:val="008D52B6"/>
    <w:rsid w:val="008E1B6F"/>
    <w:rsid w:val="00985E97"/>
    <w:rsid w:val="009957FF"/>
    <w:rsid w:val="009A10B4"/>
    <w:rsid w:val="009D42DE"/>
    <w:rsid w:val="009F162C"/>
    <w:rsid w:val="00A12A65"/>
    <w:rsid w:val="00A358E3"/>
    <w:rsid w:val="00A51E67"/>
    <w:rsid w:val="00A750F2"/>
    <w:rsid w:val="00B07242"/>
    <w:rsid w:val="00B35740"/>
    <w:rsid w:val="00BB40D3"/>
    <w:rsid w:val="00BD0D49"/>
    <w:rsid w:val="00BD64CF"/>
    <w:rsid w:val="00D5338E"/>
    <w:rsid w:val="00D536D8"/>
    <w:rsid w:val="00DA7687"/>
    <w:rsid w:val="00DD3035"/>
    <w:rsid w:val="00DE6F77"/>
    <w:rsid w:val="00DF6082"/>
    <w:rsid w:val="00E05AC6"/>
    <w:rsid w:val="00E64C0A"/>
    <w:rsid w:val="00E82403"/>
    <w:rsid w:val="00EE0C86"/>
    <w:rsid w:val="00FA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443CFB"/>
  <w14:defaultImageDpi w14:val="32767"/>
  <w15:chartTrackingRefBased/>
  <w15:docId w15:val="{369DC68C-CD42-49F9-B270-1968357B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CFD"/>
    <w:pPr>
      <w:spacing w:line="360" w:lineRule="auto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30CFD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327403"/>
    <w:pPr>
      <w:widowControl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012A7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12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12A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XIONG</dc:creator>
  <cp:keywords/>
  <dc:description/>
  <cp:lastModifiedBy>Wei XIONG</cp:lastModifiedBy>
  <cp:revision>14</cp:revision>
  <dcterms:created xsi:type="dcterms:W3CDTF">2025-11-06T11:54:00Z</dcterms:created>
  <dcterms:modified xsi:type="dcterms:W3CDTF">2025-12-29T09:21:00Z</dcterms:modified>
</cp:coreProperties>
</file>