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87EBA" w14:textId="77777777" w:rsidR="006A698A" w:rsidRPr="008500D2" w:rsidRDefault="006A698A" w:rsidP="006A698A">
      <w:pPr>
        <w:rPr>
          <w:rFonts w:cs="Arial"/>
          <w:b/>
          <w:bCs/>
          <w:iCs/>
          <w:sz w:val="32"/>
          <w:szCs w:val="32"/>
          <w:lang w:bidi="en-US"/>
        </w:rPr>
      </w:pPr>
      <w:r w:rsidRPr="008500D2">
        <w:rPr>
          <w:rFonts w:cs="Arial"/>
          <w:b/>
          <w:bCs/>
          <w:iCs/>
          <w:sz w:val="32"/>
          <w:szCs w:val="32"/>
          <w:lang w:bidi="en-US"/>
        </w:rPr>
        <w:t>Supplemental Material and Methods</w:t>
      </w:r>
    </w:p>
    <w:p w14:paraId="3AC2BDAC" w14:textId="64AF6753" w:rsidR="006A698A" w:rsidRPr="008500D2" w:rsidRDefault="006A698A" w:rsidP="006A698A">
      <w:pPr>
        <w:rPr>
          <w:rFonts w:cs="Arial"/>
          <w:b/>
          <w:bCs/>
          <w:iCs/>
          <w:sz w:val="28"/>
          <w:szCs w:val="28"/>
          <w:lang w:bidi="en-US"/>
        </w:rPr>
      </w:pPr>
      <w:r w:rsidRPr="008500D2">
        <w:rPr>
          <w:rFonts w:cs="Arial"/>
          <w:b/>
          <w:bCs/>
          <w:iCs/>
          <w:sz w:val="28"/>
          <w:szCs w:val="28"/>
          <w:lang w:bidi="en-US"/>
        </w:rPr>
        <w:t>Sensitivity Analyses Based on Propensity Scores</w:t>
      </w:r>
    </w:p>
    <w:p w14:paraId="5BF33CCF" w14:textId="77777777" w:rsidR="006A698A" w:rsidRPr="008500D2" w:rsidRDefault="006A698A" w:rsidP="006A698A">
      <w:pPr>
        <w:rPr>
          <w:rFonts w:cs="Arial"/>
          <w:iCs/>
          <w:lang w:bidi="en-US"/>
        </w:rPr>
      </w:pPr>
      <w:r w:rsidRPr="008500D2">
        <w:rPr>
          <w:rFonts w:cs="Arial"/>
          <w:iCs/>
          <w:lang w:bidi="en-US"/>
        </w:rPr>
        <w:t>As a complementary strategy to the primary multivariable Cox models, we estimated a propensity score (PS) for assignment to Group E (≥1 sector</w:t>
      </w:r>
      <w:r w:rsidRPr="008500D2">
        <w:rPr>
          <w:rFonts w:ascii="Cambria Math" w:hAnsi="Cambria Math" w:cs="Cambria Math"/>
          <w:iCs/>
          <w:lang w:bidi="en-US"/>
        </w:rPr>
        <w:t>‑</w:t>
      </w:r>
      <w:r w:rsidRPr="008500D2">
        <w:rPr>
          <w:rFonts w:cs="Arial"/>
          <w:iCs/>
          <w:lang w:bidi="en-US"/>
        </w:rPr>
        <w:t>equivalent) using baseline covariates only: BCLC stage (0/A/B), tumor burden (Up</w:t>
      </w:r>
      <w:r w:rsidRPr="008500D2">
        <w:rPr>
          <w:rFonts w:ascii="Cambria Math" w:hAnsi="Cambria Math" w:cs="Cambria Math"/>
          <w:iCs/>
          <w:lang w:bidi="en-US"/>
        </w:rPr>
        <w:t>‑</w:t>
      </w:r>
      <w:r w:rsidRPr="008500D2">
        <w:rPr>
          <w:rFonts w:cs="Arial"/>
          <w:iCs/>
          <w:lang w:bidi="en-US"/>
        </w:rPr>
        <w:t>to</w:t>
      </w:r>
      <w:r w:rsidRPr="008500D2">
        <w:rPr>
          <w:rFonts w:ascii="Cambria Math" w:hAnsi="Cambria Math" w:cs="Cambria Math"/>
          <w:iCs/>
          <w:lang w:bidi="en-US"/>
        </w:rPr>
        <w:t>‑</w:t>
      </w:r>
      <w:r w:rsidRPr="008500D2">
        <w:rPr>
          <w:rFonts w:cs="Arial"/>
          <w:iCs/>
          <w:lang w:bidi="en-US"/>
        </w:rPr>
        <w:t>Seven; with 5</w:t>
      </w:r>
      <w:r w:rsidRPr="008500D2">
        <w:rPr>
          <w:rFonts w:ascii="Cambria Math" w:hAnsi="Cambria Math" w:cs="Cambria Math"/>
          <w:iCs/>
          <w:lang w:bidi="en-US"/>
        </w:rPr>
        <w:t>‑</w:t>
      </w:r>
      <w:r w:rsidRPr="008500D2">
        <w:rPr>
          <w:rFonts w:cs="Arial"/>
          <w:iCs/>
          <w:lang w:bidi="en-US"/>
        </w:rPr>
        <w:t>5</w:t>
      </w:r>
      <w:r w:rsidRPr="008500D2">
        <w:rPr>
          <w:rFonts w:ascii="Cambria Math" w:hAnsi="Cambria Math" w:cs="Cambria Math"/>
          <w:iCs/>
          <w:lang w:bidi="en-US"/>
        </w:rPr>
        <w:t>‑</w:t>
      </w:r>
      <w:r w:rsidRPr="008500D2">
        <w:rPr>
          <w:rFonts w:cs="Arial"/>
          <w:iCs/>
          <w:lang w:bidi="en-US"/>
        </w:rPr>
        <w:t>500 prespecified as an alternative specification), tumor location (any central vs all peripheral), Child–Pugh class (A/B), age (modeled with restricted cubic splines), sex, viral etiology (HBV/HCV vs nonviral), and hyperintensity of all nodules on HBP MRI (yes/no). The PS was estimated via logistic regression (</w:t>
      </w:r>
      <w:proofErr w:type="spellStart"/>
      <w:r w:rsidRPr="008500D2">
        <w:rPr>
          <w:rFonts w:cs="Arial"/>
          <w:iCs/>
          <w:lang w:bidi="en-US"/>
        </w:rPr>
        <w:t>WeightIt</w:t>
      </w:r>
      <w:proofErr w:type="spellEnd"/>
      <w:r w:rsidRPr="008500D2">
        <w:rPr>
          <w:rFonts w:cs="Arial"/>
          <w:iCs/>
          <w:lang w:bidi="en-US"/>
        </w:rPr>
        <w:t>, method = “</w:t>
      </w:r>
      <w:proofErr w:type="spellStart"/>
      <w:r w:rsidRPr="008500D2">
        <w:rPr>
          <w:rFonts w:cs="Arial"/>
          <w:iCs/>
          <w:lang w:bidi="en-US"/>
        </w:rPr>
        <w:t>glm</w:t>
      </w:r>
      <w:proofErr w:type="spellEnd"/>
      <w:r w:rsidRPr="008500D2">
        <w:rPr>
          <w:rFonts w:cs="Arial"/>
          <w:iCs/>
          <w:lang w:bidi="en-US"/>
        </w:rPr>
        <w:t xml:space="preserve">”), targeting the overlap (ATO) </w:t>
      </w:r>
      <w:proofErr w:type="spellStart"/>
      <w:r w:rsidRPr="008500D2">
        <w:rPr>
          <w:rFonts w:cs="Arial"/>
          <w:iCs/>
          <w:lang w:bidi="en-US"/>
        </w:rPr>
        <w:t>estimand</w:t>
      </w:r>
      <w:proofErr w:type="spellEnd"/>
      <w:r w:rsidRPr="008500D2">
        <w:rPr>
          <w:rFonts w:cs="Arial"/>
          <w:iCs/>
          <w:lang w:bidi="en-US"/>
        </w:rPr>
        <w:t xml:space="preserve">. Overlap weights were defined as </w:t>
      </w:r>
      <w:r w:rsidRPr="008500D2">
        <w:rPr>
          <w:rFonts w:ascii="Cambria Math" w:hAnsi="Cambria Math" w:cs="Cambria Math"/>
          <w:iCs/>
          <w:lang w:bidi="en-US"/>
        </w:rPr>
        <w:t>𝑤</w:t>
      </w:r>
      <w:r w:rsidRPr="008500D2">
        <w:rPr>
          <w:rFonts w:cs="Arial"/>
          <w:iCs/>
          <w:lang w:bidi="en-US"/>
        </w:rPr>
        <w:t xml:space="preserve"> treated = 1−PS(</w:t>
      </w:r>
      <w:r w:rsidRPr="008500D2">
        <w:rPr>
          <w:rFonts w:ascii="Cambria Math" w:hAnsi="Cambria Math" w:cs="Cambria Math"/>
          <w:iCs/>
          <w:lang w:bidi="en-US"/>
        </w:rPr>
        <w:t>𝑋</w:t>
      </w:r>
      <w:r w:rsidRPr="008500D2">
        <w:rPr>
          <w:rFonts w:cs="Arial"/>
          <w:iCs/>
          <w:lang w:bidi="en-US"/>
        </w:rPr>
        <w:t>)</w:t>
      </w:r>
      <w:proofErr w:type="spellStart"/>
      <w:r w:rsidRPr="008500D2">
        <w:rPr>
          <w:rFonts w:cs="Arial"/>
          <w:iCs/>
          <w:lang w:bidi="en-US"/>
        </w:rPr>
        <w:t>w</w:t>
      </w:r>
      <w:r w:rsidRPr="008500D2">
        <w:rPr>
          <w:rFonts w:cs="Arial"/>
          <w:iCs/>
          <w:vertAlign w:val="subscript"/>
          <w:lang w:bidi="en-US"/>
        </w:rPr>
        <w:t>treated</w:t>
      </w:r>
      <w:proofErr w:type="spellEnd"/>
      <w:r w:rsidRPr="008500D2">
        <w:rPr>
          <w:rFonts w:cs="Arial"/>
          <w:iCs/>
          <w:lang w:bidi="en-US"/>
        </w:rPr>
        <w:t xml:space="preserve"> =1−PS(X) and </w:t>
      </w:r>
      <w:r w:rsidRPr="008500D2">
        <w:rPr>
          <w:rFonts w:ascii="Cambria Math" w:hAnsi="Cambria Math" w:cs="Cambria Math"/>
          <w:iCs/>
          <w:lang w:bidi="en-US"/>
        </w:rPr>
        <w:t>𝑤</w:t>
      </w:r>
      <w:r w:rsidRPr="008500D2">
        <w:rPr>
          <w:rFonts w:cs="Arial"/>
          <w:iCs/>
          <w:vertAlign w:val="subscript"/>
          <w:lang w:bidi="en-US"/>
        </w:rPr>
        <w:t>control</w:t>
      </w:r>
      <w:r w:rsidRPr="008500D2">
        <w:rPr>
          <w:rFonts w:cs="Arial"/>
          <w:iCs/>
          <w:lang w:bidi="en-US"/>
        </w:rPr>
        <w:t xml:space="preserve"> = PS ( </w:t>
      </w:r>
      <w:r w:rsidRPr="008500D2">
        <w:rPr>
          <w:rFonts w:ascii="Cambria Math" w:hAnsi="Cambria Math" w:cs="Cambria Math"/>
          <w:iCs/>
          <w:lang w:bidi="en-US"/>
        </w:rPr>
        <w:t>𝑋</w:t>
      </w:r>
      <w:r w:rsidRPr="008500D2">
        <w:rPr>
          <w:rFonts w:cs="Arial"/>
          <w:iCs/>
          <w:lang w:bidi="en-US"/>
        </w:rPr>
        <w:t xml:space="preserve"> ) </w:t>
      </w:r>
      <w:proofErr w:type="spellStart"/>
      <w:r w:rsidRPr="008500D2">
        <w:rPr>
          <w:rFonts w:cs="Arial"/>
          <w:iCs/>
          <w:lang w:bidi="en-US"/>
        </w:rPr>
        <w:t>w</w:t>
      </w:r>
      <w:r w:rsidRPr="008500D2">
        <w:rPr>
          <w:rFonts w:cs="Arial"/>
          <w:iCs/>
          <w:vertAlign w:val="subscript"/>
          <w:lang w:bidi="en-US"/>
        </w:rPr>
        <w:t>control</w:t>
      </w:r>
      <w:proofErr w:type="spellEnd"/>
      <w:r w:rsidRPr="008500D2">
        <w:rPr>
          <w:rFonts w:cs="Arial"/>
          <w:iCs/>
          <w:lang w:bidi="en-US"/>
        </w:rPr>
        <w:t xml:space="preserve"> =PS(X). We then fitted weighted Cox models with robust (sandwich) variance to obtain marginal hazard ratios (HRs) for PFS and OS; for liver</w:t>
      </w:r>
      <w:r w:rsidRPr="008500D2">
        <w:rPr>
          <w:rFonts w:ascii="Cambria Math" w:hAnsi="Cambria Math" w:cs="Cambria Math"/>
          <w:iCs/>
          <w:lang w:bidi="en-US"/>
        </w:rPr>
        <w:t>‑</w:t>
      </w:r>
      <w:r w:rsidRPr="008500D2">
        <w:rPr>
          <w:rFonts w:cs="Arial"/>
          <w:iCs/>
          <w:lang w:bidi="en-US"/>
        </w:rPr>
        <w:t>related mortality we used weighted cause</w:t>
      </w:r>
      <w:r w:rsidRPr="008500D2">
        <w:rPr>
          <w:rFonts w:ascii="Cambria Math" w:hAnsi="Cambria Math" w:cs="Cambria Math"/>
          <w:iCs/>
          <w:lang w:bidi="en-US"/>
        </w:rPr>
        <w:t>‑</w:t>
      </w:r>
      <w:r w:rsidRPr="008500D2">
        <w:rPr>
          <w:rFonts w:cs="Arial"/>
          <w:iCs/>
          <w:lang w:bidi="en-US"/>
        </w:rPr>
        <w:t>specific Cox, treating non–liver</w:t>
      </w:r>
      <w:r w:rsidRPr="008500D2">
        <w:rPr>
          <w:rFonts w:ascii="Cambria Math" w:hAnsi="Cambria Math" w:cs="Cambria Math"/>
          <w:iCs/>
          <w:lang w:bidi="en-US"/>
        </w:rPr>
        <w:t>‑</w:t>
      </w:r>
      <w:r w:rsidRPr="008500D2">
        <w:rPr>
          <w:rFonts w:cs="Arial"/>
          <w:iCs/>
          <w:lang w:bidi="en-US"/>
        </w:rPr>
        <w:t>related deaths as censored at the time of death. Covariate balance was evaluated using weighted standardized mean differences (SMDs) targeting &lt; 0.10, and we reported the effective sample size (ESS), (∑</w:t>
      </w:r>
      <w:r w:rsidRPr="008500D2">
        <w:rPr>
          <w:rFonts w:ascii="Cambria Math" w:hAnsi="Cambria Math" w:cs="Cambria Math"/>
          <w:iCs/>
          <w:lang w:bidi="en-US"/>
        </w:rPr>
        <w:t>𝑤</w:t>
      </w:r>
      <w:r w:rsidRPr="008500D2">
        <w:rPr>
          <w:rFonts w:cs="Arial"/>
          <w:iCs/>
          <w:lang w:bidi="en-US"/>
        </w:rPr>
        <w:t>)</w:t>
      </w:r>
      <w:r w:rsidRPr="008500D2">
        <w:rPr>
          <w:rFonts w:cs="Arial"/>
          <w:iCs/>
          <w:vertAlign w:val="superscript"/>
          <w:lang w:bidi="en-US"/>
        </w:rPr>
        <w:t>2</w:t>
      </w:r>
      <w:r w:rsidRPr="008500D2">
        <w:rPr>
          <w:rFonts w:cs="Arial"/>
          <w:iCs/>
          <w:lang w:bidi="en-US"/>
        </w:rPr>
        <w:t>/∑w</w:t>
      </w:r>
      <w:r w:rsidRPr="008500D2">
        <w:rPr>
          <w:rFonts w:cs="Arial"/>
          <w:iCs/>
          <w:vertAlign w:val="superscript"/>
          <w:lang w:bidi="en-US"/>
        </w:rPr>
        <w:t>2</w:t>
      </w:r>
      <w:r w:rsidRPr="008500D2">
        <w:rPr>
          <w:rFonts w:cs="Arial"/>
          <w:iCs/>
          <w:lang w:bidi="en-US"/>
        </w:rPr>
        <w:t xml:space="preserve">; variance ratios (target 0.8–1.25) were also inspected. Missingness in baseline covariates was handled by indicator coding within the PS, and balance of missingness indicators was verified. Ties in Cox models used the </w:t>
      </w:r>
      <w:proofErr w:type="spellStart"/>
      <w:r w:rsidRPr="008500D2">
        <w:rPr>
          <w:rFonts w:cs="Arial"/>
          <w:iCs/>
          <w:lang w:bidi="en-US"/>
        </w:rPr>
        <w:t>Efron</w:t>
      </w:r>
      <w:proofErr w:type="spellEnd"/>
      <w:r w:rsidRPr="008500D2">
        <w:rPr>
          <w:rFonts w:cs="Arial"/>
          <w:iCs/>
          <w:lang w:bidi="en-US"/>
        </w:rPr>
        <w:t xml:space="preserve"> method; two</w:t>
      </w:r>
      <w:r w:rsidRPr="008500D2">
        <w:rPr>
          <w:rFonts w:ascii="Cambria Math" w:hAnsi="Cambria Math" w:cs="Cambria Math"/>
          <w:iCs/>
          <w:lang w:bidi="en-US"/>
        </w:rPr>
        <w:t>‑</w:t>
      </w:r>
      <w:r w:rsidRPr="008500D2">
        <w:rPr>
          <w:rFonts w:cs="Arial"/>
          <w:iCs/>
          <w:lang w:bidi="en-US"/>
        </w:rPr>
        <w:t>sided 95% CIs with α = 0.05 are reported. For visualization of marginal survival, weighted Kaplan–Meier curves were generated using survey (</w:t>
      </w:r>
      <w:proofErr w:type="spellStart"/>
      <w:r w:rsidRPr="008500D2">
        <w:rPr>
          <w:rFonts w:cs="Arial"/>
          <w:iCs/>
          <w:lang w:bidi="en-US"/>
        </w:rPr>
        <w:t>svykm</w:t>
      </w:r>
      <w:proofErr w:type="spellEnd"/>
      <w:r w:rsidRPr="008500D2">
        <w:rPr>
          <w:rFonts w:cs="Arial"/>
          <w:iCs/>
          <w:lang w:bidi="en-US"/>
        </w:rPr>
        <w:t>). Primary (conditional) models were run in GraphPad Prism 10.1.1; PS</w:t>
      </w:r>
      <w:r w:rsidRPr="008500D2">
        <w:rPr>
          <w:rFonts w:ascii="Cambria Math" w:hAnsi="Cambria Math" w:cs="Cambria Math"/>
          <w:iCs/>
          <w:lang w:bidi="en-US"/>
        </w:rPr>
        <w:t>‑</w:t>
      </w:r>
      <w:r w:rsidRPr="008500D2">
        <w:rPr>
          <w:rFonts w:cs="Arial"/>
          <w:iCs/>
          <w:lang w:bidi="en-US"/>
        </w:rPr>
        <w:t>based analyses were performed in R 4.4.2 (</w:t>
      </w:r>
      <w:proofErr w:type="spellStart"/>
      <w:r w:rsidRPr="008500D2">
        <w:rPr>
          <w:rFonts w:cs="Arial"/>
          <w:iCs/>
          <w:lang w:bidi="en-US"/>
        </w:rPr>
        <w:t>WeightIt</w:t>
      </w:r>
      <w:proofErr w:type="spellEnd"/>
      <w:r w:rsidRPr="008500D2">
        <w:rPr>
          <w:rFonts w:cs="Arial"/>
          <w:iCs/>
          <w:lang w:bidi="en-US"/>
        </w:rPr>
        <w:t>, cobalt 4.6.1, survival, survey). Post</w:t>
      </w:r>
      <w:r w:rsidRPr="008500D2">
        <w:rPr>
          <w:rFonts w:ascii="Cambria Math" w:hAnsi="Cambria Math" w:cs="Cambria Math"/>
          <w:iCs/>
          <w:lang w:bidi="en-US"/>
        </w:rPr>
        <w:t>‑</w:t>
      </w:r>
      <w:r w:rsidRPr="008500D2">
        <w:rPr>
          <w:rFonts w:cs="Arial"/>
          <w:iCs/>
          <w:lang w:bidi="en-US"/>
        </w:rPr>
        <w:t>baseline treatments (e.g., sequential RFA, whole</w:t>
      </w:r>
      <w:r w:rsidRPr="008500D2">
        <w:rPr>
          <w:rFonts w:ascii="Cambria Math" w:hAnsi="Cambria Math" w:cs="Cambria Math"/>
          <w:iCs/>
          <w:lang w:bidi="en-US"/>
        </w:rPr>
        <w:t>‑</w:t>
      </w:r>
      <w:r w:rsidRPr="008500D2">
        <w:rPr>
          <w:rFonts w:cs="Arial"/>
          <w:iCs/>
          <w:lang w:bidi="en-US"/>
        </w:rPr>
        <w:t xml:space="preserve">liver therapy) were not included in the PS or primary Cox models to avoid adjusting for potential mediators; when relevant, they were examined only in separate sensitivity or exploratory analyses. Rationale. PS methods are presented as complementary balancing tools to probe robustness of the primary </w:t>
      </w:r>
      <w:proofErr w:type="spellStart"/>
      <w:r w:rsidRPr="008500D2">
        <w:rPr>
          <w:rFonts w:cs="Arial"/>
          <w:iCs/>
          <w:lang w:bidi="en-US"/>
        </w:rPr>
        <w:t>estimand</w:t>
      </w:r>
      <w:proofErr w:type="spellEnd"/>
      <w:r w:rsidRPr="008500D2">
        <w:rPr>
          <w:rFonts w:cs="Arial"/>
          <w:iCs/>
          <w:lang w:bidi="en-US"/>
        </w:rPr>
        <w:t>, as prespecified.</w:t>
      </w:r>
    </w:p>
    <w:p w14:paraId="1C5670D1" w14:textId="77777777" w:rsidR="001C4A33" w:rsidRPr="008500D2" w:rsidRDefault="001C4A33" w:rsidP="006A698A">
      <w:pPr>
        <w:rPr>
          <w:rFonts w:cs="Arial"/>
          <w:b/>
          <w:bCs/>
          <w:iCs/>
          <w:lang w:bidi="en-US"/>
        </w:rPr>
      </w:pPr>
    </w:p>
    <w:p w14:paraId="1D70BC6D" w14:textId="10B2FB70" w:rsidR="006A698A" w:rsidRPr="008500D2" w:rsidRDefault="006A698A" w:rsidP="006A698A">
      <w:pPr>
        <w:rPr>
          <w:rFonts w:cs="Arial"/>
          <w:b/>
          <w:bCs/>
          <w:iCs/>
          <w:sz w:val="28"/>
          <w:szCs w:val="28"/>
          <w:lang w:bidi="en-US"/>
        </w:rPr>
      </w:pPr>
      <w:r w:rsidRPr="008500D2">
        <w:rPr>
          <w:rFonts w:cs="Arial"/>
          <w:b/>
          <w:bCs/>
          <w:iCs/>
          <w:sz w:val="28"/>
          <w:szCs w:val="28"/>
          <w:lang w:bidi="en-US"/>
        </w:rPr>
        <w:t>Treatment Decision Process and TACE Indications</w:t>
      </w:r>
    </w:p>
    <w:p w14:paraId="08F9524E" w14:textId="77777777" w:rsidR="006A698A" w:rsidRPr="008500D2" w:rsidRDefault="006A698A" w:rsidP="006A698A">
      <w:pPr>
        <w:rPr>
          <w:rFonts w:cs="Arial"/>
          <w:iCs/>
          <w:lang w:bidi="en-US"/>
        </w:rPr>
      </w:pPr>
      <w:r w:rsidRPr="008500D2">
        <w:rPr>
          <w:rFonts w:cs="Arial"/>
          <w:iCs/>
          <w:lang w:bidi="en-US"/>
        </w:rPr>
        <w:lastRenderedPageBreak/>
        <w:t xml:space="preserve">The HCC treatment strategy followed the BCLC guidelines and was determined by a multidisciplinary tumor board. </w:t>
      </w:r>
      <w:proofErr w:type="spellStart"/>
      <w:r w:rsidRPr="008500D2">
        <w:rPr>
          <w:rFonts w:cs="Arial"/>
          <w:iCs/>
          <w:lang w:bidi="en-US"/>
        </w:rPr>
        <w:t>Superselective</w:t>
      </w:r>
      <w:proofErr w:type="spellEnd"/>
      <w:r w:rsidRPr="008500D2">
        <w:rPr>
          <w:rFonts w:cs="Arial"/>
          <w:iCs/>
          <w:lang w:bidi="en-US"/>
        </w:rPr>
        <w:t xml:space="preserve"> </w:t>
      </w:r>
      <w:proofErr w:type="spellStart"/>
      <w:r w:rsidRPr="008500D2">
        <w:rPr>
          <w:rFonts w:cs="Arial"/>
          <w:iCs/>
          <w:lang w:bidi="en-US"/>
        </w:rPr>
        <w:t>cTACE</w:t>
      </w:r>
      <w:proofErr w:type="spellEnd"/>
      <w:r w:rsidRPr="008500D2">
        <w:rPr>
          <w:rFonts w:cs="Arial"/>
          <w:iCs/>
          <w:lang w:bidi="en-US"/>
        </w:rPr>
        <w:t xml:space="preserve"> (ss-</w:t>
      </w:r>
      <w:proofErr w:type="spellStart"/>
      <w:r w:rsidRPr="008500D2">
        <w:rPr>
          <w:rFonts w:cs="Arial"/>
          <w:iCs/>
          <w:lang w:bidi="en-US"/>
        </w:rPr>
        <w:t>cTACE</w:t>
      </w:r>
      <w:proofErr w:type="spellEnd"/>
      <w:r w:rsidRPr="008500D2">
        <w:rPr>
          <w:rFonts w:cs="Arial"/>
          <w:iCs/>
          <w:lang w:bidi="en-US"/>
        </w:rPr>
        <w:t>) was preferred over surgery or RFA in cases with technically challenging lesion locations. When necessary, sequential RFA or split ss-</w:t>
      </w:r>
      <w:proofErr w:type="spellStart"/>
      <w:r w:rsidRPr="008500D2">
        <w:rPr>
          <w:rFonts w:cs="Arial"/>
          <w:iCs/>
          <w:lang w:bidi="en-US"/>
        </w:rPr>
        <w:t>cTACE</w:t>
      </w:r>
      <w:proofErr w:type="spellEnd"/>
      <w:r w:rsidRPr="008500D2">
        <w:rPr>
          <w:rFonts w:cs="Arial"/>
          <w:iCs/>
          <w:lang w:bidi="en-US"/>
        </w:rPr>
        <w:t xml:space="preserve"> was performed. For disease progression beyond BCLC stage C, systemic therapy or combined intra-arterial and pharmacological therapies were initiated.</w:t>
      </w:r>
    </w:p>
    <w:p w14:paraId="77842AE2" w14:textId="77777777" w:rsidR="001C4A33" w:rsidRPr="008500D2" w:rsidRDefault="001C4A33" w:rsidP="006A698A">
      <w:pPr>
        <w:rPr>
          <w:rFonts w:cs="Arial"/>
          <w:iCs/>
          <w:lang w:bidi="en-US"/>
        </w:rPr>
      </w:pPr>
    </w:p>
    <w:p w14:paraId="38D6719B" w14:textId="49472203" w:rsidR="00974753" w:rsidRPr="008500D2" w:rsidRDefault="006A698A" w:rsidP="00974753">
      <w:pPr>
        <w:rPr>
          <w:rFonts w:cs="Arial"/>
          <w:b/>
          <w:bCs/>
          <w:iCs/>
          <w:sz w:val="28"/>
          <w:szCs w:val="28"/>
          <w:lang w:bidi="en-US"/>
        </w:rPr>
      </w:pPr>
      <w:r w:rsidRPr="008500D2">
        <w:rPr>
          <w:rFonts w:cs="Arial"/>
          <w:b/>
          <w:bCs/>
          <w:iCs/>
          <w:sz w:val="28"/>
          <w:szCs w:val="28"/>
          <w:lang w:bidi="en-US"/>
        </w:rPr>
        <w:t>Image Evaluation and Interobserver Reliability</w:t>
      </w:r>
    </w:p>
    <w:p w14:paraId="5D6711D6" w14:textId="5AC6F4E0" w:rsidR="006A698A" w:rsidRPr="008500D2" w:rsidRDefault="00974753" w:rsidP="006A698A">
      <w:pPr>
        <w:rPr>
          <w:rFonts w:cs="Arial"/>
          <w:iCs/>
          <w:szCs w:val="20"/>
          <w:lang w:bidi="en-US"/>
        </w:rPr>
      </w:pPr>
      <w:r w:rsidRPr="008500D2">
        <w:rPr>
          <w:rFonts w:cs="Arial"/>
          <w:iCs/>
          <w:szCs w:val="20"/>
          <w:lang w:bidi="en-US"/>
        </w:rPr>
        <w:t xml:space="preserve">Two interventional radiologists with over 15 and 23 years of experience in hepatic interventional oncology, respectively, evaluated the embolization extent and procedural images. All procedures were reviewed jointly, and for each case the final sector-equivalent category (Group L &lt;1 sector-equivalent vs Group E ≥1 sector-equivalent) was assigned in real time by consensus at the end of the procedure. To explore the reproducibility of this sector-equivalent classification, we additionally compared the category recorded in the original procedural reports with an independent post-hoc classification in a subset of patients based on post-procedural angiographic and CTHA/CT images. Agreement for Group L versus Group E was almost perfect, with a Cohen’s κ of 0.81 (95% CI 0.63–0.99). </w:t>
      </w:r>
      <w:r w:rsidR="006A698A" w:rsidRPr="008500D2">
        <w:rPr>
          <w:rFonts w:cs="Arial"/>
          <w:iCs/>
          <w:lang w:bidi="en-US"/>
        </w:rPr>
        <w:t>Disagreements were resolved by consensus.</w:t>
      </w:r>
    </w:p>
    <w:p w14:paraId="3D232230" w14:textId="77777777" w:rsidR="001C4A33" w:rsidRPr="008500D2" w:rsidRDefault="001C4A33" w:rsidP="006A698A">
      <w:pPr>
        <w:rPr>
          <w:rFonts w:cs="Arial"/>
          <w:iCs/>
          <w:lang w:bidi="en-US"/>
        </w:rPr>
      </w:pPr>
    </w:p>
    <w:p w14:paraId="6A031F71" w14:textId="4DF1EFF7" w:rsidR="00977FFC" w:rsidRPr="008500D2" w:rsidRDefault="006A698A" w:rsidP="00977FFC">
      <w:pPr>
        <w:rPr>
          <w:rFonts w:cs="Arial"/>
          <w:b/>
          <w:bCs/>
          <w:iCs/>
          <w:sz w:val="28"/>
          <w:szCs w:val="28"/>
          <w:lang w:bidi="en-US"/>
        </w:rPr>
      </w:pPr>
      <w:r w:rsidRPr="008500D2">
        <w:rPr>
          <w:rFonts w:cs="Arial"/>
          <w:b/>
          <w:bCs/>
          <w:iCs/>
          <w:sz w:val="28"/>
          <w:szCs w:val="28"/>
          <w:lang w:bidi="en-US"/>
        </w:rPr>
        <w:t>Subsegmental Lipiodol-</w:t>
      </w:r>
      <w:proofErr w:type="spellStart"/>
      <w:r w:rsidRPr="008500D2">
        <w:rPr>
          <w:rFonts w:cs="Arial"/>
          <w:b/>
          <w:bCs/>
          <w:iCs/>
          <w:sz w:val="28"/>
          <w:szCs w:val="28"/>
          <w:lang w:bidi="en-US"/>
        </w:rPr>
        <w:t>cTACE</w:t>
      </w:r>
      <w:proofErr w:type="spellEnd"/>
      <w:r w:rsidRPr="008500D2">
        <w:rPr>
          <w:rFonts w:cs="Arial"/>
          <w:b/>
          <w:bCs/>
          <w:iCs/>
          <w:sz w:val="28"/>
          <w:szCs w:val="28"/>
          <w:lang w:bidi="en-US"/>
        </w:rPr>
        <w:t xml:space="preserve"> Procedure</w:t>
      </w:r>
    </w:p>
    <w:p w14:paraId="0D432D47" w14:textId="6863F87C" w:rsidR="00977FFC" w:rsidRPr="008500D2" w:rsidRDefault="00977FFC" w:rsidP="00977FFC">
      <w:pPr>
        <w:rPr>
          <w:rFonts w:cs="Arial"/>
          <w:iCs/>
          <w:lang w:bidi="en-US"/>
        </w:rPr>
      </w:pPr>
      <w:r w:rsidRPr="008500D2">
        <w:rPr>
          <w:rFonts w:cs="Arial"/>
          <w:iCs/>
          <w:lang w:bidi="en-US"/>
        </w:rPr>
        <w:t>Multiphase imaging and CTHA were performed to confirm HCC. Tumor</w:t>
      </w:r>
      <w:r w:rsidRPr="008500D2">
        <w:rPr>
          <w:rFonts w:ascii="Cambria Math" w:hAnsi="Cambria Math" w:cs="Cambria Math"/>
          <w:iCs/>
          <w:lang w:bidi="en-US"/>
        </w:rPr>
        <w:t>‑</w:t>
      </w:r>
      <w:r w:rsidRPr="008500D2">
        <w:rPr>
          <w:rFonts w:cs="Arial"/>
          <w:iCs/>
          <w:lang w:bidi="en-US"/>
        </w:rPr>
        <w:t>feeding arteries were identified using multiplanar reconstructions and matched with DSA findings. A 1.5–1.7</w:t>
      </w:r>
      <w:r w:rsidRPr="008500D2">
        <w:rPr>
          <w:rFonts w:ascii="Cambria Math" w:hAnsi="Cambria Math" w:cs="Cambria Math"/>
          <w:iCs/>
          <w:lang w:bidi="en-US"/>
        </w:rPr>
        <w:t>‑</w:t>
      </w:r>
      <w:r w:rsidRPr="008500D2">
        <w:rPr>
          <w:rFonts w:cs="Arial"/>
          <w:iCs/>
          <w:lang w:bidi="en-US"/>
        </w:rPr>
        <w:t xml:space="preserve">F microcatheter was then advanced as distally as possible into subsegmental or more peripheral branches to achieve </w:t>
      </w:r>
      <w:proofErr w:type="spellStart"/>
      <w:r w:rsidRPr="008500D2">
        <w:rPr>
          <w:rFonts w:cs="Arial"/>
          <w:iCs/>
          <w:lang w:bidi="en-US"/>
        </w:rPr>
        <w:t>superselective</w:t>
      </w:r>
      <w:proofErr w:type="spellEnd"/>
      <w:r w:rsidRPr="008500D2">
        <w:rPr>
          <w:rFonts w:cs="Arial"/>
          <w:iCs/>
          <w:lang w:bidi="en-US"/>
        </w:rPr>
        <w:t xml:space="preserve"> access while minimizing embolization of non</w:t>
      </w:r>
      <w:r w:rsidRPr="008500D2">
        <w:rPr>
          <w:rFonts w:ascii="Cambria Math" w:hAnsi="Cambria Math" w:cs="Cambria Math"/>
          <w:iCs/>
          <w:lang w:bidi="en-US"/>
        </w:rPr>
        <w:t>‑</w:t>
      </w:r>
      <w:r w:rsidRPr="008500D2">
        <w:rPr>
          <w:rFonts w:cs="Arial"/>
          <w:iCs/>
          <w:lang w:bidi="en-US"/>
        </w:rPr>
        <w:t>tumorous parenchyma.</w:t>
      </w:r>
    </w:p>
    <w:p w14:paraId="7F700D5B" w14:textId="321C6BC3" w:rsidR="00977FFC" w:rsidRPr="008500D2" w:rsidRDefault="00977FFC" w:rsidP="00977FFC">
      <w:pPr>
        <w:rPr>
          <w:rFonts w:cs="Arial"/>
          <w:iCs/>
          <w:lang w:bidi="en-US"/>
        </w:rPr>
      </w:pPr>
      <w:r w:rsidRPr="008500D2">
        <w:rPr>
          <w:rFonts w:cs="Arial"/>
          <w:iCs/>
          <w:lang w:bidi="en-US"/>
        </w:rPr>
        <w:t>For each tumor feeder, a water</w:t>
      </w:r>
      <w:r w:rsidRPr="008500D2">
        <w:rPr>
          <w:rFonts w:ascii="Cambria Math" w:hAnsi="Cambria Math" w:cs="Cambria Math"/>
          <w:iCs/>
          <w:lang w:bidi="en-US"/>
        </w:rPr>
        <w:t>‑</w:t>
      </w:r>
      <w:r w:rsidRPr="008500D2">
        <w:rPr>
          <w:rFonts w:cs="Arial"/>
          <w:iCs/>
          <w:lang w:bidi="en-US"/>
        </w:rPr>
        <w:t>in</w:t>
      </w:r>
      <w:r w:rsidRPr="008500D2">
        <w:rPr>
          <w:rFonts w:ascii="Cambria Math" w:hAnsi="Cambria Math" w:cs="Cambria Math"/>
          <w:iCs/>
          <w:lang w:bidi="en-US"/>
        </w:rPr>
        <w:t>‑</w:t>
      </w:r>
      <w:r w:rsidRPr="008500D2">
        <w:rPr>
          <w:rFonts w:cs="Arial"/>
          <w:iCs/>
          <w:lang w:bidi="en-US"/>
        </w:rPr>
        <w:t xml:space="preserve">oil emulsion of </w:t>
      </w:r>
      <w:proofErr w:type="spellStart"/>
      <w:r w:rsidRPr="008500D2">
        <w:rPr>
          <w:rFonts w:cs="Arial"/>
          <w:iCs/>
          <w:lang w:bidi="en-US"/>
        </w:rPr>
        <w:t>epirubicin</w:t>
      </w:r>
      <w:proofErr w:type="spellEnd"/>
      <w:r w:rsidRPr="008500D2">
        <w:rPr>
          <w:rFonts w:cs="Arial"/>
          <w:iCs/>
          <w:lang w:bidi="en-US"/>
        </w:rPr>
        <w:t xml:space="preserve"> and iodized oil was prepared.</w:t>
      </w:r>
      <w:r w:rsidR="00075F95" w:rsidRPr="008500D2">
        <w:rPr>
          <w:rFonts w:cs="Arial"/>
          <w:iCs/>
          <w:lang w:bidi="en-US"/>
        </w:rPr>
        <w:t xml:space="preserve"> </w:t>
      </w:r>
      <w:proofErr w:type="spellStart"/>
      <w:r w:rsidRPr="008500D2">
        <w:rPr>
          <w:rFonts w:cs="Arial"/>
          <w:iCs/>
          <w:lang w:bidi="en-US"/>
        </w:rPr>
        <w:t>Epirubicin</w:t>
      </w:r>
      <w:proofErr w:type="spellEnd"/>
      <w:r w:rsidRPr="008500D2">
        <w:rPr>
          <w:rFonts w:cs="Arial"/>
          <w:iCs/>
          <w:lang w:bidi="en-US"/>
        </w:rPr>
        <w:t xml:space="preserve"> (10–30 mg; </w:t>
      </w:r>
      <w:proofErr w:type="spellStart"/>
      <w:r w:rsidRPr="008500D2">
        <w:rPr>
          <w:rFonts w:cs="Arial"/>
          <w:iCs/>
          <w:lang w:bidi="en-US"/>
        </w:rPr>
        <w:t>Farmorbicin</w:t>
      </w:r>
      <w:proofErr w:type="spellEnd"/>
      <w:r w:rsidRPr="008500D2">
        <w:rPr>
          <w:rFonts w:cs="Arial"/>
          <w:iCs/>
          <w:lang w:bidi="en-US"/>
        </w:rPr>
        <w:t>, Pfizer, Tokyo, Japan) was dissolved in contrast medium and mixed with 2–8 mL of iodized oil at a fixed volume ratio of 1:</w:t>
      </w:r>
      <w:r w:rsidR="00075F95" w:rsidRPr="008500D2">
        <w:rPr>
          <w:rFonts w:cs="Arial"/>
          <w:iCs/>
          <w:lang w:bidi="en-US"/>
        </w:rPr>
        <w:t>2</w:t>
      </w:r>
      <w:r w:rsidRPr="008500D2">
        <w:rPr>
          <w:rFonts w:cs="Arial"/>
          <w:iCs/>
          <w:lang w:bidi="en-US"/>
        </w:rPr>
        <w:t xml:space="preserve"> (chemotherapeutic </w:t>
      </w:r>
      <w:proofErr w:type="spellStart"/>
      <w:r w:rsidRPr="008500D2">
        <w:rPr>
          <w:rFonts w:cs="Arial"/>
          <w:iCs/>
          <w:lang w:bidi="en-US"/>
        </w:rPr>
        <w:t>solution:iodized</w:t>
      </w:r>
      <w:proofErr w:type="spellEnd"/>
      <w:r w:rsidRPr="008500D2">
        <w:rPr>
          <w:rFonts w:cs="Arial"/>
          <w:iCs/>
          <w:lang w:bidi="en-US"/>
        </w:rPr>
        <w:t xml:space="preserve"> oil). The total amount of iodized oil was determined according to tumor size and was </w:t>
      </w:r>
      <w:r w:rsidRPr="008500D2">
        <w:rPr>
          <w:rFonts w:cs="Arial"/>
          <w:iCs/>
          <w:lang w:bidi="en-US"/>
        </w:rPr>
        <w:lastRenderedPageBreak/>
        <w:t>approximately equal to the sum of the diameters of all target tumors. When a tumor was supplied by multiple feeders, the emulsion volume was divided and injected into each feeder in proportion to the tumor volume supplied by that branch. The emulsion was slowly injected under fluoroscopy until either the flow in the tumor feeder stalled or the portal veins near the tumor were clearly opacified with iodized oil.</w:t>
      </w:r>
    </w:p>
    <w:p w14:paraId="60DD26DD" w14:textId="292D8634" w:rsidR="00977FFC" w:rsidRPr="008500D2" w:rsidRDefault="00977FFC" w:rsidP="00977FFC">
      <w:pPr>
        <w:rPr>
          <w:rFonts w:cs="Arial"/>
          <w:iCs/>
          <w:lang w:bidi="en-US"/>
        </w:rPr>
      </w:pPr>
      <w:r w:rsidRPr="008500D2">
        <w:rPr>
          <w:rFonts w:cs="Arial"/>
          <w:iCs/>
          <w:lang w:bidi="en-US"/>
        </w:rPr>
        <w:t>After the iodized</w:t>
      </w:r>
      <w:r w:rsidRPr="008500D2">
        <w:rPr>
          <w:rFonts w:ascii="Cambria Math" w:hAnsi="Cambria Math" w:cs="Cambria Math"/>
          <w:iCs/>
          <w:lang w:bidi="en-US"/>
        </w:rPr>
        <w:t>‑</w:t>
      </w:r>
      <w:r w:rsidRPr="008500D2">
        <w:rPr>
          <w:rFonts w:cs="Arial"/>
          <w:iCs/>
          <w:lang w:bidi="en-US"/>
        </w:rPr>
        <w:t>oil emulsion injection, embolization was completed using a gelatin sponge (GS) slurry. The slurry was created from 1</w:t>
      </w:r>
      <w:r w:rsidRPr="008500D2">
        <w:rPr>
          <w:rFonts w:ascii="Cambria Math" w:hAnsi="Cambria Math" w:cs="Cambria Math"/>
          <w:iCs/>
          <w:lang w:bidi="en-US"/>
        </w:rPr>
        <w:t>‑</w:t>
      </w:r>
      <w:r w:rsidRPr="008500D2">
        <w:rPr>
          <w:rFonts w:cs="Arial"/>
          <w:iCs/>
          <w:lang w:bidi="en-US"/>
        </w:rPr>
        <w:t>mm</w:t>
      </w:r>
      <w:r w:rsidRPr="008500D2">
        <w:rPr>
          <w:rFonts w:ascii="Cambria Math" w:hAnsi="Cambria Math" w:cs="Cambria Math"/>
          <w:iCs/>
          <w:lang w:bidi="en-US"/>
        </w:rPr>
        <w:t>‑</w:t>
      </w:r>
      <w:r w:rsidRPr="008500D2">
        <w:rPr>
          <w:rFonts w:cs="Arial"/>
          <w:iCs/>
          <w:lang w:bidi="en-US"/>
        </w:rPr>
        <w:t>diameter GS particles (</w:t>
      </w:r>
      <w:proofErr w:type="spellStart"/>
      <w:r w:rsidRPr="008500D2">
        <w:rPr>
          <w:rFonts w:cs="Arial"/>
          <w:iCs/>
          <w:lang w:bidi="en-US"/>
        </w:rPr>
        <w:t>Gelpart</w:t>
      </w:r>
      <w:proofErr w:type="spellEnd"/>
      <w:r w:rsidRPr="008500D2">
        <w:rPr>
          <w:rFonts w:cs="Arial"/>
          <w:iCs/>
          <w:lang w:bidi="en-US"/>
        </w:rPr>
        <w:t>; Nippon Kayaku, Tokyo, Japan) that were crushed into approximately 0.2–0.5 mm fragments by repeatedly pumping between two 2.5</w:t>
      </w:r>
      <w:r w:rsidRPr="008500D2">
        <w:rPr>
          <w:rFonts w:ascii="Cambria Math" w:hAnsi="Cambria Math" w:cs="Cambria Math"/>
          <w:iCs/>
          <w:lang w:bidi="en-US"/>
        </w:rPr>
        <w:t>‑</w:t>
      </w:r>
      <w:r w:rsidRPr="008500D2">
        <w:rPr>
          <w:rFonts w:cs="Arial"/>
          <w:iCs/>
          <w:lang w:bidi="en-US"/>
        </w:rPr>
        <w:t>mL syringes connected via a three</w:t>
      </w:r>
      <w:r w:rsidRPr="008500D2">
        <w:rPr>
          <w:rFonts w:ascii="Cambria Math" w:hAnsi="Cambria Math" w:cs="Cambria Math"/>
          <w:iCs/>
          <w:lang w:bidi="en-US"/>
        </w:rPr>
        <w:t>‑</w:t>
      </w:r>
      <w:r w:rsidRPr="008500D2">
        <w:rPr>
          <w:rFonts w:cs="Arial"/>
          <w:iCs/>
          <w:lang w:bidi="en-US"/>
        </w:rPr>
        <w:t>way stopcock or a dedicated medication</w:t>
      </w:r>
      <w:r w:rsidRPr="008500D2">
        <w:rPr>
          <w:rFonts w:ascii="Cambria Math" w:hAnsi="Cambria Math" w:cs="Cambria Math"/>
          <w:iCs/>
          <w:lang w:bidi="en-US"/>
        </w:rPr>
        <w:t>‑</w:t>
      </w:r>
      <w:r w:rsidRPr="008500D2">
        <w:rPr>
          <w:rFonts w:cs="Arial"/>
          <w:iCs/>
          <w:lang w:bidi="en-US"/>
        </w:rPr>
        <w:t>mixing connector (</w:t>
      </w:r>
      <w:proofErr w:type="spellStart"/>
      <w:r w:rsidRPr="008500D2">
        <w:rPr>
          <w:rFonts w:cs="Arial"/>
          <w:iCs/>
          <w:lang w:bidi="en-US"/>
        </w:rPr>
        <w:t>MicoMagic</w:t>
      </w:r>
      <w:proofErr w:type="spellEnd"/>
      <w:r w:rsidRPr="008500D2">
        <w:rPr>
          <w:rFonts w:cs="Arial"/>
          <w:iCs/>
          <w:lang w:bidi="en-US"/>
        </w:rPr>
        <w:t>; PIOLAX MEDICAL DEVICES, Kanagawa, Japan). The GS slurry was injected through the microcatheter until complete angiographic occlusion of the tumor feeder was achieved.</w:t>
      </w:r>
    </w:p>
    <w:p w14:paraId="521EC2AC" w14:textId="77777777" w:rsidR="00977FFC" w:rsidRPr="008500D2" w:rsidRDefault="00977FFC" w:rsidP="00977FFC">
      <w:pPr>
        <w:rPr>
          <w:rFonts w:cs="Arial"/>
          <w:iCs/>
          <w:lang w:bidi="en-US"/>
        </w:rPr>
      </w:pPr>
      <w:r w:rsidRPr="008500D2">
        <w:rPr>
          <w:rFonts w:cs="Arial"/>
          <w:iCs/>
          <w:lang w:bidi="en-US"/>
        </w:rPr>
        <w:t>The endpoint of the TACE procedure was defined as disappearance of all tumor stains and angiographic occlusion of all identified tumor feeders on DSA. At the end of each procedure, a non</w:t>
      </w:r>
      <w:r w:rsidRPr="008500D2">
        <w:rPr>
          <w:rFonts w:ascii="Cambria Math" w:hAnsi="Cambria Math" w:cs="Cambria Math"/>
          <w:iCs/>
          <w:lang w:bidi="en-US"/>
        </w:rPr>
        <w:t>‑</w:t>
      </w:r>
      <w:r w:rsidRPr="008500D2">
        <w:rPr>
          <w:rFonts w:cs="Arial"/>
          <w:iCs/>
          <w:lang w:bidi="en-US"/>
        </w:rPr>
        <w:t xml:space="preserve">contrast CT scan of the liver (lipiodol CT, </w:t>
      </w:r>
      <w:proofErr w:type="spellStart"/>
      <w:r w:rsidRPr="008500D2">
        <w:rPr>
          <w:rFonts w:cs="Arial"/>
          <w:iCs/>
          <w:lang w:bidi="en-US"/>
        </w:rPr>
        <w:t>LipCT</w:t>
      </w:r>
      <w:proofErr w:type="spellEnd"/>
      <w:r w:rsidRPr="008500D2">
        <w:rPr>
          <w:rFonts w:cs="Arial"/>
          <w:iCs/>
          <w:lang w:bidi="en-US"/>
        </w:rPr>
        <w:t xml:space="preserve">) was routinely obtained to evaluate lipiodol deposition and confirm that the embolized territory corresponded to the planned target area. When </w:t>
      </w:r>
      <w:proofErr w:type="spellStart"/>
      <w:r w:rsidRPr="008500D2">
        <w:rPr>
          <w:rFonts w:cs="Arial"/>
          <w:iCs/>
          <w:lang w:bidi="en-US"/>
        </w:rPr>
        <w:t>LipCT</w:t>
      </w:r>
      <w:proofErr w:type="spellEnd"/>
      <w:r w:rsidRPr="008500D2">
        <w:rPr>
          <w:rFonts w:cs="Arial"/>
          <w:iCs/>
          <w:lang w:bidi="en-US"/>
        </w:rPr>
        <w:t xml:space="preserve"> revealed incomplete embolization of the tumor and additional tumor feeder(s) could be identified on DSA and/or CT angiography, additional ss</w:t>
      </w:r>
      <w:r w:rsidRPr="008500D2">
        <w:rPr>
          <w:rFonts w:ascii="Cambria Math" w:hAnsi="Cambria Math" w:cs="Cambria Math"/>
          <w:iCs/>
          <w:lang w:bidi="en-US"/>
        </w:rPr>
        <w:t>‑</w:t>
      </w:r>
      <w:proofErr w:type="spellStart"/>
      <w:r w:rsidRPr="008500D2">
        <w:rPr>
          <w:rFonts w:cs="Arial"/>
          <w:iCs/>
          <w:lang w:bidi="en-US"/>
        </w:rPr>
        <w:t>cTACE</w:t>
      </w:r>
      <w:proofErr w:type="spellEnd"/>
      <w:r w:rsidRPr="008500D2">
        <w:rPr>
          <w:rFonts w:cs="Arial"/>
          <w:iCs/>
          <w:lang w:bidi="en-US"/>
        </w:rPr>
        <w:t xml:space="preserve"> was performed in the same session.</w:t>
      </w:r>
    </w:p>
    <w:p w14:paraId="35763757" w14:textId="77777777" w:rsidR="00977FFC" w:rsidRPr="008500D2" w:rsidRDefault="00977FFC" w:rsidP="00977FFC">
      <w:pPr>
        <w:rPr>
          <w:rFonts w:cs="Arial"/>
          <w:iCs/>
          <w:lang w:bidi="en-US"/>
        </w:rPr>
      </w:pPr>
    </w:p>
    <w:p w14:paraId="75CC000E" w14:textId="2247BEFA" w:rsidR="006A698A" w:rsidRPr="008500D2" w:rsidRDefault="006A698A" w:rsidP="00977FFC">
      <w:pPr>
        <w:rPr>
          <w:rFonts w:cs="Arial"/>
          <w:b/>
          <w:bCs/>
          <w:iCs/>
          <w:sz w:val="28"/>
          <w:szCs w:val="28"/>
          <w:lang w:bidi="en-US"/>
        </w:rPr>
      </w:pPr>
      <w:r w:rsidRPr="008500D2">
        <w:rPr>
          <w:rFonts w:cs="Arial"/>
          <w:b/>
          <w:bCs/>
          <w:iCs/>
          <w:sz w:val="28"/>
          <w:szCs w:val="28"/>
          <w:lang w:bidi="en-US"/>
        </w:rPr>
        <w:t>Follow-Up Protocol</w:t>
      </w:r>
    </w:p>
    <w:p w14:paraId="2E2B0163" w14:textId="77777777" w:rsidR="006A698A" w:rsidRPr="008500D2" w:rsidRDefault="006A698A" w:rsidP="006A698A">
      <w:pPr>
        <w:rPr>
          <w:rFonts w:cs="Arial"/>
          <w:iCs/>
          <w:lang w:bidi="en-US"/>
        </w:rPr>
      </w:pPr>
      <w:r w:rsidRPr="008500D2">
        <w:rPr>
          <w:rFonts w:cs="Arial"/>
          <w:iCs/>
          <w:lang w:bidi="en-US"/>
        </w:rPr>
        <w:t>CT or MRI was performed every 3–6 months post-procedure to evaluate for recurrence, along with serum tumor marker assessment.</w:t>
      </w:r>
    </w:p>
    <w:p w14:paraId="668BE954" w14:textId="77777777" w:rsidR="00B24F3C" w:rsidRPr="008500D2" w:rsidRDefault="00B24F3C" w:rsidP="006A698A">
      <w:pPr>
        <w:rPr>
          <w:rFonts w:cs="Arial"/>
          <w:b/>
          <w:bCs/>
          <w:iCs/>
          <w:sz w:val="28"/>
          <w:szCs w:val="28"/>
          <w:lang w:bidi="en-US"/>
        </w:rPr>
      </w:pPr>
    </w:p>
    <w:p w14:paraId="42E106CF" w14:textId="47461477" w:rsidR="006A698A" w:rsidRPr="008500D2" w:rsidRDefault="006A698A" w:rsidP="006A698A">
      <w:pPr>
        <w:rPr>
          <w:rFonts w:cs="Arial"/>
          <w:b/>
          <w:bCs/>
          <w:iCs/>
          <w:sz w:val="28"/>
          <w:szCs w:val="28"/>
          <w:lang w:bidi="en-US"/>
        </w:rPr>
      </w:pPr>
      <w:r w:rsidRPr="008500D2">
        <w:rPr>
          <w:rFonts w:cs="Arial"/>
          <w:b/>
          <w:bCs/>
          <w:iCs/>
          <w:sz w:val="28"/>
          <w:szCs w:val="28"/>
          <w:lang w:bidi="en-US"/>
        </w:rPr>
        <w:t>Systemic Chemotherapy and Whole-Liver Therapy</w:t>
      </w:r>
    </w:p>
    <w:p w14:paraId="4DCF16DA" w14:textId="77777777" w:rsidR="006A698A" w:rsidRPr="008500D2" w:rsidRDefault="006A698A" w:rsidP="006A698A">
      <w:pPr>
        <w:rPr>
          <w:rFonts w:cs="Arial"/>
          <w:iCs/>
          <w:lang w:bidi="en-US"/>
        </w:rPr>
      </w:pPr>
      <w:r w:rsidRPr="008500D2">
        <w:rPr>
          <w:rFonts w:cs="Arial"/>
          <w:iCs/>
          <w:lang w:bidi="en-US"/>
        </w:rPr>
        <w:lastRenderedPageBreak/>
        <w:t xml:space="preserve">Whole-liver therapies included low-dose FP and cisplatin-based regimens. Systemic treatments included sorafenib, </w:t>
      </w:r>
      <w:proofErr w:type="spellStart"/>
      <w:r w:rsidRPr="008500D2">
        <w:rPr>
          <w:rFonts w:cs="Arial"/>
          <w:iCs/>
          <w:lang w:bidi="en-US"/>
        </w:rPr>
        <w:t>lenvatinib</w:t>
      </w:r>
      <w:proofErr w:type="spellEnd"/>
      <w:r w:rsidRPr="008500D2">
        <w:rPr>
          <w:rFonts w:cs="Arial"/>
          <w:iCs/>
          <w:lang w:bidi="en-US"/>
        </w:rPr>
        <w:t>, regorafenib, atezolizumab, and bevacizumab, selected according to tumor characteristics and patient condition.</w:t>
      </w:r>
    </w:p>
    <w:p w14:paraId="57FB0965" w14:textId="77777777" w:rsidR="00B24F3C" w:rsidRPr="008500D2" w:rsidRDefault="00B24F3C" w:rsidP="006A698A">
      <w:pPr>
        <w:rPr>
          <w:rFonts w:cs="Arial"/>
          <w:b/>
          <w:bCs/>
          <w:iCs/>
          <w:sz w:val="28"/>
          <w:szCs w:val="28"/>
          <w:lang w:bidi="en-US"/>
        </w:rPr>
      </w:pPr>
    </w:p>
    <w:p w14:paraId="1CAC995E" w14:textId="4471ACB2" w:rsidR="006A698A" w:rsidRPr="008500D2" w:rsidRDefault="006A698A" w:rsidP="006A698A">
      <w:pPr>
        <w:rPr>
          <w:rFonts w:cs="Arial"/>
          <w:b/>
          <w:bCs/>
          <w:iCs/>
          <w:sz w:val="28"/>
          <w:szCs w:val="28"/>
          <w:lang w:bidi="en-US"/>
        </w:rPr>
      </w:pPr>
      <w:r w:rsidRPr="008500D2">
        <w:rPr>
          <w:rFonts w:cs="Arial"/>
          <w:b/>
          <w:bCs/>
          <w:iCs/>
          <w:sz w:val="28"/>
          <w:szCs w:val="28"/>
          <w:lang w:bidi="en-US"/>
        </w:rPr>
        <w:t>CTHA Protocol and Imaging System</w:t>
      </w:r>
    </w:p>
    <w:p w14:paraId="24845B67" w14:textId="77777777" w:rsidR="006A698A" w:rsidRPr="008500D2" w:rsidRDefault="006A698A" w:rsidP="006A698A">
      <w:pPr>
        <w:rPr>
          <w:rFonts w:cs="Arial"/>
          <w:iCs/>
          <w:lang w:bidi="en-US"/>
        </w:rPr>
      </w:pPr>
      <w:r w:rsidRPr="008500D2">
        <w:rPr>
          <w:rFonts w:cs="Arial"/>
          <w:iCs/>
          <w:lang w:bidi="en-US"/>
        </w:rPr>
        <w:t xml:space="preserve">CTHA was performed using a Toshiba </w:t>
      </w:r>
      <w:proofErr w:type="spellStart"/>
      <w:r w:rsidRPr="008500D2">
        <w:rPr>
          <w:rFonts w:cs="Arial"/>
          <w:iCs/>
          <w:lang w:bidi="en-US"/>
        </w:rPr>
        <w:t>Aquilion</w:t>
      </w:r>
      <w:proofErr w:type="spellEnd"/>
      <w:r w:rsidRPr="008500D2">
        <w:rPr>
          <w:rFonts w:cs="Arial"/>
          <w:iCs/>
          <w:lang w:bidi="en-US"/>
        </w:rPr>
        <w:t xml:space="preserve"> 64 or Canon </w:t>
      </w:r>
      <w:proofErr w:type="spellStart"/>
      <w:r w:rsidRPr="008500D2">
        <w:rPr>
          <w:rFonts w:cs="Arial"/>
          <w:iCs/>
          <w:lang w:bidi="en-US"/>
        </w:rPr>
        <w:t>Aquilion</w:t>
      </w:r>
      <w:proofErr w:type="spellEnd"/>
      <w:r w:rsidRPr="008500D2">
        <w:rPr>
          <w:rFonts w:cs="Arial"/>
          <w:iCs/>
          <w:lang w:bidi="en-US"/>
        </w:rPr>
        <w:t xml:space="preserve"> ONE Vision system depending on the year. Both were used with an </w:t>
      </w:r>
      <w:proofErr w:type="spellStart"/>
      <w:r w:rsidRPr="008500D2">
        <w:rPr>
          <w:rFonts w:cs="Arial"/>
          <w:iCs/>
          <w:lang w:bidi="en-US"/>
        </w:rPr>
        <w:t>Infinix</w:t>
      </w:r>
      <w:proofErr w:type="spellEnd"/>
      <w:r w:rsidRPr="008500D2">
        <w:rPr>
          <w:rFonts w:cs="Arial"/>
          <w:iCs/>
          <w:lang w:bidi="en-US"/>
        </w:rPr>
        <w:t xml:space="preserve"> </w:t>
      </w:r>
      <w:proofErr w:type="spellStart"/>
      <w:r w:rsidRPr="008500D2">
        <w:rPr>
          <w:rFonts w:cs="Arial"/>
          <w:iCs/>
          <w:lang w:bidi="en-US"/>
        </w:rPr>
        <w:t>Celeve</w:t>
      </w:r>
      <w:proofErr w:type="spellEnd"/>
      <w:r w:rsidRPr="008500D2">
        <w:rPr>
          <w:rFonts w:cs="Arial"/>
          <w:iCs/>
          <w:lang w:bidi="en-US"/>
        </w:rPr>
        <w:t xml:space="preserve"> angiography unit. Scan parameters and contrast timing are detailed in the imaging protocols.</w:t>
      </w:r>
    </w:p>
    <w:p w14:paraId="1830C20C" w14:textId="77777777" w:rsidR="00B24F3C" w:rsidRPr="008500D2" w:rsidRDefault="00B24F3C" w:rsidP="006A698A">
      <w:pPr>
        <w:rPr>
          <w:rFonts w:cs="Arial"/>
          <w:b/>
          <w:bCs/>
          <w:iCs/>
          <w:sz w:val="28"/>
          <w:szCs w:val="28"/>
          <w:lang w:bidi="en-US"/>
        </w:rPr>
      </w:pPr>
    </w:p>
    <w:p w14:paraId="04B3575D" w14:textId="4995F04E" w:rsidR="006A698A" w:rsidRPr="008500D2" w:rsidRDefault="006A698A" w:rsidP="006A698A">
      <w:pPr>
        <w:rPr>
          <w:rFonts w:cs="Arial"/>
          <w:b/>
          <w:bCs/>
          <w:iCs/>
          <w:sz w:val="28"/>
          <w:szCs w:val="28"/>
          <w:lang w:bidi="en-US"/>
        </w:rPr>
      </w:pPr>
      <w:r w:rsidRPr="008500D2">
        <w:rPr>
          <w:rFonts w:cs="Arial"/>
          <w:b/>
          <w:bCs/>
          <w:iCs/>
          <w:sz w:val="28"/>
          <w:szCs w:val="28"/>
          <w:lang w:bidi="en-US"/>
        </w:rPr>
        <w:t>Prognostic Factors and Tumor Classification</w:t>
      </w:r>
    </w:p>
    <w:p w14:paraId="6F2B2F33" w14:textId="77777777" w:rsidR="006A698A" w:rsidRPr="008500D2" w:rsidRDefault="006A698A" w:rsidP="006A698A">
      <w:pPr>
        <w:rPr>
          <w:rFonts w:cs="Arial"/>
          <w:iCs/>
          <w:lang w:bidi="en-US"/>
        </w:rPr>
      </w:pPr>
      <w:r w:rsidRPr="008500D2">
        <w:rPr>
          <w:rFonts w:cs="Arial"/>
          <w:iCs/>
          <w:lang w:bidi="en-US"/>
        </w:rPr>
        <w:t>Clinical and imaging-based prognostic factors included Child–Pugh score, ALBI score, HBP signal intensity, BCLC stage, 5-5-500 and up-to-seven criteria, tumor location (central/peripheral), and hyperintensity on hepatobiliary-phase MRI.</w:t>
      </w:r>
    </w:p>
    <w:p w14:paraId="5B9A333C" w14:textId="77777777" w:rsidR="00B24F3C" w:rsidRPr="008500D2" w:rsidRDefault="00B24F3C" w:rsidP="006A698A">
      <w:pPr>
        <w:rPr>
          <w:rFonts w:cs="Arial"/>
          <w:b/>
          <w:bCs/>
          <w:iCs/>
          <w:sz w:val="28"/>
          <w:szCs w:val="28"/>
          <w:lang w:bidi="en-US"/>
        </w:rPr>
      </w:pPr>
    </w:p>
    <w:p w14:paraId="66BE9C01" w14:textId="5B976F6B" w:rsidR="006A698A" w:rsidRPr="008500D2" w:rsidRDefault="006A698A" w:rsidP="006A698A">
      <w:pPr>
        <w:rPr>
          <w:rFonts w:cs="Arial"/>
          <w:b/>
          <w:bCs/>
          <w:iCs/>
          <w:sz w:val="28"/>
          <w:szCs w:val="28"/>
          <w:lang w:bidi="en-US"/>
        </w:rPr>
      </w:pPr>
      <w:proofErr w:type="spellStart"/>
      <w:r w:rsidRPr="008500D2">
        <w:rPr>
          <w:rFonts w:cs="Arial"/>
          <w:b/>
          <w:bCs/>
          <w:iCs/>
          <w:sz w:val="28"/>
          <w:szCs w:val="28"/>
          <w:lang w:bidi="en-US"/>
        </w:rPr>
        <w:t>Gadoxetic</w:t>
      </w:r>
      <w:proofErr w:type="spellEnd"/>
      <w:r w:rsidRPr="008500D2">
        <w:rPr>
          <w:rFonts w:cs="Arial"/>
          <w:b/>
          <w:bCs/>
          <w:iCs/>
          <w:sz w:val="28"/>
          <w:szCs w:val="28"/>
          <w:lang w:bidi="en-US"/>
        </w:rPr>
        <w:t xml:space="preserve"> Acid–Enhanced MRI Protocol</w:t>
      </w:r>
    </w:p>
    <w:p w14:paraId="3973C288" w14:textId="77777777" w:rsidR="006A698A" w:rsidRPr="008500D2" w:rsidRDefault="006A698A" w:rsidP="006A698A">
      <w:pPr>
        <w:rPr>
          <w:rFonts w:cs="Arial"/>
          <w:iCs/>
          <w:lang w:bidi="en-US"/>
        </w:rPr>
      </w:pPr>
      <w:r w:rsidRPr="008500D2">
        <w:rPr>
          <w:rFonts w:cs="Arial"/>
          <w:iCs/>
          <w:lang w:bidi="en-US"/>
        </w:rPr>
        <w:t xml:space="preserve">MR images were acquired using 1.5- or 3.0-T systems. Signal intensity ratios were calculated from ROIs placed on liver and tumor tissue during the hepatobiliary phase after injection of </w:t>
      </w:r>
      <w:proofErr w:type="spellStart"/>
      <w:r w:rsidRPr="008500D2">
        <w:rPr>
          <w:rFonts w:cs="Arial"/>
          <w:iCs/>
          <w:lang w:bidi="en-US"/>
        </w:rPr>
        <w:t>gadoxetic</w:t>
      </w:r>
      <w:proofErr w:type="spellEnd"/>
      <w:r w:rsidRPr="008500D2">
        <w:rPr>
          <w:rFonts w:cs="Arial"/>
          <w:iCs/>
          <w:lang w:bidi="en-US"/>
        </w:rPr>
        <w:t xml:space="preserve"> acid. Hyperintensity was defined as a signal increase exceeding that of background liver.</w:t>
      </w:r>
    </w:p>
    <w:p w14:paraId="31666D0E" w14:textId="77777777" w:rsidR="00B24F3C" w:rsidRPr="008500D2" w:rsidRDefault="00B24F3C" w:rsidP="006A698A">
      <w:pPr>
        <w:rPr>
          <w:rFonts w:cs="Arial"/>
          <w:b/>
          <w:bCs/>
          <w:iCs/>
          <w:sz w:val="28"/>
          <w:szCs w:val="28"/>
          <w:lang w:bidi="en-US"/>
        </w:rPr>
      </w:pPr>
    </w:p>
    <w:p w14:paraId="28FAB206" w14:textId="41F6BABB" w:rsidR="006A698A" w:rsidRPr="008500D2" w:rsidRDefault="006A698A" w:rsidP="006A698A">
      <w:pPr>
        <w:rPr>
          <w:rFonts w:cs="Arial"/>
          <w:b/>
          <w:bCs/>
          <w:iCs/>
          <w:sz w:val="28"/>
          <w:szCs w:val="28"/>
          <w:lang w:bidi="en-US"/>
        </w:rPr>
      </w:pPr>
      <w:r w:rsidRPr="008500D2">
        <w:rPr>
          <w:rFonts w:cs="Arial"/>
          <w:b/>
          <w:bCs/>
          <w:iCs/>
          <w:sz w:val="28"/>
          <w:szCs w:val="28"/>
          <w:lang w:bidi="en-US"/>
        </w:rPr>
        <w:t xml:space="preserve">Definitions: 5-5-500 </w:t>
      </w:r>
      <w:r w:rsidR="0079137E" w:rsidRPr="008500D2">
        <w:rPr>
          <w:rFonts w:cs="Arial"/>
          <w:b/>
          <w:bCs/>
          <w:iCs/>
          <w:sz w:val="28"/>
          <w:szCs w:val="28"/>
          <w:lang w:bidi="en-US"/>
        </w:rPr>
        <w:t xml:space="preserve">rule </w:t>
      </w:r>
      <w:r w:rsidRPr="008500D2">
        <w:rPr>
          <w:rFonts w:cs="Arial"/>
          <w:b/>
          <w:bCs/>
          <w:iCs/>
          <w:sz w:val="28"/>
          <w:szCs w:val="28"/>
          <w:lang w:bidi="en-US"/>
        </w:rPr>
        <w:t>and Up-to-Seven Criteria</w:t>
      </w:r>
    </w:p>
    <w:p w14:paraId="348C691F" w14:textId="29068AB9" w:rsidR="006A698A" w:rsidRPr="008500D2" w:rsidRDefault="006A698A" w:rsidP="0079137E">
      <w:pPr>
        <w:pStyle w:val="af2"/>
        <w:numPr>
          <w:ilvl w:val="2"/>
          <w:numId w:val="9"/>
        </w:numPr>
        <w:ind w:leftChars="0"/>
        <w:rPr>
          <w:rFonts w:cs="Arial"/>
          <w:iCs/>
          <w:lang w:bidi="en-US"/>
        </w:rPr>
      </w:pPr>
      <w:r w:rsidRPr="008500D2">
        <w:rPr>
          <w:rFonts w:cs="Arial"/>
          <w:iCs/>
          <w:lang w:bidi="en-US"/>
        </w:rPr>
        <w:t>rule: Tumor size ≤5 cm, ≤5 nodules, AFP ≤500 ng/</w:t>
      </w:r>
      <w:proofErr w:type="spellStart"/>
      <w:r w:rsidRPr="008500D2">
        <w:rPr>
          <w:rFonts w:cs="Arial"/>
          <w:iCs/>
          <w:lang w:bidi="en-US"/>
        </w:rPr>
        <w:t>mL.</w:t>
      </w:r>
      <w:proofErr w:type="spellEnd"/>
    </w:p>
    <w:p w14:paraId="09A9950B" w14:textId="77777777" w:rsidR="006A698A" w:rsidRPr="008500D2" w:rsidRDefault="006A698A" w:rsidP="006A698A">
      <w:pPr>
        <w:rPr>
          <w:rFonts w:cs="Arial"/>
          <w:b/>
          <w:bCs/>
          <w:iCs/>
          <w:lang w:bidi="en-US"/>
        </w:rPr>
      </w:pPr>
      <w:r w:rsidRPr="008500D2">
        <w:rPr>
          <w:rFonts w:cs="Arial"/>
          <w:iCs/>
          <w:lang w:bidi="en-US"/>
        </w:rPr>
        <w:t>Up-to-seven criteria: Sum of tumor number and size ≤7.</w:t>
      </w:r>
    </w:p>
    <w:p w14:paraId="6F6D4282" w14:textId="77777777" w:rsidR="00B24F3C" w:rsidRPr="008500D2" w:rsidRDefault="00B24F3C" w:rsidP="006A698A">
      <w:pPr>
        <w:rPr>
          <w:rFonts w:cs="Arial"/>
          <w:b/>
          <w:bCs/>
          <w:iCs/>
          <w:sz w:val="28"/>
          <w:szCs w:val="28"/>
          <w:lang w:bidi="en-US"/>
        </w:rPr>
      </w:pPr>
    </w:p>
    <w:p w14:paraId="49C7851D" w14:textId="0296D4C5" w:rsidR="006A698A" w:rsidRPr="008500D2" w:rsidRDefault="006A698A" w:rsidP="006A698A">
      <w:pPr>
        <w:rPr>
          <w:rFonts w:cs="Arial"/>
          <w:b/>
          <w:bCs/>
          <w:iCs/>
          <w:sz w:val="28"/>
          <w:szCs w:val="28"/>
          <w:lang w:bidi="en-US"/>
        </w:rPr>
      </w:pPr>
      <w:r w:rsidRPr="008500D2">
        <w:rPr>
          <w:rFonts w:cs="Arial"/>
          <w:b/>
          <w:bCs/>
          <w:iCs/>
          <w:sz w:val="28"/>
          <w:szCs w:val="28"/>
          <w:lang w:bidi="en-US"/>
        </w:rPr>
        <w:lastRenderedPageBreak/>
        <w:t>Cause-Specific Hazard Model</w:t>
      </w:r>
    </w:p>
    <w:p w14:paraId="064A7345" w14:textId="77777777" w:rsidR="006A698A" w:rsidRPr="008500D2" w:rsidRDefault="006A698A" w:rsidP="006A698A">
      <w:pPr>
        <w:rPr>
          <w:rFonts w:cs="Arial"/>
          <w:iCs/>
          <w:lang w:bidi="en-US"/>
        </w:rPr>
      </w:pPr>
      <w:r w:rsidRPr="008500D2">
        <w:rPr>
          <w:rFonts w:cs="Arial"/>
          <w:iCs/>
          <w:lang w:bidi="en-US"/>
        </w:rPr>
        <w:t xml:space="preserve">Liver-related death was modeled as </w:t>
      </w:r>
      <w:proofErr w:type="spellStart"/>
      <w:r w:rsidRPr="008500D2">
        <w:rPr>
          <w:rFonts w:cs="Arial"/>
          <w:iCs/>
          <w:lang w:bidi="en-US"/>
        </w:rPr>
        <w:t>event_type</w:t>
      </w:r>
      <w:proofErr w:type="spellEnd"/>
      <w:r w:rsidRPr="008500D2">
        <w:rPr>
          <w:rFonts w:cs="Arial"/>
          <w:iCs/>
          <w:lang w:bidi="en-US"/>
        </w:rPr>
        <w:t xml:space="preserve"> = 1, non–liver-related death as </w:t>
      </w:r>
      <w:proofErr w:type="spellStart"/>
      <w:r w:rsidRPr="008500D2">
        <w:rPr>
          <w:rFonts w:cs="Arial"/>
          <w:iCs/>
          <w:lang w:bidi="en-US"/>
        </w:rPr>
        <w:t>event_type</w:t>
      </w:r>
      <w:proofErr w:type="spellEnd"/>
      <w:r w:rsidRPr="008500D2">
        <w:rPr>
          <w:rFonts w:cs="Arial"/>
          <w:iCs/>
          <w:lang w:bidi="en-US"/>
        </w:rPr>
        <w:t xml:space="preserve"> = 2, and censored observations as </w:t>
      </w:r>
      <w:proofErr w:type="spellStart"/>
      <w:r w:rsidRPr="008500D2">
        <w:rPr>
          <w:rFonts w:cs="Arial"/>
          <w:iCs/>
          <w:lang w:bidi="en-US"/>
        </w:rPr>
        <w:t>event_type</w:t>
      </w:r>
      <w:proofErr w:type="spellEnd"/>
      <w:r w:rsidRPr="008500D2">
        <w:rPr>
          <w:rFonts w:cs="Arial"/>
          <w:iCs/>
          <w:lang w:bidi="en-US"/>
        </w:rPr>
        <w:t xml:space="preserve"> = 0. Only </w:t>
      </w:r>
      <w:proofErr w:type="spellStart"/>
      <w:r w:rsidRPr="008500D2">
        <w:rPr>
          <w:rFonts w:cs="Arial"/>
          <w:iCs/>
          <w:lang w:bidi="en-US"/>
        </w:rPr>
        <w:t>event_type</w:t>
      </w:r>
      <w:proofErr w:type="spellEnd"/>
      <w:r w:rsidRPr="008500D2">
        <w:rPr>
          <w:rFonts w:cs="Arial"/>
          <w:iCs/>
          <w:lang w:bidi="en-US"/>
        </w:rPr>
        <w:t xml:space="preserve"> = 1 was treated as the endpoint in the cause-specific Cox model, with </w:t>
      </w:r>
      <w:proofErr w:type="spellStart"/>
      <w:r w:rsidRPr="008500D2">
        <w:rPr>
          <w:rFonts w:cs="Arial"/>
          <w:iCs/>
          <w:lang w:bidi="en-US"/>
        </w:rPr>
        <w:t>event_type</w:t>
      </w:r>
      <w:proofErr w:type="spellEnd"/>
      <w:r w:rsidRPr="008500D2">
        <w:rPr>
          <w:rFonts w:cs="Arial"/>
          <w:iCs/>
          <w:lang w:bidi="en-US"/>
        </w:rPr>
        <w:t> = 2 censored at the time of occurrence.</w:t>
      </w:r>
    </w:p>
    <w:p w14:paraId="03138247" w14:textId="77777777" w:rsidR="003C10F6" w:rsidRPr="008500D2" w:rsidRDefault="003C10F6" w:rsidP="006A698A">
      <w:pPr>
        <w:rPr>
          <w:rFonts w:cs="Arial"/>
          <w:iCs/>
          <w:lang w:bidi="en-US"/>
        </w:rPr>
      </w:pPr>
    </w:p>
    <w:p w14:paraId="4129C3A7" w14:textId="682B5E40" w:rsidR="001C4A33" w:rsidRPr="008500D2" w:rsidRDefault="001C4A33" w:rsidP="006A698A">
      <w:pPr>
        <w:rPr>
          <w:rFonts w:cs="Arial"/>
          <w:b/>
          <w:bCs/>
          <w:iCs/>
          <w:sz w:val="32"/>
          <w:szCs w:val="32"/>
          <w:lang w:bidi="en-US"/>
        </w:rPr>
      </w:pPr>
      <w:r w:rsidRPr="008500D2">
        <w:rPr>
          <w:rFonts w:cs="Arial"/>
          <w:b/>
          <w:bCs/>
          <w:iCs/>
          <w:sz w:val="32"/>
          <w:szCs w:val="32"/>
          <w:lang w:bidi="en-US"/>
        </w:rPr>
        <w:t>Supplemental Table and Figures</w:t>
      </w:r>
    </w:p>
    <w:p w14:paraId="72C0BFEF" w14:textId="77777777" w:rsidR="00A64F85" w:rsidRPr="008500D2" w:rsidRDefault="00A64F85" w:rsidP="006A698A">
      <w:pPr>
        <w:rPr>
          <w:rFonts w:cs="Arial"/>
          <w:b/>
          <w:bCs/>
          <w:iCs/>
          <w:sz w:val="32"/>
          <w:szCs w:val="32"/>
          <w:lang w:bidi="en-US"/>
        </w:rPr>
      </w:pPr>
    </w:p>
    <w:p w14:paraId="47243355" w14:textId="77777777" w:rsidR="0077548B" w:rsidRPr="008500D2" w:rsidRDefault="003C10F6" w:rsidP="0077548B">
      <w:pPr>
        <w:rPr>
          <w:rFonts w:cs="Arial"/>
          <w:b/>
          <w:bCs/>
        </w:rPr>
      </w:pPr>
      <w:r w:rsidRPr="008500D2">
        <w:rPr>
          <w:rFonts w:cs="Arial"/>
          <w:b/>
          <w:bCs/>
        </w:rPr>
        <w:t>Table S1</w:t>
      </w:r>
      <w:r w:rsidR="0077548B" w:rsidRPr="008500D2">
        <w:rPr>
          <w:rFonts w:cs="Arial"/>
          <w:b/>
          <w:bCs/>
        </w:rPr>
        <w:t xml:space="preserve"> Collinearity Assessment of Liver Function Markers</w:t>
      </w:r>
    </w:p>
    <w:tbl>
      <w:tblPr>
        <w:tblW w:w="8347" w:type="dxa"/>
        <w:tblInd w:w="-443" w:type="dxa"/>
        <w:tblCellMar>
          <w:left w:w="0" w:type="dxa"/>
          <w:right w:w="0" w:type="dxa"/>
        </w:tblCellMar>
        <w:tblLook w:val="0600" w:firstRow="0" w:lastRow="0" w:firstColumn="0" w:lastColumn="0" w:noHBand="1" w:noVBand="1"/>
      </w:tblPr>
      <w:tblGrid>
        <w:gridCol w:w="3604"/>
        <w:gridCol w:w="2371"/>
        <w:gridCol w:w="2372"/>
      </w:tblGrid>
      <w:tr w:rsidR="00B24F3C" w:rsidRPr="008500D2" w14:paraId="00CE9879" w14:textId="77777777" w:rsidTr="00B24F3C">
        <w:trPr>
          <w:trHeight w:val="442"/>
        </w:trPr>
        <w:tc>
          <w:tcPr>
            <w:tcW w:w="3604" w:type="dxa"/>
            <w:tcBorders>
              <w:top w:val="nil"/>
              <w:left w:val="nil"/>
              <w:bottom w:val="single" w:sz="8" w:space="0" w:color="000000"/>
              <w:right w:val="nil"/>
            </w:tcBorders>
            <w:shd w:val="clear" w:color="auto" w:fill="auto"/>
            <w:tcMar>
              <w:top w:w="19" w:type="dxa"/>
              <w:left w:w="19" w:type="dxa"/>
              <w:bottom w:w="0" w:type="dxa"/>
              <w:right w:w="19" w:type="dxa"/>
            </w:tcMar>
            <w:vAlign w:val="center"/>
            <w:hideMark/>
          </w:tcPr>
          <w:p w14:paraId="0479B86E" w14:textId="77777777" w:rsidR="00B24F3C" w:rsidRPr="008500D2" w:rsidRDefault="00B24F3C" w:rsidP="00B24F3C">
            <w:pPr>
              <w:rPr>
                <w:rFonts w:cs="Arial"/>
                <w:b/>
                <w:bCs/>
              </w:rPr>
            </w:pPr>
            <w:r w:rsidRPr="008500D2">
              <w:rPr>
                <w:rFonts w:cs="Arial"/>
                <w:b/>
                <w:bCs/>
              </w:rPr>
              <w:t>Variable</w:t>
            </w:r>
          </w:p>
        </w:tc>
        <w:tc>
          <w:tcPr>
            <w:tcW w:w="2371" w:type="dxa"/>
            <w:tcBorders>
              <w:top w:val="nil"/>
              <w:left w:val="nil"/>
              <w:bottom w:val="single" w:sz="8" w:space="0" w:color="000000"/>
              <w:right w:val="nil"/>
            </w:tcBorders>
            <w:shd w:val="clear" w:color="auto" w:fill="auto"/>
            <w:tcMar>
              <w:top w:w="19" w:type="dxa"/>
              <w:left w:w="19" w:type="dxa"/>
              <w:bottom w:w="0" w:type="dxa"/>
              <w:right w:w="19" w:type="dxa"/>
            </w:tcMar>
            <w:vAlign w:val="center"/>
            <w:hideMark/>
          </w:tcPr>
          <w:p w14:paraId="4CA506FD" w14:textId="77777777" w:rsidR="00B24F3C" w:rsidRPr="008500D2" w:rsidRDefault="00B24F3C" w:rsidP="00B24F3C">
            <w:pPr>
              <w:rPr>
                <w:rFonts w:cs="Arial"/>
                <w:b/>
                <w:bCs/>
              </w:rPr>
            </w:pPr>
            <w:r w:rsidRPr="008500D2">
              <w:rPr>
                <w:rFonts w:cs="Arial"/>
                <w:b/>
                <w:bCs/>
              </w:rPr>
              <w:t>VIF</w:t>
            </w:r>
          </w:p>
        </w:tc>
        <w:tc>
          <w:tcPr>
            <w:tcW w:w="2372" w:type="dxa"/>
            <w:tcBorders>
              <w:top w:val="nil"/>
              <w:left w:val="nil"/>
              <w:bottom w:val="single" w:sz="8" w:space="0" w:color="000000"/>
              <w:right w:val="nil"/>
            </w:tcBorders>
            <w:shd w:val="clear" w:color="auto" w:fill="auto"/>
            <w:tcMar>
              <w:top w:w="19" w:type="dxa"/>
              <w:left w:w="19" w:type="dxa"/>
              <w:bottom w:w="0" w:type="dxa"/>
              <w:right w:w="19" w:type="dxa"/>
            </w:tcMar>
            <w:vAlign w:val="center"/>
            <w:hideMark/>
          </w:tcPr>
          <w:p w14:paraId="7209E622" w14:textId="77777777" w:rsidR="00B24F3C" w:rsidRPr="008500D2" w:rsidRDefault="00B24F3C" w:rsidP="00B24F3C">
            <w:pPr>
              <w:rPr>
                <w:rFonts w:cs="Arial"/>
                <w:b/>
                <w:bCs/>
              </w:rPr>
            </w:pPr>
            <w:r w:rsidRPr="008500D2">
              <w:rPr>
                <w:rFonts w:cs="Arial"/>
                <w:b/>
                <w:bCs/>
              </w:rPr>
              <w:t>R2 with other variables</w:t>
            </w:r>
          </w:p>
        </w:tc>
      </w:tr>
      <w:tr w:rsidR="00B24F3C" w:rsidRPr="008500D2" w14:paraId="7DB4CD9B" w14:textId="77777777" w:rsidTr="00B24F3C">
        <w:trPr>
          <w:trHeight w:val="228"/>
        </w:trPr>
        <w:tc>
          <w:tcPr>
            <w:tcW w:w="3604" w:type="dxa"/>
            <w:tcBorders>
              <w:top w:val="single" w:sz="8" w:space="0" w:color="000000"/>
              <w:left w:val="nil"/>
              <w:bottom w:val="nil"/>
              <w:right w:val="nil"/>
            </w:tcBorders>
            <w:shd w:val="clear" w:color="auto" w:fill="auto"/>
            <w:tcMar>
              <w:top w:w="19" w:type="dxa"/>
              <w:left w:w="19" w:type="dxa"/>
              <w:bottom w:w="0" w:type="dxa"/>
              <w:right w:w="19" w:type="dxa"/>
            </w:tcMar>
            <w:vAlign w:val="center"/>
            <w:hideMark/>
          </w:tcPr>
          <w:p w14:paraId="10BBFFA6" w14:textId="77777777" w:rsidR="00B24F3C" w:rsidRPr="008500D2" w:rsidRDefault="00B24F3C" w:rsidP="00B24F3C">
            <w:pPr>
              <w:rPr>
                <w:rFonts w:cs="Arial"/>
                <w:b/>
                <w:bCs/>
              </w:rPr>
            </w:pPr>
            <w:r w:rsidRPr="008500D2">
              <w:rPr>
                <w:rFonts w:cs="Arial"/>
                <w:b/>
                <w:bCs/>
              </w:rPr>
              <w:t>Serum albumin level</w:t>
            </w:r>
          </w:p>
        </w:tc>
        <w:tc>
          <w:tcPr>
            <w:tcW w:w="2371" w:type="dxa"/>
            <w:tcBorders>
              <w:top w:val="single" w:sz="8" w:space="0" w:color="000000"/>
              <w:left w:val="nil"/>
              <w:bottom w:val="nil"/>
              <w:right w:val="nil"/>
            </w:tcBorders>
            <w:shd w:val="clear" w:color="auto" w:fill="auto"/>
            <w:tcMar>
              <w:top w:w="19" w:type="dxa"/>
              <w:left w:w="19" w:type="dxa"/>
              <w:bottom w:w="0" w:type="dxa"/>
              <w:right w:w="19" w:type="dxa"/>
            </w:tcMar>
            <w:vAlign w:val="center"/>
            <w:hideMark/>
          </w:tcPr>
          <w:p w14:paraId="174B44CC" w14:textId="77777777" w:rsidR="00B24F3C" w:rsidRPr="008500D2" w:rsidRDefault="00B24F3C" w:rsidP="00B24F3C">
            <w:pPr>
              <w:rPr>
                <w:rFonts w:cs="Arial"/>
              </w:rPr>
            </w:pPr>
            <w:r w:rsidRPr="008500D2">
              <w:rPr>
                <w:rFonts w:cs="Arial"/>
              </w:rPr>
              <w:t>1660</w:t>
            </w:r>
          </w:p>
        </w:tc>
        <w:tc>
          <w:tcPr>
            <w:tcW w:w="2372" w:type="dxa"/>
            <w:tcBorders>
              <w:top w:val="single" w:sz="8" w:space="0" w:color="000000"/>
              <w:left w:val="nil"/>
              <w:bottom w:val="nil"/>
              <w:right w:val="nil"/>
            </w:tcBorders>
            <w:shd w:val="clear" w:color="auto" w:fill="auto"/>
            <w:tcMar>
              <w:top w:w="19" w:type="dxa"/>
              <w:left w:w="19" w:type="dxa"/>
              <w:bottom w:w="0" w:type="dxa"/>
              <w:right w:w="19" w:type="dxa"/>
            </w:tcMar>
            <w:vAlign w:val="center"/>
            <w:hideMark/>
          </w:tcPr>
          <w:p w14:paraId="3D9AFBA5" w14:textId="77777777" w:rsidR="00B24F3C" w:rsidRPr="008500D2" w:rsidRDefault="00B24F3C" w:rsidP="00B24F3C">
            <w:pPr>
              <w:rPr>
                <w:rFonts w:cs="Arial"/>
              </w:rPr>
            </w:pPr>
            <w:r w:rsidRPr="008500D2">
              <w:rPr>
                <w:rFonts w:cs="Arial"/>
              </w:rPr>
              <w:t>0.9994</w:t>
            </w:r>
          </w:p>
        </w:tc>
      </w:tr>
      <w:tr w:rsidR="00B24F3C" w:rsidRPr="008500D2" w14:paraId="746934D8" w14:textId="77777777" w:rsidTr="00B24F3C">
        <w:trPr>
          <w:trHeight w:val="228"/>
        </w:trPr>
        <w:tc>
          <w:tcPr>
            <w:tcW w:w="3604" w:type="dxa"/>
            <w:tcBorders>
              <w:top w:val="nil"/>
              <w:left w:val="nil"/>
              <w:bottom w:val="nil"/>
              <w:right w:val="nil"/>
            </w:tcBorders>
            <w:shd w:val="clear" w:color="auto" w:fill="auto"/>
            <w:tcMar>
              <w:top w:w="19" w:type="dxa"/>
              <w:left w:w="19" w:type="dxa"/>
              <w:bottom w:w="0" w:type="dxa"/>
              <w:right w:w="19" w:type="dxa"/>
            </w:tcMar>
            <w:vAlign w:val="center"/>
            <w:hideMark/>
          </w:tcPr>
          <w:p w14:paraId="1C40A19B" w14:textId="77777777" w:rsidR="00B24F3C" w:rsidRPr="008500D2" w:rsidRDefault="00B24F3C" w:rsidP="00B24F3C">
            <w:pPr>
              <w:rPr>
                <w:rFonts w:cs="Arial"/>
                <w:b/>
                <w:bCs/>
              </w:rPr>
            </w:pPr>
            <w:r w:rsidRPr="008500D2">
              <w:rPr>
                <w:rFonts w:cs="Arial"/>
                <w:b/>
                <w:bCs/>
              </w:rPr>
              <w:t>Serum bilirubin level</w:t>
            </w:r>
          </w:p>
        </w:tc>
        <w:tc>
          <w:tcPr>
            <w:tcW w:w="2371" w:type="dxa"/>
            <w:tcBorders>
              <w:top w:val="nil"/>
              <w:left w:val="nil"/>
              <w:bottom w:val="nil"/>
              <w:right w:val="nil"/>
            </w:tcBorders>
            <w:shd w:val="clear" w:color="auto" w:fill="auto"/>
            <w:tcMar>
              <w:top w:w="19" w:type="dxa"/>
              <w:left w:w="19" w:type="dxa"/>
              <w:bottom w:w="0" w:type="dxa"/>
              <w:right w:w="19" w:type="dxa"/>
            </w:tcMar>
            <w:vAlign w:val="center"/>
            <w:hideMark/>
          </w:tcPr>
          <w:p w14:paraId="7684792B" w14:textId="77777777" w:rsidR="00B24F3C" w:rsidRPr="008500D2" w:rsidRDefault="00B24F3C" w:rsidP="00B24F3C">
            <w:pPr>
              <w:rPr>
                <w:rFonts w:cs="Arial"/>
              </w:rPr>
            </w:pPr>
            <w:r w:rsidRPr="008500D2">
              <w:rPr>
                <w:rFonts w:cs="Arial"/>
              </w:rPr>
              <w:t>30.19</w:t>
            </w:r>
          </w:p>
        </w:tc>
        <w:tc>
          <w:tcPr>
            <w:tcW w:w="2372" w:type="dxa"/>
            <w:tcBorders>
              <w:top w:val="nil"/>
              <w:left w:val="nil"/>
              <w:bottom w:val="nil"/>
              <w:right w:val="nil"/>
            </w:tcBorders>
            <w:shd w:val="clear" w:color="auto" w:fill="auto"/>
            <w:tcMar>
              <w:top w:w="19" w:type="dxa"/>
              <w:left w:w="19" w:type="dxa"/>
              <w:bottom w:w="0" w:type="dxa"/>
              <w:right w:w="19" w:type="dxa"/>
            </w:tcMar>
            <w:vAlign w:val="center"/>
            <w:hideMark/>
          </w:tcPr>
          <w:p w14:paraId="532959DC" w14:textId="77777777" w:rsidR="00B24F3C" w:rsidRPr="008500D2" w:rsidRDefault="00B24F3C" w:rsidP="00B24F3C">
            <w:pPr>
              <w:rPr>
                <w:rFonts w:cs="Arial"/>
              </w:rPr>
            </w:pPr>
            <w:r w:rsidRPr="008500D2">
              <w:rPr>
                <w:rFonts w:cs="Arial"/>
              </w:rPr>
              <w:t>0.9669</w:t>
            </w:r>
          </w:p>
        </w:tc>
      </w:tr>
      <w:tr w:rsidR="00B24F3C" w:rsidRPr="008500D2" w14:paraId="35507D0E" w14:textId="77777777" w:rsidTr="00B24F3C">
        <w:trPr>
          <w:trHeight w:val="228"/>
        </w:trPr>
        <w:tc>
          <w:tcPr>
            <w:tcW w:w="3604" w:type="dxa"/>
            <w:tcBorders>
              <w:top w:val="nil"/>
              <w:left w:val="nil"/>
              <w:bottom w:val="nil"/>
              <w:right w:val="nil"/>
            </w:tcBorders>
            <w:shd w:val="clear" w:color="auto" w:fill="auto"/>
            <w:tcMar>
              <w:top w:w="19" w:type="dxa"/>
              <w:left w:w="19" w:type="dxa"/>
              <w:bottom w:w="0" w:type="dxa"/>
              <w:right w:w="19" w:type="dxa"/>
            </w:tcMar>
            <w:vAlign w:val="center"/>
            <w:hideMark/>
          </w:tcPr>
          <w:p w14:paraId="031D4034" w14:textId="77777777" w:rsidR="00B24F3C" w:rsidRPr="008500D2" w:rsidRDefault="00B24F3C" w:rsidP="00B24F3C">
            <w:pPr>
              <w:rPr>
                <w:rFonts w:cs="Arial"/>
                <w:b/>
                <w:bCs/>
              </w:rPr>
            </w:pPr>
            <w:r w:rsidRPr="008500D2">
              <w:rPr>
                <w:rFonts w:cs="Arial"/>
                <w:b/>
                <w:bCs/>
              </w:rPr>
              <w:t>ALBI score</w:t>
            </w:r>
          </w:p>
        </w:tc>
        <w:tc>
          <w:tcPr>
            <w:tcW w:w="2371" w:type="dxa"/>
            <w:tcBorders>
              <w:top w:val="nil"/>
              <w:left w:val="nil"/>
              <w:bottom w:val="nil"/>
              <w:right w:val="nil"/>
            </w:tcBorders>
            <w:shd w:val="clear" w:color="auto" w:fill="auto"/>
            <w:tcMar>
              <w:top w:w="19" w:type="dxa"/>
              <w:left w:w="19" w:type="dxa"/>
              <w:bottom w:w="0" w:type="dxa"/>
              <w:right w:w="19" w:type="dxa"/>
            </w:tcMar>
            <w:vAlign w:val="center"/>
            <w:hideMark/>
          </w:tcPr>
          <w:p w14:paraId="1434B694" w14:textId="77777777" w:rsidR="00B24F3C" w:rsidRPr="008500D2" w:rsidRDefault="00B24F3C" w:rsidP="00B24F3C">
            <w:pPr>
              <w:rPr>
                <w:rFonts w:cs="Arial"/>
              </w:rPr>
            </w:pPr>
            <w:r w:rsidRPr="008500D2">
              <w:rPr>
                <w:rFonts w:cs="Arial"/>
              </w:rPr>
              <w:t>1214</w:t>
            </w:r>
          </w:p>
        </w:tc>
        <w:tc>
          <w:tcPr>
            <w:tcW w:w="2372" w:type="dxa"/>
            <w:tcBorders>
              <w:top w:val="nil"/>
              <w:left w:val="nil"/>
              <w:bottom w:val="nil"/>
              <w:right w:val="nil"/>
            </w:tcBorders>
            <w:shd w:val="clear" w:color="auto" w:fill="auto"/>
            <w:tcMar>
              <w:top w:w="19" w:type="dxa"/>
              <w:left w:w="19" w:type="dxa"/>
              <w:bottom w:w="0" w:type="dxa"/>
              <w:right w:w="19" w:type="dxa"/>
            </w:tcMar>
            <w:vAlign w:val="center"/>
            <w:hideMark/>
          </w:tcPr>
          <w:p w14:paraId="454CFB46" w14:textId="77777777" w:rsidR="00B24F3C" w:rsidRPr="008500D2" w:rsidRDefault="00B24F3C" w:rsidP="00B24F3C">
            <w:pPr>
              <w:rPr>
                <w:rFonts w:cs="Arial"/>
              </w:rPr>
            </w:pPr>
            <w:r w:rsidRPr="008500D2">
              <w:rPr>
                <w:rFonts w:cs="Arial"/>
              </w:rPr>
              <w:t>0.9992</w:t>
            </w:r>
          </w:p>
        </w:tc>
      </w:tr>
      <w:tr w:rsidR="00B24F3C" w:rsidRPr="008500D2" w14:paraId="40F5F563" w14:textId="77777777" w:rsidTr="00B24F3C">
        <w:trPr>
          <w:trHeight w:val="228"/>
        </w:trPr>
        <w:tc>
          <w:tcPr>
            <w:tcW w:w="3604" w:type="dxa"/>
            <w:tcBorders>
              <w:top w:val="nil"/>
              <w:left w:val="nil"/>
              <w:bottom w:val="nil"/>
              <w:right w:val="nil"/>
            </w:tcBorders>
            <w:shd w:val="clear" w:color="auto" w:fill="auto"/>
            <w:tcMar>
              <w:top w:w="19" w:type="dxa"/>
              <w:left w:w="19" w:type="dxa"/>
              <w:bottom w:w="0" w:type="dxa"/>
              <w:right w:w="19" w:type="dxa"/>
            </w:tcMar>
            <w:vAlign w:val="center"/>
            <w:hideMark/>
          </w:tcPr>
          <w:p w14:paraId="6BDA46A5" w14:textId="77777777" w:rsidR="00B24F3C" w:rsidRPr="008500D2" w:rsidRDefault="00B24F3C" w:rsidP="00B24F3C">
            <w:pPr>
              <w:rPr>
                <w:rFonts w:cs="Arial"/>
                <w:b/>
                <w:bCs/>
              </w:rPr>
            </w:pPr>
            <w:r w:rsidRPr="008500D2">
              <w:rPr>
                <w:rFonts w:cs="Arial"/>
                <w:b/>
                <w:bCs/>
              </w:rPr>
              <w:t>Child–Pugh B</w:t>
            </w:r>
          </w:p>
        </w:tc>
        <w:tc>
          <w:tcPr>
            <w:tcW w:w="2371" w:type="dxa"/>
            <w:tcBorders>
              <w:top w:val="nil"/>
              <w:left w:val="nil"/>
              <w:bottom w:val="nil"/>
              <w:right w:val="nil"/>
            </w:tcBorders>
            <w:shd w:val="clear" w:color="auto" w:fill="auto"/>
            <w:tcMar>
              <w:top w:w="19" w:type="dxa"/>
              <w:left w:w="19" w:type="dxa"/>
              <w:bottom w:w="0" w:type="dxa"/>
              <w:right w:w="19" w:type="dxa"/>
            </w:tcMar>
            <w:vAlign w:val="center"/>
            <w:hideMark/>
          </w:tcPr>
          <w:p w14:paraId="2FD50980" w14:textId="77777777" w:rsidR="00B24F3C" w:rsidRPr="008500D2" w:rsidRDefault="00B24F3C" w:rsidP="00B24F3C">
            <w:pPr>
              <w:rPr>
                <w:rFonts w:cs="Arial"/>
              </w:rPr>
            </w:pPr>
            <w:r w:rsidRPr="008500D2">
              <w:rPr>
                <w:rFonts w:cs="Arial"/>
              </w:rPr>
              <w:t>1.928</w:t>
            </w:r>
          </w:p>
        </w:tc>
        <w:tc>
          <w:tcPr>
            <w:tcW w:w="2372" w:type="dxa"/>
            <w:tcBorders>
              <w:top w:val="nil"/>
              <w:left w:val="nil"/>
              <w:bottom w:val="nil"/>
              <w:right w:val="nil"/>
            </w:tcBorders>
            <w:shd w:val="clear" w:color="auto" w:fill="auto"/>
            <w:tcMar>
              <w:top w:w="19" w:type="dxa"/>
              <w:left w:w="19" w:type="dxa"/>
              <w:bottom w:w="0" w:type="dxa"/>
              <w:right w:w="19" w:type="dxa"/>
            </w:tcMar>
            <w:vAlign w:val="center"/>
            <w:hideMark/>
          </w:tcPr>
          <w:p w14:paraId="1ADA3A29" w14:textId="77777777" w:rsidR="00B24F3C" w:rsidRPr="008500D2" w:rsidRDefault="00B24F3C" w:rsidP="00B24F3C">
            <w:pPr>
              <w:rPr>
                <w:rFonts w:cs="Arial"/>
              </w:rPr>
            </w:pPr>
            <w:r w:rsidRPr="008500D2">
              <w:rPr>
                <w:rFonts w:cs="Arial"/>
              </w:rPr>
              <w:t>0.4813</w:t>
            </w:r>
          </w:p>
        </w:tc>
      </w:tr>
      <w:tr w:rsidR="00B24F3C" w:rsidRPr="008500D2" w14:paraId="4C208A93" w14:textId="77777777" w:rsidTr="00B24F3C">
        <w:trPr>
          <w:trHeight w:val="317"/>
        </w:trPr>
        <w:tc>
          <w:tcPr>
            <w:tcW w:w="3604" w:type="dxa"/>
            <w:tcBorders>
              <w:top w:val="nil"/>
              <w:left w:val="nil"/>
              <w:bottom w:val="nil"/>
              <w:right w:val="nil"/>
            </w:tcBorders>
            <w:shd w:val="clear" w:color="auto" w:fill="auto"/>
            <w:tcMar>
              <w:top w:w="19" w:type="dxa"/>
              <w:left w:w="19" w:type="dxa"/>
              <w:bottom w:w="0" w:type="dxa"/>
              <w:right w:w="19" w:type="dxa"/>
            </w:tcMar>
            <w:vAlign w:val="center"/>
            <w:hideMark/>
          </w:tcPr>
          <w:p w14:paraId="36D39D2C" w14:textId="77777777" w:rsidR="00B24F3C" w:rsidRPr="008500D2" w:rsidRDefault="00B24F3C" w:rsidP="00B24F3C">
            <w:pPr>
              <w:rPr>
                <w:rFonts w:cs="Arial"/>
                <w:b/>
                <w:bCs/>
              </w:rPr>
            </w:pPr>
            <w:r w:rsidRPr="008500D2">
              <w:rPr>
                <w:rFonts w:cs="Arial"/>
                <w:b/>
                <w:bCs/>
              </w:rPr>
              <w:t>HBP signal intensity ratio of the liver</w:t>
            </w:r>
          </w:p>
        </w:tc>
        <w:tc>
          <w:tcPr>
            <w:tcW w:w="2371" w:type="dxa"/>
            <w:tcBorders>
              <w:top w:val="nil"/>
              <w:left w:val="nil"/>
              <w:bottom w:val="nil"/>
              <w:right w:val="nil"/>
            </w:tcBorders>
            <w:shd w:val="clear" w:color="auto" w:fill="auto"/>
            <w:tcMar>
              <w:top w:w="19" w:type="dxa"/>
              <w:left w:w="19" w:type="dxa"/>
              <w:bottom w:w="0" w:type="dxa"/>
              <w:right w:w="19" w:type="dxa"/>
            </w:tcMar>
            <w:vAlign w:val="center"/>
            <w:hideMark/>
          </w:tcPr>
          <w:p w14:paraId="6F418263" w14:textId="77777777" w:rsidR="00B24F3C" w:rsidRPr="008500D2" w:rsidRDefault="00B24F3C" w:rsidP="00B24F3C">
            <w:pPr>
              <w:rPr>
                <w:rFonts w:cs="Arial"/>
              </w:rPr>
            </w:pPr>
            <w:r w:rsidRPr="008500D2">
              <w:rPr>
                <w:rFonts w:cs="Arial"/>
              </w:rPr>
              <w:t>20.10</w:t>
            </w:r>
          </w:p>
        </w:tc>
        <w:tc>
          <w:tcPr>
            <w:tcW w:w="2372" w:type="dxa"/>
            <w:tcBorders>
              <w:top w:val="nil"/>
              <w:left w:val="nil"/>
              <w:bottom w:val="nil"/>
              <w:right w:val="nil"/>
            </w:tcBorders>
            <w:shd w:val="clear" w:color="auto" w:fill="auto"/>
            <w:tcMar>
              <w:top w:w="19" w:type="dxa"/>
              <w:left w:w="19" w:type="dxa"/>
              <w:bottom w:w="0" w:type="dxa"/>
              <w:right w:w="19" w:type="dxa"/>
            </w:tcMar>
            <w:vAlign w:val="center"/>
            <w:hideMark/>
          </w:tcPr>
          <w:p w14:paraId="3F341543" w14:textId="77777777" w:rsidR="00B24F3C" w:rsidRPr="008500D2" w:rsidRDefault="00B24F3C" w:rsidP="00B24F3C">
            <w:pPr>
              <w:rPr>
                <w:rFonts w:cs="Arial"/>
              </w:rPr>
            </w:pPr>
            <w:r w:rsidRPr="008500D2">
              <w:rPr>
                <w:rFonts w:cs="Arial"/>
              </w:rPr>
              <w:t>0.9503</w:t>
            </w:r>
          </w:p>
        </w:tc>
      </w:tr>
    </w:tbl>
    <w:p w14:paraId="1A6DF049" w14:textId="77777777" w:rsidR="00B24F3C" w:rsidRPr="008500D2" w:rsidRDefault="00B24F3C" w:rsidP="0077548B">
      <w:pPr>
        <w:rPr>
          <w:rFonts w:cs="Arial"/>
          <w:b/>
          <w:bCs/>
        </w:rPr>
      </w:pPr>
    </w:p>
    <w:p w14:paraId="6FCBBFE1" w14:textId="3E72CA0A" w:rsidR="00A64F85" w:rsidRPr="008500D2" w:rsidRDefault="003C10F6" w:rsidP="00B24F3C">
      <w:pPr>
        <w:rPr>
          <w:rFonts w:cs="Arial"/>
        </w:rPr>
      </w:pPr>
      <w:r w:rsidRPr="008500D2">
        <w:rPr>
          <w:rFonts w:cs="Arial"/>
          <w:b/>
          <w:bCs/>
        </w:rPr>
        <w:t>Note:</w:t>
      </w:r>
      <w:r w:rsidR="00B24F3C" w:rsidRPr="008500D2">
        <w:rPr>
          <w:rFonts w:cs="Arial"/>
        </w:rPr>
        <w:t xml:space="preserve"> The Child–Pugh classification was selected as the representative variable for liver reserve </w:t>
      </w:r>
      <w:proofErr w:type="spellStart"/>
      <w:r w:rsidR="00B24F3C" w:rsidRPr="008500D2">
        <w:rPr>
          <w:rFonts w:cs="Arial"/>
        </w:rPr>
        <w:t>func-tion</w:t>
      </w:r>
      <w:proofErr w:type="spellEnd"/>
      <w:r w:rsidR="00B24F3C" w:rsidRPr="008500D2">
        <w:rPr>
          <w:rFonts w:cs="Arial"/>
        </w:rPr>
        <w:t xml:space="preserve"> in the multivariate analysis. This decision was based on its variance inflation factor (VIF) being &lt; 10, indicating a lower multicollinearity risk among the identified significant variables. The serum albumin level, serum bilirubin level, albumin-bilirubin score, and background uptake all had VIF values &gt; 10.</w:t>
      </w:r>
    </w:p>
    <w:p w14:paraId="394DDDED" w14:textId="065E09EE" w:rsidR="00B24F3C" w:rsidRPr="008500D2" w:rsidRDefault="003C10F6" w:rsidP="00B24F3C">
      <w:pPr>
        <w:rPr>
          <w:rFonts w:cs="Arial"/>
          <w:b/>
          <w:bCs/>
          <w:lang w:bidi="en-US"/>
        </w:rPr>
      </w:pPr>
      <w:r w:rsidRPr="008500D2">
        <w:rPr>
          <w:rFonts w:cs="Arial"/>
          <w:b/>
          <w:bCs/>
        </w:rPr>
        <w:t>Table S2</w:t>
      </w:r>
      <w:r w:rsidR="00B24F3C" w:rsidRPr="008500D2">
        <w:rPr>
          <w:rFonts w:cs="Arial"/>
          <w:b/>
          <w:bCs/>
        </w:rPr>
        <w:t xml:space="preserve"> </w:t>
      </w:r>
      <w:r w:rsidR="00B24F3C" w:rsidRPr="008500D2">
        <w:rPr>
          <w:rFonts w:cs="Arial"/>
          <w:b/>
          <w:bCs/>
          <w:lang w:bidi="en-US"/>
        </w:rPr>
        <w:t>Comparative Univariable and Multivariable p-Values for PFS and OS</w:t>
      </w:r>
    </w:p>
    <w:tbl>
      <w:tblPr>
        <w:tblpPr w:leftFromText="142" w:rightFromText="142" w:vertAnchor="text" w:horzAnchor="margin" w:tblpXSpec="center" w:tblpY="-28"/>
        <w:tblW w:w="10784" w:type="dxa"/>
        <w:tblCellMar>
          <w:left w:w="0" w:type="dxa"/>
          <w:right w:w="0" w:type="dxa"/>
        </w:tblCellMar>
        <w:tblLook w:val="0600" w:firstRow="0" w:lastRow="0" w:firstColumn="0" w:lastColumn="0" w:noHBand="1" w:noVBand="1"/>
      </w:tblPr>
      <w:tblGrid>
        <w:gridCol w:w="4578"/>
        <w:gridCol w:w="1497"/>
        <w:gridCol w:w="1536"/>
        <w:gridCol w:w="1497"/>
        <w:gridCol w:w="1676"/>
      </w:tblGrid>
      <w:tr w:rsidR="00B24F3C" w:rsidRPr="008500D2" w14:paraId="420B3082" w14:textId="77777777" w:rsidTr="00A8011B">
        <w:trPr>
          <w:trHeight w:val="449"/>
        </w:trPr>
        <w:tc>
          <w:tcPr>
            <w:tcW w:w="4578" w:type="dxa"/>
            <w:vMerge w:val="restart"/>
            <w:tcBorders>
              <w:top w:val="single" w:sz="8" w:space="0" w:color="FFFFFF"/>
              <w:left w:val="single" w:sz="8" w:space="0" w:color="FFFFFF"/>
              <w:bottom w:val="single" w:sz="8" w:space="0" w:color="000000"/>
              <w:right w:val="nil"/>
            </w:tcBorders>
            <w:shd w:val="clear" w:color="auto" w:fill="auto"/>
            <w:tcMar>
              <w:top w:w="15" w:type="dxa"/>
              <w:left w:w="15" w:type="dxa"/>
              <w:bottom w:w="0" w:type="dxa"/>
              <w:right w:w="15" w:type="dxa"/>
            </w:tcMar>
            <w:vAlign w:val="center"/>
            <w:hideMark/>
          </w:tcPr>
          <w:p w14:paraId="07F9C92E"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lastRenderedPageBreak/>
              <w:t>Variables</w:t>
            </w:r>
          </w:p>
        </w:tc>
        <w:tc>
          <w:tcPr>
            <w:tcW w:w="3033" w:type="dxa"/>
            <w:gridSpan w:val="2"/>
            <w:tcBorders>
              <w:top w:val="single" w:sz="8" w:space="0" w:color="FFFFFF"/>
              <w:left w:val="nil"/>
              <w:bottom w:val="single" w:sz="8" w:space="0" w:color="000000"/>
              <w:right w:val="nil"/>
            </w:tcBorders>
            <w:shd w:val="clear" w:color="auto" w:fill="auto"/>
            <w:tcMar>
              <w:top w:w="15" w:type="dxa"/>
              <w:left w:w="15" w:type="dxa"/>
              <w:bottom w:w="0" w:type="dxa"/>
              <w:right w:w="15" w:type="dxa"/>
            </w:tcMar>
            <w:vAlign w:val="center"/>
            <w:hideMark/>
          </w:tcPr>
          <w:p w14:paraId="14A79E04"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Progression-Free Survival</w:t>
            </w:r>
          </w:p>
        </w:tc>
        <w:tc>
          <w:tcPr>
            <w:tcW w:w="3173" w:type="dxa"/>
            <w:gridSpan w:val="2"/>
            <w:tcBorders>
              <w:top w:val="single" w:sz="8" w:space="0" w:color="FFFFFF"/>
              <w:left w:val="nil"/>
              <w:bottom w:val="single" w:sz="8" w:space="0" w:color="000000"/>
              <w:right w:val="single" w:sz="8" w:space="0" w:color="FFFFFF"/>
            </w:tcBorders>
            <w:shd w:val="clear" w:color="auto" w:fill="auto"/>
            <w:tcMar>
              <w:top w:w="15" w:type="dxa"/>
              <w:left w:w="15" w:type="dxa"/>
              <w:bottom w:w="0" w:type="dxa"/>
              <w:right w:w="15" w:type="dxa"/>
            </w:tcMar>
            <w:vAlign w:val="center"/>
            <w:hideMark/>
          </w:tcPr>
          <w:p w14:paraId="7D65B62F" w14:textId="77777777" w:rsidR="00B24F3C" w:rsidRPr="008500D2" w:rsidRDefault="00B24F3C" w:rsidP="00A8011B">
            <w:pPr>
              <w:spacing w:line="240" w:lineRule="auto"/>
              <w:ind w:firstLine="210"/>
              <w:rPr>
                <w:rFonts w:eastAsia="Times New Roman" w:cs="Arial"/>
                <w:b/>
                <w:bCs/>
                <w:szCs w:val="20"/>
              </w:rPr>
            </w:pPr>
            <w:proofErr w:type="spellStart"/>
            <w:r w:rsidRPr="008500D2">
              <w:rPr>
                <w:rFonts w:eastAsia="Times New Roman" w:cs="Arial"/>
                <w:b/>
                <w:bCs/>
                <w:szCs w:val="20"/>
              </w:rPr>
              <w:t>Over all</w:t>
            </w:r>
            <w:proofErr w:type="spellEnd"/>
            <w:r w:rsidRPr="008500D2">
              <w:rPr>
                <w:rFonts w:eastAsia="Times New Roman" w:cs="Arial"/>
                <w:b/>
                <w:bCs/>
                <w:szCs w:val="20"/>
              </w:rPr>
              <w:t xml:space="preserve"> survival</w:t>
            </w:r>
          </w:p>
        </w:tc>
      </w:tr>
      <w:tr w:rsidR="00B24F3C" w:rsidRPr="008500D2" w14:paraId="6756A84A" w14:textId="77777777" w:rsidTr="00A8011B">
        <w:trPr>
          <w:trHeight w:val="449"/>
        </w:trPr>
        <w:tc>
          <w:tcPr>
            <w:tcW w:w="4578" w:type="dxa"/>
            <w:vMerge/>
            <w:tcBorders>
              <w:top w:val="single" w:sz="8" w:space="0" w:color="FFFFFF"/>
              <w:left w:val="single" w:sz="8" w:space="0" w:color="FFFFFF"/>
              <w:bottom w:val="single" w:sz="8" w:space="0" w:color="000000"/>
              <w:right w:val="nil"/>
            </w:tcBorders>
            <w:vAlign w:val="center"/>
            <w:hideMark/>
          </w:tcPr>
          <w:p w14:paraId="4250BE06" w14:textId="77777777" w:rsidR="00B24F3C" w:rsidRPr="008500D2" w:rsidRDefault="00B24F3C" w:rsidP="00A8011B">
            <w:pPr>
              <w:spacing w:line="240" w:lineRule="auto"/>
              <w:ind w:firstLine="210"/>
              <w:rPr>
                <w:rFonts w:eastAsia="Times New Roman" w:cs="Arial"/>
                <w:b/>
                <w:bCs/>
                <w:szCs w:val="20"/>
              </w:rPr>
            </w:pPr>
          </w:p>
        </w:tc>
        <w:tc>
          <w:tcPr>
            <w:tcW w:w="1497"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2E96BB01" w14:textId="77777777" w:rsidR="00B24F3C" w:rsidRPr="008500D2" w:rsidRDefault="00B24F3C" w:rsidP="00A8011B">
            <w:pPr>
              <w:spacing w:line="240" w:lineRule="auto"/>
              <w:ind w:firstLine="210"/>
              <w:jc w:val="center"/>
              <w:rPr>
                <w:rFonts w:eastAsia="Times New Roman" w:cs="Arial"/>
                <w:b/>
                <w:bCs/>
                <w:szCs w:val="20"/>
              </w:rPr>
            </w:pPr>
            <w:r w:rsidRPr="008500D2">
              <w:rPr>
                <w:rFonts w:eastAsia="Times New Roman" w:cs="Arial"/>
                <w:b/>
                <w:bCs/>
                <w:szCs w:val="20"/>
              </w:rPr>
              <w:t>Univariable</w:t>
            </w:r>
          </w:p>
          <w:p w14:paraId="6790F27F" w14:textId="77777777" w:rsidR="00B24F3C" w:rsidRPr="008500D2" w:rsidRDefault="00B24F3C" w:rsidP="00A8011B">
            <w:pPr>
              <w:spacing w:line="240" w:lineRule="auto"/>
              <w:ind w:firstLine="210"/>
              <w:jc w:val="center"/>
              <w:rPr>
                <w:rFonts w:eastAsia="Times New Roman" w:cs="Arial"/>
                <w:b/>
                <w:bCs/>
                <w:szCs w:val="20"/>
              </w:rPr>
            </w:pPr>
            <w:r w:rsidRPr="008500D2">
              <w:rPr>
                <w:rFonts w:eastAsia="Times New Roman" w:cs="Arial"/>
                <w:b/>
                <w:bCs/>
                <w:i/>
                <w:iCs/>
                <w:szCs w:val="20"/>
              </w:rPr>
              <w:t>p</w:t>
            </w:r>
            <w:r w:rsidRPr="008500D2">
              <w:rPr>
                <w:rFonts w:eastAsia="Times New Roman" w:cs="Arial"/>
                <w:b/>
                <w:bCs/>
                <w:szCs w:val="20"/>
              </w:rPr>
              <w:t>-value</w:t>
            </w:r>
          </w:p>
        </w:tc>
        <w:tc>
          <w:tcPr>
            <w:tcW w:w="1536"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EB3E9DF" w14:textId="77777777" w:rsidR="00B24F3C" w:rsidRPr="008500D2" w:rsidRDefault="00B24F3C" w:rsidP="00A8011B">
            <w:pPr>
              <w:spacing w:line="240" w:lineRule="auto"/>
              <w:ind w:firstLine="210"/>
              <w:jc w:val="center"/>
              <w:rPr>
                <w:rFonts w:eastAsia="Times New Roman" w:cs="Arial"/>
                <w:b/>
                <w:bCs/>
                <w:szCs w:val="20"/>
              </w:rPr>
            </w:pPr>
            <w:r w:rsidRPr="008500D2">
              <w:rPr>
                <w:rFonts w:eastAsia="Times New Roman" w:cs="Arial"/>
                <w:b/>
                <w:bCs/>
                <w:szCs w:val="20"/>
              </w:rPr>
              <w:t>Multivariable</w:t>
            </w:r>
          </w:p>
          <w:p w14:paraId="171FF3E5" w14:textId="77777777" w:rsidR="00B24F3C" w:rsidRPr="008500D2" w:rsidRDefault="00B24F3C" w:rsidP="00A8011B">
            <w:pPr>
              <w:spacing w:line="240" w:lineRule="auto"/>
              <w:ind w:firstLine="210"/>
              <w:jc w:val="center"/>
              <w:rPr>
                <w:rFonts w:eastAsia="Times New Roman" w:cs="Arial"/>
                <w:b/>
                <w:bCs/>
                <w:szCs w:val="20"/>
              </w:rPr>
            </w:pPr>
            <w:r w:rsidRPr="008500D2">
              <w:rPr>
                <w:rFonts w:eastAsia="Times New Roman" w:cs="Arial"/>
                <w:b/>
                <w:bCs/>
                <w:i/>
                <w:iCs/>
                <w:szCs w:val="20"/>
              </w:rPr>
              <w:t>p</w:t>
            </w:r>
            <w:r w:rsidRPr="008500D2">
              <w:rPr>
                <w:rFonts w:eastAsia="Times New Roman" w:cs="Arial"/>
                <w:b/>
                <w:bCs/>
                <w:szCs w:val="20"/>
              </w:rPr>
              <w:t>-value</w:t>
            </w:r>
          </w:p>
        </w:tc>
        <w:tc>
          <w:tcPr>
            <w:tcW w:w="1497" w:type="dxa"/>
            <w:tcBorders>
              <w:top w:val="single" w:sz="8" w:space="0" w:color="000000"/>
              <w:left w:val="nil"/>
              <w:bottom w:val="single" w:sz="8" w:space="0" w:color="000000"/>
              <w:right w:val="nil"/>
            </w:tcBorders>
            <w:shd w:val="clear" w:color="auto" w:fill="auto"/>
            <w:tcMar>
              <w:top w:w="15" w:type="dxa"/>
              <w:left w:w="15" w:type="dxa"/>
              <w:bottom w:w="0" w:type="dxa"/>
              <w:right w:w="15" w:type="dxa"/>
            </w:tcMar>
            <w:vAlign w:val="center"/>
            <w:hideMark/>
          </w:tcPr>
          <w:p w14:paraId="3FDC508A" w14:textId="77777777" w:rsidR="00B24F3C" w:rsidRPr="008500D2" w:rsidRDefault="00B24F3C" w:rsidP="00A8011B">
            <w:pPr>
              <w:spacing w:line="240" w:lineRule="auto"/>
              <w:ind w:firstLine="210"/>
              <w:jc w:val="center"/>
              <w:rPr>
                <w:rFonts w:eastAsia="Times New Roman" w:cs="Arial"/>
                <w:b/>
                <w:bCs/>
                <w:szCs w:val="20"/>
              </w:rPr>
            </w:pPr>
            <w:r w:rsidRPr="008500D2">
              <w:rPr>
                <w:rFonts w:eastAsia="Times New Roman" w:cs="Arial"/>
                <w:b/>
                <w:bCs/>
                <w:szCs w:val="20"/>
              </w:rPr>
              <w:t>Univariable</w:t>
            </w:r>
          </w:p>
          <w:p w14:paraId="020A8864" w14:textId="77777777" w:rsidR="00B24F3C" w:rsidRPr="008500D2" w:rsidRDefault="00B24F3C" w:rsidP="00A8011B">
            <w:pPr>
              <w:spacing w:line="240" w:lineRule="auto"/>
              <w:ind w:firstLine="210"/>
              <w:jc w:val="center"/>
              <w:rPr>
                <w:rFonts w:eastAsia="Times New Roman" w:cs="Arial"/>
                <w:b/>
                <w:bCs/>
                <w:szCs w:val="20"/>
              </w:rPr>
            </w:pPr>
            <w:r w:rsidRPr="008500D2">
              <w:rPr>
                <w:rFonts w:eastAsia="Times New Roman" w:cs="Arial"/>
                <w:b/>
                <w:bCs/>
                <w:i/>
                <w:iCs/>
                <w:szCs w:val="20"/>
              </w:rPr>
              <w:t>p</w:t>
            </w:r>
            <w:r w:rsidRPr="008500D2">
              <w:rPr>
                <w:rFonts w:eastAsia="Times New Roman" w:cs="Arial"/>
                <w:b/>
                <w:bCs/>
                <w:szCs w:val="20"/>
              </w:rPr>
              <w:t>-value</w:t>
            </w:r>
          </w:p>
        </w:tc>
        <w:tc>
          <w:tcPr>
            <w:tcW w:w="1676" w:type="dxa"/>
            <w:tcBorders>
              <w:top w:val="single" w:sz="8" w:space="0" w:color="000000"/>
              <w:left w:val="nil"/>
              <w:bottom w:val="single" w:sz="8" w:space="0" w:color="000000"/>
              <w:right w:val="single" w:sz="8" w:space="0" w:color="FFFFFF"/>
            </w:tcBorders>
            <w:shd w:val="clear" w:color="auto" w:fill="auto"/>
            <w:tcMar>
              <w:top w:w="15" w:type="dxa"/>
              <w:left w:w="15" w:type="dxa"/>
              <w:bottom w:w="0" w:type="dxa"/>
              <w:right w:w="15" w:type="dxa"/>
            </w:tcMar>
            <w:vAlign w:val="center"/>
            <w:hideMark/>
          </w:tcPr>
          <w:p w14:paraId="691F1807" w14:textId="77777777" w:rsidR="00B24F3C" w:rsidRPr="008500D2" w:rsidRDefault="00B24F3C" w:rsidP="00A8011B">
            <w:pPr>
              <w:spacing w:line="240" w:lineRule="auto"/>
              <w:ind w:firstLine="210"/>
              <w:jc w:val="center"/>
              <w:rPr>
                <w:rFonts w:eastAsia="Times New Roman" w:cs="Arial"/>
                <w:b/>
                <w:bCs/>
                <w:szCs w:val="20"/>
              </w:rPr>
            </w:pPr>
            <w:r w:rsidRPr="008500D2">
              <w:rPr>
                <w:rFonts w:eastAsia="Times New Roman" w:cs="Arial"/>
                <w:b/>
                <w:bCs/>
                <w:szCs w:val="20"/>
              </w:rPr>
              <w:t>Multivariable</w:t>
            </w:r>
          </w:p>
          <w:p w14:paraId="68E9AB1F" w14:textId="77777777" w:rsidR="00B24F3C" w:rsidRPr="008500D2" w:rsidRDefault="00B24F3C" w:rsidP="00A8011B">
            <w:pPr>
              <w:spacing w:line="240" w:lineRule="auto"/>
              <w:ind w:firstLine="210"/>
              <w:jc w:val="center"/>
              <w:rPr>
                <w:rFonts w:eastAsia="Times New Roman" w:cs="Arial"/>
                <w:b/>
                <w:bCs/>
                <w:szCs w:val="20"/>
              </w:rPr>
            </w:pPr>
            <w:r w:rsidRPr="008500D2">
              <w:rPr>
                <w:rFonts w:eastAsia="Times New Roman" w:cs="Arial"/>
                <w:b/>
                <w:bCs/>
                <w:i/>
                <w:iCs/>
                <w:szCs w:val="20"/>
              </w:rPr>
              <w:t>p</w:t>
            </w:r>
            <w:r w:rsidRPr="008500D2">
              <w:rPr>
                <w:rFonts w:eastAsia="Times New Roman" w:cs="Arial"/>
                <w:b/>
                <w:bCs/>
                <w:szCs w:val="20"/>
              </w:rPr>
              <w:t>-value</w:t>
            </w:r>
          </w:p>
        </w:tc>
      </w:tr>
      <w:tr w:rsidR="00B24F3C" w:rsidRPr="008500D2" w14:paraId="0EFD141E" w14:textId="77777777" w:rsidTr="00A8011B">
        <w:trPr>
          <w:trHeight w:val="449"/>
        </w:trPr>
        <w:tc>
          <w:tcPr>
            <w:tcW w:w="4578" w:type="dxa"/>
            <w:tcBorders>
              <w:top w:val="single" w:sz="8" w:space="0" w:color="000000"/>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02830B88"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Female Sex</w:t>
            </w:r>
          </w:p>
        </w:tc>
        <w:tc>
          <w:tcPr>
            <w:tcW w:w="1497" w:type="dxa"/>
            <w:tcBorders>
              <w:top w:val="single" w:sz="8" w:space="0" w:color="000000"/>
              <w:left w:val="nil"/>
              <w:bottom w:val="single" w:sz="8" w:space="0" w:color="FFFFFF"/>
              <w:right w:val="nil"/>
            </w:tcBorders>
            <w:shd w:val="clear" w:color="auto" w:fill="auto"/>
            <w:tcMar>
              <w:top w:w="15" w:type="dxa"/>
              <w:left w:w="15" w:type="dxa"/>
              <w:bottom w:w="0" w:type="dxa"/>
              <w:right w:w="15" w:type="dxa"/>
            </w:tcMar>
            <w:vAlign w:val="center"/>
            <w:hideMark/>
          </w:tcPr>
          <w:p w14:paraId="785E226A"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.05</w:t>
            </w:r>
          </w:p>
        </w:tc>
        <w:tc>
          <w:tcPr>
            <w:tcW w:w="1536" w:type="dxa"/>
            <w:tcBorders>
              <w:top w:val="single" w:sz="8" w:space="0" w:color="000000"/>
              <w:left w:val="nil"/>
              <w:bottom w:val="single" w:sz="8" w:space="0" w:color="FFFFFF"/>
              <w:right w:val="nil"/>
            </w:tcBorders>
            <w:shd w:val="clear" w:color="auto" w:fill="auto"/>
            <w:tcMar>
              <w:top w:w="15" w:type="dxa"/>
              <w:left w:w="15" w:type="dxa"/>
              <w:bottom w:w="0" w:type="dxa"/>
              <w:right w:w="15" w:type="dxa"/>
            </w:tcMar>
            <w:vAlign w:val="center"/>
            <w:hideMark/>
          </w:tcPr>
          <w:p w14:paraId="4E5B3DB0" w14:textId="77777777" w:rsidR="00B24F3C" w:rsidRPr="008500D2" w:rsidRDefault="00B24F3C" w:rsidP="00A8011B">
            <w:pPr>
              <w:spacing w:line="240" w:lineRule="auto"/>
              <w:ind w:firstLine="210"/>
              <w:rPr>
                <w:rFonts w:eastAsia="Times New Roman" w:cs="Arial"/>
                <w:szCs w:val="20"/>
              </w:rPr>
            </w:pPr>
          </w:p>
        </w:tc>
        <w:tc>
          <w:tcPr>
            <w:tcW w:w="1497" w:type="dxa"/>
            <w:tcBorders>
              <w:top w:val="single" w:sz="8" w:space="0" w:color="000000"/>
              <w:left w:val="nil"/>
              <w:bottom w:val="single" w:sz="8" w:space="0" w:color="FFFFFF"/>
              <w:right w:val="nil"/>
            </w:tcBorders>
            <w:shd w:val="clear" w:color="auto" w:fill="auto"/>
            <w:tcMar>
              <w:top w:w="15" w:type="dxa"/>
              <w:left w:w="15" w:type="dxa"/>
              <w:bottom w:w="0" w:type="dxa"/>
              <w:right w:w="15" w:type="dxa"/>
            </w:tcMar>
            <w:vAlign w:val="center"/>
            <w:hideMark/>
          </w:tcPr>
          <w:p w14:paraId="1D5A5930"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.87</w:t>
            </w:r>
          </w:p>
        </w:tc>
        <w:tc>
          <w:tcPr>
            <w:tcW w:w="1676" w:type="dxa"/>
            <w:tcBorders>
              <w:top w:val="single" w:sz="8" w:space="0" w:color="000000"/>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E1C4E85" w14:textId="77777777" w:rsidR="00B24F3C" w:rsidRPr="008500D2" w:rsidRDefault="00B24F3C" w:rsidP="00A8011B">
            <w:pPr>
              <w:spacing w:line="240" w:lineRule="auto"/>
              <w:ind w:firstLine="210"/>
              <w:rPr>
                <w:rFonts w:eastAsia="Times New Roman" w:cs="Arial"/>
                <w:szCs w:val="20"/>
              </w:rPr>
            </w:pPr>
          </w:p>
        </w:tc>
      </w:tr>
      <w:tr w:rsidR="00B24F3C" w:rsidRPr="008500D2" w14:paraId="68F6E574"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1DF98789"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Age</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08D154EF"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.16</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61B41735" w14:textId="77777777" w:rsidR="00B24F3C" w:rsidRPr="008500D2" w:rsidRDefault="00B24F3C" w:rsidP="00A8011B">
            <w:pPr>
              <w:spacing w:line="240" w:lineRule="auto"/>
              <w:ind w:firstLine="210"/>
              <w:rPr>
                <w:rFonts w:eastAsia="Times New Roman" w:cs="Arial"/>
                <w:szCs w:val="20"/>
              </w:rPr>
            </w:pP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54EB49E8"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.29</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17F3A92" w14:textId="77777777" w:rsidR="00B24F3C" w:rsidRPr="008500D2" w:rsidRDefault="00B24F3C" w:rsidP="00A8011B">
            <w:pPr>
              <w:spacing w:line="240" w:lineRule="auto"/>
              <w:ind w:firstLine="210"/>
              <w:rPr>
                <w:rFonts w:eastAsia="Times New Roman" w:cs="Arial"/>
                <w:szCs w:val="20"/>
              </w:rPr>
            </w:pPr>
          </w:p>
        </w:tc>
      </w:tr>
      <w:tr w:rsidR="00B24F3C" w:rsidRPr="008500D2" w14:paraId="61DF0CE1"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62CD7AFD"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Hepatitis B or C</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7FF432AB"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.07</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5648C680" w14:textId="77777777" w:rsidR="00B24F3C" w:rsidRPr="008500D2" w:rsidRDefault="00B24F3C" w:rsidP="00A8011B">
            <w:pPr>
              <w:spacing w:line="240" w:lineRule="auto"/>
              <w:ind w:firstLine="210"/>
              <w:rPr>
                <w:rFonts w:eastAsia="Times New Roman" w:cs="Arial"/>
                <w:szCs w:val="20"/>
              </w:rPr>
            </w:pP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40F40A6C"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.61</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D40969E" w14:textId="77777777" w:rsidR="00B24F3C" w:rsidRPr="008500D2" w:rsidRDefault="00B24F3C" w:rsidP="00A8011B">
            <w:pPr>
              <w:spacing w:line="240" w:lineRule="auto"/>
              <w:ind w:firstLine="210"/>
              <w:rPr>
                <w:rFonts w:eastAsia="Times New Roman" w:cs="Arial"/>
                <w:szCs w:val="20"/>
              </w:rPr>
            </w:pPr>
          </w:p>
        </w:tc>
      </w:tr>
      <w:tr w:rsidR="00B24F3C" w:rsidRPr="008500D2" w14:paraId="1637EDDE"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44FDF9B7"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Child–Pugh classification B</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5E61C37C"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.52</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67955C5D" w14:textId="77777777" w:rsidR="00B24F3C" w:rsidRPr="008500D2" w:rsidRDefault="00B24F3C" w:rsidP="00A8011B">
            <w:pPr>
              <w:spacing w:line="240" w:lineRule="auto"/>
              <w:ind w:firstLine="210"/>
              <w:rPr>
                <w:rFonts w:eastAsia="Times New Roman" w:cs="Arial"/>
                <w:szCs w:val="20"/>
              </w:rPr>
            </w:pP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68054056"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.01</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C821A4E"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.01</w:t>
            </w:r>
          </w:p>
        </w:tc>
      </w:tr>
      <w:tr w:rsidR="00B24F3C" w:rsidRPr="008500D2" w14:paraId="65AD870B"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7AAD14B8" w14:textId="77777777" w:rsidR="00B24F3C" w:rsidRPr="008500D2" w:rsidRDefault="00B24F3C" w:rsidP="00A8011B">
            <w:pPr>
              <w:spacing w:line="240" w:lineRule="auto"/>
              <w:ind w:firstLine="210"/>
              <w:rPr>
                <w:rFonts w:eastAsia="ＭＳ 明朝" w:cs="Arial"/>
                <w:b/>
                <w:bCs/>
                <w:szCs w:val="20"/>
                <w:lang w:eastAsia="ja-JP"/>
              </w:rPr>
            </w:pPr>
            <w:r w:rsidRPr="008500D2">
              <w:rPr>
                <w:rFonts w:eastAsia="Times New Roman" w:cs="Arial"/>
                <w:b/>
                <w:bCs/>
                <w:szCs w:val="20"/>
              </w:rPr>
              <w:t>BCLC A</w:t>
            </w:r>
            <w:r w:rsidRPr="008500D2">
              <w:rPr>
                <w:rFonts w:eastAsia="Times New Roman" w:cs="Arial"/>
                <w:b/>
                <w:bCs/>
                <w:szCs w:val="20"/>
                <w:lang w:eastAsia="ja-JP"/>
              </w:rPr>
              <w:t xml:space="preserve"> (ref. 0)</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5D00C416"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.02</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016F79E8"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.08</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2CA45AB3"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.91</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8385F51" w14:textId="77777777" w:rsidR="00B24F3C" w:rsidRPr="008500D2" w:rsidRDefault="00B24F3C" w:rsidP="00A8011B">
            <w:pPr>
              <w:spacing w:line="240" w:lineRule="auto"/>
              <w:ind w:firstLine="210"/>
              <w:rPr>
                <w:rFonts w:eastAsia="Times New Roman" w:cs="Arial"/>
                <w:szCs w:val="20"/>
              </w:rPr>
            </w:pPr>
          </w:p>
        </w:tc>
      </w:tr>
      <w:tr w:rsidR="00B24F3C" w:rsidRPr="008500D2" w14:paraId="43F57B48"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4D22A6A2"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BCLC B (ref. 0)</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455F756F"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&lt; .001</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7A290254"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.003</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124B5D02"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.10</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03BDF61" w14:textId="77777777" w:rsidR="00B24F3C" w:rsidRPr="008500D2" w:rsidRDefault="00B24F3C" w:rsidP="00A8011B">
            <w:pPr>
              <w:spacing w:line="240" w:lineRule="auto"/>
              <w:ind w:firstLine="210"/>
              <w:rPr>
                <w:rFonts w:eastAsia="Times New Roman" w:cs="Arial"/>
                <w:szCs w:val="20"/>
              </w:rPr>
            </w:pPr>
          </w:p>
        </w:tc>
      </w:tr>
      <w:tr w:rsidR="00B24F3C" w:rsidRPr="008500D2" w14:paraId="4ADB31B9"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3B875A7D"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Up to seven beyond</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52A74560"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&lt; .001</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761D5727"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.77</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5EA566DB"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&lt; .001</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A67CAC9"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.03</w:t>
            </w:r>
          </w:p>
        </w:tc>
      </w:tr>
      <w:tr w:rsidR="00B24F3C" w:rsidRPr="008500D2" w14:paraId="45DD92EF"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560F6298"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5-5-500 beyond</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274639A3"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.01</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4C1DE294"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.78</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318A22BB"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&lt; .001</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B63270B"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.78</w:t>
            </w:r>
          </w:p>
        </w:tc>
      </w:tr>
      <w:tr w:rsidR="00B24F3C" w:rsidRPr="008500D2" w14:paraId="039925F3"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605AAEAB"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Serum Alb level</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11EBB9C7"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.40</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1B42D11A" w14:textId="77777777" w:rsidR="00B24F3C" w:rsidRPr="008500D2" w:rsidRDefault="00B24F3C" w:rsidP="00A8011B">
            <w:pPr>
              <w:spacing w:line="240" w:lineRule="auto"/>
              <w:ind w:firstLine="210"/>
              <w:rPr>
                <w:rFonts w:eastAsia="Times New Roman" w:cs="Arial"/>
                <w:szCs w:val="20"/>
              </w:rPr>
            </w:pP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6D5C82B2"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&lt; .001</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110EE5F8" w14:textId="77777777" w:rsidR="00B24F3C" w:rsidRPr="008500D2" w:rsidRDefault="00B24F3C" w:rsidP="00A8011B">
            <w:pPr>
              <w:spacing w:line="240" w:lineRule="auto"/>
              <w:ind w:firstLine="210"/>
              <w:rPr>
                <w:rFonts w:eastAsia="Times New Roman" w:cs="Arial"/>
                <w:szCs w:val="20"/>
              </w:rPr>
            </w:pPr>
          </w:p>
        </w:tc>
      </w:tr>
      <w:tr w:rsidR="00B24F3C" w:rsidRPr="008500D2" w14:paraId="4CC044B2"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2551A05D"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 xml:space="preserve">Serum </w:t>
            </w:r>
            <w:proofErr w:type="spellStart"/>
            <w:r w:rsidRPr="008500D2">
              <w:rPr>
                <w:rFonts w:eastAsia="Times New Roman" w:cs="Arial"/>
                <w:b/>
                <w:bCs/>
                <w:szCs w:val="20"/>
              </w:rPr>
              <w:t>Bil</w:t>
            </w:r>
            <w:proofErr w:type="spellEnd"/>
            <w:r w:rsidRPr="008500D2">
              <w:rPr>
                <w:rFonts w:eastAsia="Times New Roman" w:cs="Arial"/>
                <w:b/>
                <w:bCs/>
                <w:szCs w:val="20"/>
              </w:rPr>
              <w:t xml:space="preserve"> level</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4781D565"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.57</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5AE453B7" w14:textId="77777777" w:rsidR="00B24F3C" w:rsidRPr="008500D2" w:rsidRDefault="00B24F3C" w:rsidP="00A8011B">
            <w:pPr>
              <w:spacing w:line="240" w:lineRule="auto"/>
              <w:ind w:firstLine="210"/>
              <w:rPr>
                <w:rFonts w:eastAsia="Times New Roman" w:cs="Arial"/>
                <w:szCs w:val="20"/>
              </w:rPr>
            </w:pP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046C6D06"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.04</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4E9F34FA" w14:textId="77777777" w:rsidR="00B24F3C" w:rsidRPr="008500D2" w:rsidRDefault="00B24F3C" w:rsidP="00A8011B">
            <w:pPr>
              <w:spacing w:line="240" w:lineRule="auto"/>
              <w:ind w:firstLine="210"/>
              <w:rPr>
                <w:rFonts w:eastAsia="Times New Roman" w:cs="Arial"/>
                <w:szCs w:val="20"/>
              </w:rPr>
            </w:pPr>
          </w:p>
        </w:tc>
      </w:tr>
      <w:tr w:rsidR="00B24F3C" w:rsidRPr="008500D2" w14:paraId="40871DCE"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07182D65"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ALBI score</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45922F2B"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.56</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1428564C" w14:textId="77777777" w:rsidR="00B24F3C" w:rsidRPr="008500D2" w:rsidRDefault="00B24F3C" w:rsidP="00A8011B">
            <w:pPr>
              <w:spacing w:line="240" w:lineRule="auto"/>
              <w:ind w:firstLine="210"/>
              <w:rPr>
                <w:rFonts w:eastAsia="Times New Roman" w:cs="Arial"/>
                <w:szCs w:val="20"/>
              </w:rPr>
            </w:pP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6A8354A2"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&lt; .001</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4B52BF71" w14:textId="77777777" w:rsidR="00B24F3C" w:rsidRPr="008500D2" w:rsidRDefault="00B24F3C" w:rsidP="00A8011B">
            <w:pPr>
              <w:spacing w:line="240" w:lineRule="auto"/>
              <w:ind w:firstLine="210"/>
              <w:rPr>
                <w:rFonts w:eastAsia="Times New Roman" w:cs="Arial"/>
                <w:szCs w:val="20"/>
              </w:rPr>
            </w:pPr>
          </w:p>
        </w:tc>
      </w:tr>
      <w:tr w:rsidR="00B24F3C" w:rsidRPr="008500D2" w14:paraId="6A58ECC5"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1A8F33D1"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Serum AFP level</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02C39373"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.19</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23FC50EF" w14:textId="77777777" w:rsidR="00B24F3C" w:rsidRPr="008500D2" w:rsidRDefault="00B24F3C" w:rsidP="00A8011B">
            <w:pPr>
              <w:spacing w:line="240" w:lineRule="auto"/>
              <w:ind w:firstLine="210"/>
              <w:rPr>
                <w:rFonts w:eastAsia="Times New Roman" w:cs="Arial"/>
                <w:szCs w:val="20"/>
              </w:rPr>
            </w:pP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21B9B679"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.15</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C99FBAC" w14:textId="77777777" w:rsidR="00B24F3C" w:rsidRPr="008500D2" w:rsidRDefault="00B24F3C" w:rsidP="00A8011B">
            <w:pPr>
              <w:spacing w:line="240" w:lineRule="auto"/>
              <w:ind w:firstLine="210"/>
              <w:rPr>
                <w:rFonts w:eastAsia="Times New Roman" w:cs="Arial"/>
                <w:szCs w:val="20"/>
              </w:rPr>
            </w:pPr>
          </w:p>
        </w:tc>
      </w:tr>
      <w:tr w:rsidR="00B24F3C" w:rsidRPr="008500D2" w14:paraId="78CBBE59"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708021FF"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Serum PIVKA-II level</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7EA52B12"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.55</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2172400F" w14:textId="77777777" w:rsidR="00B24F3C" w:rsidRPr="008500D2" w:rsidRDefault="00B24F3C" w:rsidP="00A8011B">
            <w:pPr>
              <w:spacing w:line="240" w:lineRule="auto"/>
              <w:ind w:firstLine="210"/>
              <w:rPr>
                <w:rFonts w:eastAsia="Times New Roman" w:cs="Arial"/>
                <w:szCs w:val="20"/>
              </w:rPr>
            </w:pP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3710564B"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&lt; .001</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8CB42BB"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.004</w:t>
            </w:r>
          </w:p>
        </w:tc>
      </w:tr>
      <w:tr w:rsidR="00B24F3C" w:rsidRPr="008500D2" w14:paraId="0CDF740E"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3B5241EF"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HBP signal intensity ratio of the liver</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5DB8535A"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.66</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03628242" w14:textId="77777777" w:rsidR="00B24F3C" w:rsidRPr="008500D2" w:rsidRDefault="00B24F3C" w:rsidP="00A8011B">
            <w:pPr>
              <w:spacing w:line="240" w:lineRule="auto"/>
              <w:ind w:firstLine="210"/>
              <w:rPr>
                <w:rFonts w:eastAsia="Times New Roman" w:cs="Arial"/>
                <w:szCs w:val="20"/>
              </w:rPr>
            </w:pP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752BDA4A"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.005</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E62518E" w14:textId="77777777" w:rsidR="00B24F3C" w:rsidRPr="008500D2" w:rsidRDefault="00B24F3C" w:rsidP="00A8011B">
            <w:pPr>
              <w:spacing w:line="240" w:lineRule="auto"/>
              <w:ind w:firstLine="210"/>
              <w:rPr>
                <w:rFonts w:eastAsia="Times New Roman" w:cs="Arial"/>
                <w:szCs w:val="20"/>
              </w:rPr>
            </w:pPr>
          </w:p>
        </w:tc>
      </w:tr>
      <w:tr w:rsidR="00B24F3C" w:rsidRPr="008500D2" w14:paraId="32C59ABA"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7373EACA"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HBP high signal intensity of all nodules</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41033FF1"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.02</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34B8E46E"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.14</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34202EAC"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.02</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1AB46BD"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.045</w:t>
            </w:r>
          </w:p>
        </w:tc>
      </w:tr>
      <w:tr w:rsidR="00B24F3C" w:rsidRPr="008500D2" w14:paraId="64655F35"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61CD91C8"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Any HCCs in central zone</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265E990C"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.006</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162230B6"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.15</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38B3774E"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.05</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57F4C639" w14:textId="77777777" w:rsidR="00B24F3C" w:rsidRPr="008500D2" w:rsidRDefault="00B24F3C" w:rsidP="00A8011B">
            <w:pPr>
              <w:spacing w:line="240" w:lineRule="auto"/>
              <w:ind w:firstLine="210"/>
              <w:rPr>
                <w:rFonts w:eastAsia="Times New Roman" w:cs="Arial"/>
                <w:szCs w:val="20"/>
              </w:rPr>
            </w:pPr>
          </w:p>
        </w:tc>
      </w:tr>
      <w:tr w:rsidR="00B24F3C" w:rsidRPr="008500D2" w14:paraId="0038B21A"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200260AD"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Group E (ref. Group L)</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1643A052"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&lt; .001</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3B6A2A9A"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.01</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72F1345A"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&lt; .001</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2A725BCE"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.004</w:t>
            </w:r>
          </w:p>
        </w:tc>
      </w:tr>
      <w:tr w:rsidR="00B24F3C" w:rsidRPr="008500D2" w14:paraId="691E9902"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1A152EC5"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Split ss-</w:t>
            </w:r>
            <w:proofErr w:type="spellStart"/>
            <w:r w:rsidRPr="008500D2">
              <w:rPr>
                <w:rFonts w:eastAsia="Times New Roman" w:cs="Arial"/>
                <w:b/>
                <w:bCs/>
                <w:szCs w:val="20"/>
              </w:rPr>
              <w:t>cTACE</w:t>
            </w:r>
            <w:proofErr w:type="spellEnd"/>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39AFEC32"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.001</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2D051DF4"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.47</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385AD2E3"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.006</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0F591F9E"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.13</w:t>
            </w:r>
          </w:p>
        </w:tc>
      </w:tr>
      <w:tr w:rsidR="00B24F3C" w:rsidRPr="008500D2" w14:paraId="419632CD"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55E0CCCC"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Non-application of RFA following ss-</w:t>
            </w:r>
            <w:proofErr w:type="spellStart"/>
            <w:r w:rsidRPr="008500D2">
              <w:rPr>
                <w:rFonts w:eastAsia="Times New Roman" w:cs="Arial"/>
                <w:b/>
                <w:bCs/>
                <w:szCs w:val="20"/>
              </w:rPr>
              <w:t>cTACE</w:t>
            </w:r>
            <w:proofErr w:type="spellEnd"/>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2C1D9D9B"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.048</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07340194"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.34</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712D3C11"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N.A.</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F6645F1" w14:textId="77777777" w:rsidR="00B24F3C" w:rsidRPr="008500D2" w:rsidRDefault="00B24F3C" w:rsidP="00A8011B">
            <w:pPr>
              <w:spacing w:line="240" w:lineRule="auto"/>
              <w:ind w:firstLine="210"/>
              <w:rPr>
                <w:rFonts w:eastAsia="Times New Roman" w:cs="Arial"/>
                <w:szCs w:val="20"/>
              </w:rPr>
            </w:pPr>
          </w:p>
        </w:tc>
      </w:tr>
      <w:tr w:rsidR="00B24F3C" w:rsidRPr="008500D2" w14:paraId="6E863456"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3A27ACE1"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Combination ss-</w:t>
            </w:r>
            <w:proofErr w:type="spellStart"/>
            <w:r w:rsidRPr="008500D2">
              <w:rPr>
                <w:rFonts w:eastAsia="Times New Roman" w:cs="Arial"/>
                <w:b/>
                <w:bCs/>
                <w:szCs w:val="20"/>
              </w:rPr>
              <w:t>cTACE</w:t>
            </w:r>
            <w:proofErr w:type="spellEnd"/>
            <w:r w:rsidRPr="008500D2">
              <w:rPr>
                <w:rFonts w:eastAsia="Times New Roman" w:cs="Arial"/>
                <w:b/>
                <w:bCs/>
                <w:szCs w:val="20"/>
              </w:rPr>
              <w:t xml:space="preserve"> and RFA</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1F1FF561"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N.A.</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28154236" w14:textId="77777777" w:rsidR="00B24F3C" w:rsidRPr="008500D2" w:rsidRDefault="00B24F3C" w:rsidP="00A8011B">
            <w:pPr>
              <w:spacing w:line="240" w:lineRule="auto"/>
              <w:ind w:firstLine="210"/>
              <w:rPr>
                <w:rFonts w:eastAsia="Times New Roman" w:cs="Arial"/>
                <w:szCs w:val="20"/>
              </w:rPr>
            </w:pP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5299DF64"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.005</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41BEDFF"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.32</w:t>
            </w:r>
          </w:p>
        </w:tc>
      </w:tr>
      <w:tr w:rsidR="00B24F3C" w:rsidRPr="008500D2" w14:paraId="56F0B6B5"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2D92CC3E"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Observation of Untreated lesion</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73B229E2"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.38</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14FDA842" w14:textId="77777777" w:rsidR="00B24F3C" w:rsidRPr="008500D2" w:rsidRDefault="00B24F3C" w:rsidP="00A8011B">
            <w:pPr>
              <w:spacing w:line="240" w:lineRule="auto"/>
              <w:ind w:firstLine="210"/>
              <w:rPr>
                <w:rFonts w:eastAsia="Times New Roman" w:cs="Arial"/>
                <w:szCs w:val="20"/>
              </w:rPr>
            </w:pP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622CA7D8"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.80</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662FE853" w14:textId="77777777" w:rsidR="00B24F3C" w:rsidRPr="008500D2" w:rsidRDefault="00B24F3C" w:rsidP="00A8011B">
            <w:pPr>
              <w:spacing w:line="240" w:lineRule="auto"/>
              <w:ind w:firstLine="210"/>
              <w:rPr>
                <w:rFonts w:eastAsia="Times New Roman" w:cs="Arial"/>
                <w:szCs w:val="20"/>
              </w:rPr>
            </w:pPr>
          </w:p>
        </w:tc>
      </w:tr>
      <w:tr w:rsidR="00B24F3C" w:rsidRPr="008500D2" w14:paraId="79E9C5EF"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6B9E0F93"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Molecular target therapy</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29C861BB"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N.A.</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075A08FF" w14:textId="77777777" w:rsidR="00B24F3C" w:rsidRPr="008500D2" w:rsidRDefault="00B24F3C" w:rsidP="00A8011B">
            <w:pPr>
              <w:spacing w:line="240" w:lineRule="auto"/>
              <w:ind w:firstLine="210"/>
              <w:rPr>
                <w:rFonts w:eastAsia="Times New Roman" w:cs="Arial"/>
                <w:szCs w:val="20"/>
              </w:rPr>
            </w:pP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2417CBBF"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.21</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3FF01F33" w14:textId="77777777" w:rsidR="00B24F3C" w:rsidRPr="008500D2" w:rsidRDefault="00B24F3C" w:rsidP="00A8011B">
            <w:pPr>
              <w:spacing w:line="240" w:lineRule="auto"/>
              <w:ind w:firstLine="210"/>
              <w:rPr>
                <w:rFonts w:eastAsia="Times New Roman" w:cs="Arial"/>
                <w:szCs w:val="20"/>
              </w:rPr>
            </w:pPr>
          </w:p>
        </w:tc>
      </w:tr>
      <w:tr w:rsidR="00B24F3C" w:rsidRPr="008500D2" w14:paraId="392BEB38" w14:textId="77777777" w:rsidTr="00A8011B">
        <w:trPr>
          <w:trHeight w:val="449"/>
        </w:trPr>
        <w:tc>
          <w:tcPr>
            <w:tcW w:w="4578" w:type="dxa"/>
            <w:tcBorders>
              <w:top w:val="single" w:sz="8" w:space="0" w:color="FFFFFF"/>
              <w:left w:val="single" w:sz="8" w:space="0" w:color="FFFFFF"/>
              <w:bottom w:val="single" w:sz="8" w:space="0" w:color="FFFFFF"/>
              <w:right w:val="nil"/>
            </w:tcBorders>
            <w:shd w:val="clear" w:color="auto" w:fill="auto"/>
            <w:tcMar>
              <w:top w:w="15" w:type="dxa"/>
              <w:left w:w="15" w:type="dxa"/>
              <w:bottom w:w="0" w:type="dxa"/>
              <w:right w:w="15" w:type="dxa"/>
            </w:tcMar>
            <w:vAlign w:val="center"/>
            <w:hideMark/>
          </w:tcPr>
          <w:p w14:paraId="185B5CEF" w14:textId="77777777" w:rsidR="00B24F3C" w:rsidRPr="008500D2" w:rsidRDefault="00B24F3C" w:rsidP="00A8011B">
            <w:pPr>
              <w:spacing w:line="240" w:lineRule="auto"/>
              <w:ind w:firstLine="210"/>
              <w:rPr>
                <w:rFonts w:eastAsia="Times New Roman" w:cs="Arial"/>
                <w:b/>
                <w:bCs/>
                <w:szCs w:val="20"/>
              </w:rPr>
            </w:pPr>
            <w:r w:rsidRPr="008500D2">
              <w:rPr>
                <w:rFonts w:eastAsia="Times New Roman" w:cs="Arial"/>
                <w:b/>
                <w:bCs/>
                <w:szCs w:val="20"/>
              </w:rPr>
              <w:t>Whole-liver therapy</w:t>
            </w: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04090116"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N.A.</w:t>
            </w:r>
          </w:p>
        </w:tc>
        <w:tc>
          <w:tcPr>
            <w:tcW w:w="1536"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687B6EAC" w14:textId="77777777" w:rsidR="00B24F3C" w:rsidRPr="008500D2" w:rsidRDefault="00B24F3C" w:rsidP="00A8011B">
            <w:pPr>
              <w:spacing w:line="240" w:lineRule="auto"/>
              <w:ind w:firstLine="210"/>
              <w:rPr>
                <w:rFonts w:eastAsia="Times New Roman" w:cs="Arial"/>
                <w:szCs w:val="20"/>
              </w:rPr>
            </w:pPr>
          </w:p>
        </w:tc>
        <w:tc>
          <w:tcPr>
            <w:tcW w:w="1497" w:type="dxa"/>
            <w:tcBorders>
              <w:top w:val="single" w:sz="8" w:space="0" w:color="FFFFFF"/>
              <w:left w:val="nil"/>
              <w:bottom w:val="single" w:sz="8" w:space="0" w:color="FFFFFF"/>
              <w:right w:val="nil"/>
            </w:tcBorders>
            <w:shd w:val="clear" w:color="auto" w:fill="auto"/>
            <w:tcMar>
              <w:top w:w="15" w:type="dxa"/>
              <w:left w:w="15" w:type="dxa"/>
              <w:bottom w:w="0" w:type="dxa"/>
              <w:right w:w="15" w:type="dxa"/>
            </w:tcMar>
            <w:vAlign w:val="center"/>
            <w:hideMark/>
          </w:tcPr>
          <w:p w14:paraId="6251B9D6"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.03</w:t>
            </w:r>
          </w:p>
        </w:tc>
        <w:tc>
          <w:tcPr>
            <w:tcW w:w="1676" w:type="dxa"/>
            <w:tcBorders>
              <w:top w:val="single" w:sz="8" w:space="0" w:color="FFFFFF"/>
              <w:left w:val="nil"/>
              <w:bottom w:val="single" w:sz="8" w:space="0" w:color="FFFFFF"/>
              <w:right w:val="single" w:sz="8" w:space="0" w:color="FFFFFF"/>
            </w:tcBorders>
            <w:shd w:val="clear" w:color="auto" w:fill="auto"/>
            <w:tcMar>
              <w:top w:w="15" w:type="dxa"/>
              <w:left w:w="15" w:type="dxa"/>
              <w:bottom w:w="0" w:type="dxa"/>
              <w:right w:w="15" w:type="dxa"/>
            </w:tcMar>
            <w:vAlign w:val="center"/>
            <w:hideMark/>
          </w:tcPr>
          <w:p w14:paraId="74534285" w14:textId="77777777" w:rsidR="00B24F3C" w:rsidRPr="008500D2" w:rsidRDefault="00B24F3C" w:rsidP="00A8011B">
            <w:pPr>
              <w:spacing w:line="240" w:lineRule="auto"/>
              <w:ind w:firstLine="210"/>
              <w:rPr>
                <w:rFonts w:eastAsia="Times New Roman" w:cs="Arial"/>
                <w:szCs w:val="20"/>
              </w:rPr>
            </w:pPr>
            <w:r w:rsidRPr="008500D2">
              <w:rPr>
                <w:rFonts w:eastAsia="Times New Roman" w:cs="Arial"/>
                <w:szCs w:val="20"/>
              </w:rPr>
              <w:t xml:space="preserve"> .05</w:t>
            </w:r>
          </w:p>
        </w:tc>
      </w:tr>
    </w:tbl>
    <w:p w14:paraId="60B29F7B" w14:textId="087A043D" w:rsidR="003C10F6" w:rsidRPr="008500D2" w:rsidRDefault="003C10F6" w:rsidP="00EE0017">
      <w:pPr>
        <w:rPr>
          <w:rFonts w:cs="Arial"/>
          <w:b/>
          <w:bCs/>
          <w:szCs w:val="20"/>
        </w:rPr>
      </w:pPr>
    </w:p>
    <w:p w14:paraId="4C2773FE" w14:textId="36B6D8B2" w:rsidR="003C10F6" w:rsidRPr="008500D2" w:rsidRDefault="003C10F6" w:rsidP="00EE0017">
      <w:pPr>
        <w:rPr>
          <w:rFonts w:cs="Arial"/>
          <w:b/>
          <w:bCs/>
          <w:lang w:bidi="en-US"/>
        </w:rPr>
      </w:pPr>
      <w:r w:rsidRPr="008500D2">
        <w:rPr>
          <w:rFonts w:cs="Arial"/>
          <w:b/>
          <w:bCs/>
        </w:rPr>
        <w:lastRenderedPageBreak/>
        <w:t>Note:</w:t>
      </w:r>
      <w:r w:rsidR="00B24F3C" w:rsidRPr="008500D2">
        <w:rPr>
          <w:rFonts w:cs="Arial"/>
          <w:b/>
          <w:bCs/>
          <w:lang w:bidi="en-US"/>
        </w:rPr>
        <w:t xml:space="preserve"> </w:t>
      </w:r>
      <w:r w:rsidR="00B24F3C" w:rsidRPr="008500D2">
        <w:rPr>
          <w:rFonts w:cs="Arial"/>
          <w:lang w:bidi="en-US"/>
        </w:rPr>
        <w:t>This table compares univariable and multivariable analysis results for progression-free survival and overall survival in patients treated with ss-</w:t>
      </w:r>
      <w:proofErr w:type="spellStart"/>
      <w:r w:rsidR="00B24F3C" w:rsidRPr="008500D2">
        <w:rPr>
          <w:rFonts w:cs="Arial"/>
          <w:lang w:bidi="en-US"/>
        </w:rPr>
        <w:t>cTACE</w:t>
      </w:r>
      <w:proofErr w:type="spellEnd"/>
      <w:r w:rsidR="00B24F3C" w:rsidRPr="008500D2">
        <w:rPr>
          <w:rFonts w:cs="Arial"/>
          <w:lang w:bidi="en-US"/>
        </w:rPr>
        <w:t>. Variables include clinical factors, tumor characteristics, and treatment modalities. Data are derived from Cox proportional hazards models in Figures 4 and 5, highlighting statistically significant predictors of survival.</w:t>
      </w:r>
    </w:p>
    <w:p w14:paraId="17E12980" w14:textId="77777777" w:rsidR="003C10F6" w:rsidRPr="008500D2" w:rsidRDefault="003C10F6" w:rsidP="00EE0017">
      <w:pPr>
        <w:rPr>
          <w:rFonts w:cs="Arial"/>
        </w:rPr>
      </w:pPr>
    </w:p>
    <w:p w14:paraId="5946106A" w14:textId="0A7E25E1" w:rsidR="00B24F3C" w:rsidRPr="008500D2" w:rsidRDefault="003C10F6" w:rsidP="00B24F3C">
      <w:pPr>
        <w:rPr>
          <w:rFonts w:cs="Arial"/>
          <w:b/>
          <w:bCs/>
          <w:lang w:bidi="en-US"/>
        </w:rPr>
      </w:pPr>
      <w:r w:rsidRPr="008500D2">
        <w:rPr>
          <w:rFonts w:cs="Arial"/>
          <w:b/>
          <w:bCs/>
        </w:rPr>
        <w:t>Table S3</w:t>
      </w:r>
      <w:r w:rsidR="00B24F3C" w:rsidRPr="008500D2">
        <w:rPr>
          <w:rFonts w:cs="Arial"/>
          <w:b/>
          <w:bCs/>
        </w:rPr>
        <w:t xml:space="preserve"> </w:t>
      </w:r>
      <w:r w:rsidR="00B24F3C" w:rsidRPr="008500D2">
        <w:rPr>
          <w:rFonts w:cs="Arial"/>
          <w:b/>
          <w:bCs/>
          <w:lang w:bidi="en-US"/>
        </w:rPr>
        <w:t>Baseline covariate balance before vs after overlap weighting</w:t>
      </w:r>
    </w:p>
    <w:tbl>
      <w:tblPr>
        <w:tblW w:w="9773" w:type="dxa"/>
        <w:tblLayout w:type="fixed"/>
        <w:tblCellMar>
          <w:left w:w="0" w:type="dxa"/>
          <w:right w:w="0" w:type="dxa"/>
        </w:tblCellMar>
        <w:tblLook w:val="04A0" w:firstRow="1" w:lastRow="0" w:firstColumn="1" w:lastColumn="0" w:noHBand="0" w:noVBand="1"/>
      </w:tblPr>
      <w:tblGrid>
        <w:gridCol w:w="2052"/>
        <w:gridCol w:w="906"/>
        <w:gridCol w:w="916"/>
        <w:gridCol w:w="1363"/>
        <w:gridCol w:w="1276"/>
        <w:gridCol w:w="1377"/>
        <w:gridCol w:w="1883"/>
      </w:tblGrid>
      <w:tr w:rsidR="00B24F3C" w:rsidRPr="008500D2" w14:paraId="3442CE1F" w14:textId="77777777" w:rsidTr="00A8011B">
        <w:trPr>
          <w:trHeight w:val="149"/>
        </w:trPr>
        <w:tc>
          <w:tcPr>
            <w:tcW w:w="2052" w:type="dxa"/>
            <w:tcBorders>
              <w:bottom w:val="single" w:sz="4" w:space="0" w:color="auto"/>
            </w:tcBorders>
            <w:shd w:val="clear" w:color="auto" w:fill="auto"/>
            <w:tcMar>
              <w:top w:w="60" w:type="dxa"/>
              <w:left w:w="60" w:type="dxa"/>
              <w:bottom w:w="60" w:type="dxa"/>
              <w:right w:w="60" w:type="dxa"/>
            </w:tcMar>
            <w:hideMark/>
          </w:tcPr>
          <w:p w14:paraId="69C1FDB7" w14:textId="77777777" w:rsidR="00B24F3C" w:rsidRPr="008500D2" w:rsidRDefault="00B24F3C" w:rsidP="00B24F3C">
            <w:pPr>
              <w:rPr>
                <w:rFonts w:cs="Arial"/>
                <w:b/>
                <w:bCs/>
              </w:rPr>
            </w:pPr>
          </w:p>
        </w:tc>
        <w:tc>
          <w:tcPr>
            <w:tcW w:w="906" w:type="dxa"/>
            <w:tcBorders>
              <w:bottom w:val="single" w:sz="4" w:space="0" w:color="auto"/>
            </w:tcBorders>
            <w:shd w:val="clear" w:color="auto" w:fill="auto"/>
            <w:tcMar>
              <w:top w:w="60" w:type="dxa"/>
              <w:left w:w="60" w:type="dxa"/>
              <w:bottom w:w="60" w:type="dxa"/>
              <w:right w:w="60" w:type="dxa"/>
            </w:tcMar>
            <w:hideMark/>
          </w:tcPr>
          <w:p w14:paraId="522F41FA" w14:textId="77777777" w:rsidR="00B24F3C" w:rsidRPr="008500D2" w:rsidRDefault="00B24F3C" w:rsidP="00B24F3C">
            <w:pPr>
              <w:rPr>
                <w:rFonts w:cs="Arial"/>
                <w:b/>
                <w:bCs/>
              </w:rPr>
            </w:pPr>
            <w:r w:rsidRPr="008500D2">
              <w:rPr>
                <w:rFonts w:cs="Arial"/>
                <w:b/>
                <w:bCs/>
              </w:rPr>
              <w:t>Type</w:t>
            </w:r>
          </w:p>
        </w:tc>
        <w:tc>
          <w:tcPr>
            <w:tcW w:w="916" w:type="dxa"/>
            <w:tcBorders>
              <w:bottom w:val="single" w:sz="4" w:space="0" w:color="auto"/>
            </w:tcBorders>
            <w:shd w:val="clear" w:color="auto" w:fill="auto"/>
            <w:tcMar>
              <w:top w:w="60" w:type="dxa"/>
              <w:left w:w="60" w:type="dxa"/>
              <w:bottom w:w="60" w:type="dxa"/>
              <w:right w:w="60" w:type="dxa"/>
            </w:tcMar>
            <w:hideMark/>
          </w:tcPr>
          <w:p w14:paraId="7A02EE41" w14:textId="77777777" w:rsidR="00B24F3C" w:rsidRPr="008500D2" w:rsidRDefault="00B24F3C" w:rsidP="00B24F3C">
            <w:pPr>
              <w:rPr>
                <w:rFonts w:cs="Arial"/>
                <w:b/>
                <w:bCs/>
              </w:rPr>
            </w:pPr>
            <w:r w:rsidRPr="008500D2">
              <w:rPr>
                <w:rFonts w:cs="Arial"/>
                <w:b/>
                <w:bCs/>
              </w:rPr>
              <w:t>SMD (</w:t>
            </w:r>
            <w:proofErr w:type="spellStart"/>
            <w:r w:rsidRPr="008500D2">
              <w:rPr>
                <w:rFonts w:cs="Arial"/>
                <w:b/>
                <w:bCs/>
              </w:rPr>
              <w:t>Unweig</w:t>
            </w:r>
            <w:proofErr w:type="spellEnd"/>
            <w:r w:rsidRPr="008500D2">
              <w:rPr>
                <w:rFonts w:cs="Arial"/>
                <w:b/>
                <w:bCs/>
              </w:rPr>
              <w:t xml:space="preserve"> </w:t>
            </w:r>
            <w:proofErr w:type="spellStart"/>
            <w:r w:rsidRPr="008500D2">
              <w:rPr>
                <w:rFonts w:cs="Arial"/>
                <w:b/>
                <w:bCs/>
              </w:rPr>
              <w:t>hted</w:t>
            </w:r>
            <w:proofErr w:type="spellEnd"/>
            <w:r w:rsidRPr="008500D2">
              <w:rPr>
                <w:rFonts w:cs="Arial"/>
                <w:b/>
                <w:bCs/>
              </w:rPr>
              <w:t>)</w:t>
            </w:r>
          </w:p>
        </w:tc>
        <w:tc>
          <w:tcPr>
            <w:tcW w:w="1363" w:type="dxa"/>
            <w:tcBorders>
              <w:bottom w:val="single" w:sz="4" w:space="0" w:color="auto"/>
            </w:tcBorders>
            <w:shd w:val="clear" w:color="auto" w:fill="auto"/>
            <w:tcMar>
              <w:top w:w="60" w:type="dxa"/>
              <w:left w:w="60" w:type="dxa"/>
              <w:bottom w:w="60" w:type="dxa"/>
              <w:right w:w="60" w:type="dxa"/>
            </w:tcMar>
            <w:hideMark/>
          </w:tcPr>
          <w:p w14:paraId="5D7B3D08" w14:textId="77777777" w:rsidR="00B24F3C" w:rsidRPr="008500D2" w:rsidRDefault="00B24F3C" w:rsidP="00B24F3C">
            <w:pPr>
              <w:rPr>
                <w:rFonts w:cs="Arial"/>
                <w:b/>
                <w:bCs/>
              </w:rPr>
            </w:pPr>
            <w:proofErr w:type="spellStart"/>
            <w:r w:rsidRPr="008500D2">
              <w:rPr>
                <w:rFonts w:cs="Arial"/>
                <w:b/>
                <w:bCs/>
              </w:rPr>
              <w:t>V.Ratio.Un</w:t>
            </w:r>
            <w:proofErr w:type="spellEnd"/>
          </w:p>
        </w:tc>
        <w:tc>
          <w:tcPr>
            <w:tcW w:w="1276" w:type="dxa"/>
            <w:tcBorders>
              <w:bottom w:val="single" w:sz="4" w:space="0" w:color="auto"/>
            </w:tcBorders>
            <w:shd w:val="clear" w:color="auto" w:fill="auto"/>
            <w:tcMar>
              <w:top w:w="60" w:type="dxa"/>
              <w:left w:w="60" w:type="dxa"/>
              <w:bottom w:w="60" w:type="dxa"/>
              <w:right w:w="60" w:type="dxa"/>
            </w:tcMar>
            <w:hideMark/>
          </w:tcPr>
          <w:p w14:paraId="5BE13AD7" w14:textId="77777777" w:rsidR="00B24F3C" w:rsidRPr="008500D2" w:rsidRDefault="00B24F3C" w:rsidP="00B24F3C">
            <w:pPr>
              <w:rPr>
                <w:rFonts w:cs="Arial"/>
                <w:b/>
                <w:bCs/>
              </w:rPr>
            </w:pPr>
            <w:r w:rsidRPr="008500D2">
              <w:rPr>
                <w:rFonts w:cs="Arial"/>
                <w:b/>
                <w:bCs/>
              </w:rPr>
              <w:t>SMD (Weighted)</w:t>
            </w:r>
          </w:p>
        </w:tc>
        <w:tc>
          <w:tcPr>
            <w:tcW w:w="1377" w:type="dxa"/>
            <w:tcBorders>
              <w:bottom w:val="single" w:sz="4" w:space="0" w:color="auto"/>
            </w:tcBorders>
            <w:shd w:val="clear" w:color="auto" w:fill="auto"/>
            <w:tcMar>
              <w:top w:w="60" w:type="dxa"/>
              <w:left w:w="60" w:type="dxa"/>
              <w:bottom w:w="60" w:type="dxa"/>
              <w:right w:w="60" w:type="dxa"/>
            </w:tcMar>
            <w:hideMark/>
          </w:tcPr>
          <w:p w14:paraId="6A9B2943" w14:textId="77777777" w:rsidR="00B24F3C" w:rsidRPr="008500D2" w:rsidRDefault="00B24F3C" w:rsidP="00B24F3C">
            <w:pPr>
              <w:rPr>
                <w:rFonts w:cs="Arial"/>
                <w:b/>
                <w:bCs/>
              </w:rPr>
            </w:pPr>
            <w:r w:rsidRPr="008500D2">
              <w:rPr>
                <w:rFonts w:cs="Arial"/>
                <w:b/>
                <w:bCs/>
              </w:rPr>
              <w:t>Variance Ratio (Weighted)</w:t>
            </w:r>
          </w:p>
        </w:tc>
        <w:tc>
          <w:tcPr>
            <w:tcW w:w="1883" w:type="dxa"/>
            <w:tcBorders>
              <w:bottom w:val="single" w:sz="4" w:space="0" w:color="auto"/>
            </w:tcBorders>
            <w:shd w:val="clear" w:color="auto" w:fill="auto"/>
            <w:tcMar>
              <w:top w:w="60" w:type="dxa"/>
              <w:left w:w="60" w:type="dxa"/>
              <w:bottom w:w="60" w:type="dxa"/>
              <w:right w:w="60" w:type="dxa"/>
            </w:tcMar>
            <w:hideMark/>
          </w:tcPr>
          <w:p w14:paraId="5D8AE367" w14:textId="77777777" w:rsidR="00B24F3C" w:rsidRPr="008500D2" w:rsidRDefault="00B24F3C" w:rsidP="00B24F3C">
            <w:pPr>
              <w:rPr>
                <w:rFonts w:cs="Arial"/>
                <w:b/>
                <w:bCs/>
              </w:rPr>
            </w:pPr>
            <w:proofErr w:type="spellStart"/>
            <w:r w:rsidRPr="008500D2">
              <w:rPr>
                <w:rFonts w:cs="Arial"/>
                <w:b/>
                <w:bCs/>
              </w:rPr>
              <w:t>V.Threshold</w:t>
            </w:r>
            <w:proofErr w:type="spellEnd"/>
          </w:p>
        </w:tc>
      </w:tr>
      <w:tr w:rsidR="00B24F3C" w:rsidRPr="008500D2" w14:paraId="04800505" w14:textId="77777777" w:rsidTr="00A8011B">
        <w:trPr>
          <w:trHeight w:val="134"/>
        </w:trPr>
        <w:tc>
          <w:tcPr>
            <w:tcW w:w="2052" w:type="dxa"/>
            <w:tcBorders>
              <w:top w:val="single" w:sz="4" w:space="0" w:color="auto"/>
            </w:tcBorders>
            <w:shd w:val="clear" w:color="auto" w:fill="auto"/>
            <w:tcMar>
              <w:top w:w="60" w:type="dxa"/>
              <w:left w:w="60" w:type="dxa"/>
              <w:bottom w:w="60" w:type="dxa"/>
              <w:right w:w="60" w:type="dxa"/>
            </w:tcMar>
            <w:hideMark/>
          </w:tcPr>
          <w:p w14:paraId="01EA3DBA" w14:textId="77777777" w:rsidR="00B24F3C" w:rsidRPr="008500D2" w:rsidRDefault="00B24F3C" w:rsidP="00B24F3C">
            <w:pPr>
              <w:rPr>
                <w:rFonts w:cs="Arial"/>
                <w:b/>
                <w:bCs/>
              </w:rPr>
            </w:pPr>
            <w:r w:rsidRPr="008500D2">
              <w:rPr>
                <w:rFonts w:cs="Arial"/>
                <w:b/>
                <w:bCs/>
              </w:rPr>
              <w:t>Propensity score</w:t>
            </w:r>
          </w:p>
        </w:tc>
        <w:tc>
          <w:tcPr>
            <w:tcW w:w="906" w:type="dxa"/>
            <w:tcBorders>
              <w:top w:val="single" w:sz="4" w:space="0" w:color="auto"/>
            </w:tcBorders>
            <w:shd w:val="clear" w:color="auto" w:fill="auto"/>
            <w:tcMar>
              <w:top w:w="60" w:type="dxa"/>
              <w:left w:w="60" w:type="dxa"/>
              <w:bottom w:w="60" w:type="dxa"/>
              <w:right w:w="60" w:type="dxa"/>
            </w:tcMar>
            <w:hideMark/>
          </w:tcPr>
          <w:p w14:paraId="124EC078" w14:textId="77777777" w:rsidR="00B24F3C" w:rsidRPr="008500D2" w:rsidRDefault="00B24F3C" w:rsidP="00B24F3C">
            <w:pPr>
              <w:rPr>
                <w:rFonts w:cs="Arial"/>
              </w:rPr>
            </w:pPr>
            <w:r w:rsidRPr="008500D2">
              <w:rPr>
                <w:rFonts w:cs="Arial"/>
              </w:rPr>
              <w:t>Distance</w:t>
            </w:r>
          </w:p>
        </w:tc>
        <w:tc>
          <w:tcPr>
            <w:tcW w:w="916" w:type="dxa"/>
            <w:tcBorders>
              <w:top w:val="single" w:sz="4" w:space="0" w:color="auto"/>
            </w:tcBorders>
            <w:shd w:val="clear" w:color="auto" w:fill="auto"/>
            <w:tcMar>
              <w:top w:w="60" w:type="dxa"/>
              <w:left w:w="60" w:type="dxa"/>
              <w:bottom w:w="60" w:type="dxa"/>
              <w:right w:w="60" w:type="dxa"/>
            </w:tcMar>
            <w:hideMark/>
          </w:tcPr>
          <w:p w14:paraId="723A8267" w14:textId="77777777" w:rsidR="00B24F3C" w:rsidRPr="008500D2" w:rsidRDefault="00B24F3C" w:rsidP="00B24F3C">
            <w:pPr>
              <w:rPr>
                <w:rFonts w:cs="Arial"/>
              </w:rPr>
            </w:pPr>
            <w:r w:rsidRPr="008500D2">
              <w:rPr>
                <w:rFonts w:cs="Arial"/>
              </w:rPr>
              <w:t>1.074</w:t>
            </w:r>
          </w:p>
        </w:tc>
        <w:tc>
          <w:tcPr>
            <w:tcW w:w="1363" w:type="dxa"/>
            <w:tcBorders>
              <w:top w:val="single" w:sz="4" w:space="0" w:color="auto"/>
            </w:tcBorders>
            <w:shd w:val="clear" w:color="auto" w:fill="auto"/>
            <w:tcMar>
              <w:top w:w="60" w:type="dxa"/>
              <w:left w:w="60" w:type="dxa"/>
              <w:bottom w:w="60" w:type="dxa"/>
              <w:right w:w="60" w:type="dxa"/>
            </w:tcMar>
            <w:hideMark/>
          </w:tcPr>
          <w:p w14:paraId="49A98CD9" w14:textId="77777777" w:rsidR="00B24F3C" w:rsidRPr="008500D2" w:rsidRDefault="00B24F3C" w:rsidP="00B24F3C">
            <w:pPr>
              <w:rPr>
                <w:rFonts w:cs="Arial"/>
              </w:rPr>
            </w:pPr>
            <w:r w:rsidRPr="008500D2">
              <w:rPr>
                <w:rFonts w:cs="Arial"/>
              </w:rPr>
              <w:t>1.523</w:t>
            </w:r>
          </w:p>
        </w:tc>
        <w:tc>
          <w:tcPr>
            <w:tcW w:w="1276" w:type="dxa"/>
            <w:tcBorders>
              <w:top w:val="single" w:sz="4" w:space="0" w:color="auto"/>
            </w:tcBorders>
            <w:shd w:val="clear" w:color="auto" w:fill="auto"/>
            <w:tcMar>
              <w:top w:w="60" w:type="dxa"/>
              <w:left w:w="60" w:type="dxa"/>
              <w:bottom w:w="60" w:type="dxa"/>
              <w:right w:w="60" w:type="dxa"/>
            </w:tcMar>
            <w:hideMark/>
          </w:tcPr>
          <w:p w14:paraId="088D3C2C" w14:textId="47190DD0" w:rsidR="00B24F3C" w:rsidRPr="008500D2" w:rsidRDefault="00B24F3C" w:rsidP="00B24F3C">
            <w:pPr>
              <w:rPr>
                <w:rFonts w:cs="Arial"/>
              </w:rPr>
            </w:pPr>
            <w:r w:rsidRPr="008500D2">
              <w:rPr>
                <w:rFonts w:cs="Arial"/>
              </w:rPr>
              <w:t>.029</w:t>
            </w:r>
          </w:p>
        </w:tc>
        <w:tc>
          <w:tcPr>
            <w:tcW w:w="1377" w:type="dxa"/>
            <w:tcBorders>
              <w:top w:val="single" w:sz="4" w:space="0" w:color="auto"/>
            </w:tcBorders>
            <w:shd w:val="clear" w:color="auto" w:fill="auto"/>
            <w:tcMar>
              <w:top w:w="60" w:type="dxa"/>
              <w:left w:w="60" w:type="dxa"/>
              <w:bottom w:w="60" w:type="dxa"/>
              <w:right w:w="60" w:type="dxa"/>
            </w:tcMar>
            <w:hideMark/>
          </w:tcPr>
          <w:p w14:paraId="2D4A2792" w14:textId="77777777" w:rsidR="00B24F3C" w:rsidRPr="008500D2" w:rsidRDefault="00B24F3C" w:rsidP="00B24F3C">
            <w:pPr>
              <w:rPr>
                <w:rFonts w:cs="Arial"/>
              </w:rPr>
            </w:pPr>
            <w:r w:rsidRPr="008500D2">
              <w:rPr>
                <w:rFonts w:cs="Arial"/>
              </w:rPr>
              <w:t>1.21</w:t>
            </w:r>
          </w:p>
        </w:tc>
        <w:tc>
          <w:tcPr>
            <w:tcW w:w="1883" w:type="dxa"/>
            <w:tcBorders>
              <w:top w:val="single" w:sz="4" w:space="0" w:color="auto"/>
            </w:tcBorders>
            <w:shd w:val="clear" w:color="auto" w:fill="auto"/>
            <w:tcMar>
              <w:top w:w="60" w:type="dxa"/>
              <w:left w:w="60" w:type="dxa"/>
              <w:bottom w:w="60" w:type="dxa"/>
              <w:right w:w="60" w:type="dxa"/>
            </w:tcMar>
            <w:hideMark/>
          </w:tcPr>
          <w:p w14:paraId="10DCDFBD" w14:textId="77777777" w:rsidR="00B24F3C" w:rsidRPr="008500D2" w:rsidRDefault="00B24F3C" w:rsidP="00B24F3C">
            <w:pPr>
              <w:rPr>
                <w:rFonts w:cs="Arial"/>
              </w:rPr>
            </w:pPr>
            <w:r w:rsidRPr="008500D2">
              <w:rPr>
                <w:rFonts w:cs="Arial"/>
              </w:rPr>
              <w:t>Balanced, &lt;2</w:t>
            </w:r>
          </w:p>
        </w:tc>
      </w:tr>
      <w:tr w:rsidR="00B24F3C" w:rsidRPr="008500D2" w14:paraId="787BAC8D" w14:textId="77777777" w:rsidTr="00A8011B">
        <w:trPr>
          <w:trHeight w:val="134"/>
        </w:trPr>
        <w:tc>
          <w:tcPr>
            <w:tcW w:w="2052" w:type="dxa"/>
            <w:shd w:val="clear" w:color="auto" w:fill="auto"/>
            <w:tcMar>
              <w:top w:w="60" w:type="dxa"/>
              <w:left w:w="60" w:type="dxa"/>
              <w:bottom w:w="60" w:type="dxa"/>
              <w:right w:w="60" w:type="dxa"/>
            </w:tcMar>
            <w:hideMark/>
          </w:tcPr>
          <w:p w14:paraId="3E4D3C80" w14:textId="77777777" w:rsidR="00B24F3C" w:rsidRPr="008500D2" w:rsidRDefault="00B24F3C" w:rsidP="00B24F3C">
            <w:pPr>
              <w:rPr>
                <w:rFonts w:cs="Arial"/>
                <w:b/>
                <w:bCs/>
              </w:rPr>
            </w:pPr>
            <w:r w:rsidRPr="008500D2">
              <w:rPr>
                <w:rFonts w:cs="Arial"/>
                <w:b/>
                <w:bCs/>
              </w:rPr>
              <w:t>BCLC 0</w:t>
            </w:r>
          </w:p>
        </w:tc>
        <w:tc>
          <w:tcPr>
            <w:tcW w:w="906" w:type="dxa"/>
            <w:shd w:val="clear" w:color="auto" w:fill="auto"/>
            <w:tcMar>
              <w:top w:w="60" w:type="dxa"/>
              <w:left w:w="60" w:type="dxa"/>
              <w:bottom w:w="60" w:type="dxa"/>
              <w:right w:w="60" w:type="dxa"/>
            </w:tcMar>
            <w:hideMark/>
          </w:tcPr>
          <w:p w14:paraId="3416D05E" w14:textId="77777777" w:rsidR="00B24F3C" w:rsidRPr="008500D2" w:rsidRDefault="00B24F3C" w:rsidP="00B24F3C">
            <w:pPr>
              <w:rPr>
                <w:rFonts w:cs="Arial"/>
              </w:rPr>
            </w:pPr>
            <w:r w:rsidRPr="008500D2">
              <w:rPr>
                <w:rFonts w:cs="Arial"/>
              </w:rPr>
              <w:t>Binary</w:t>
            </w:r>
          </w:p>
        </w:tc>
        <w:tc>
          <w:tcPr>
            <w:tcW w:w="916" w:type="dxa"/>
            <w:shd w:val="clear" w:color="auto" w:fill="auto"/>
            <w:tcMar>
              <w:top w:w="60" w:type="dxa"/>
              <w:left w:w="60" w:type="dxa"/>
              <w:bottom w:w="60" w:type="dxa"/>
              <w:right w:w="60" w:type="dxa"/>
            </w:tcMar>
            <w:hideMark/>
          </w:tcPr>
          <w:p w14:paraId="6A448621" w14:textId="6CFD0D2A" w:rsidR="00B24F3C" w:rsidRPr="008500D2" w:rsidRDefault="00B24F3C" w:rsidP="00B24F3C">
            <w:pPr>
              <w:rPr>
                <w:rFonts w:cs="Arial"/>
              </w:rPr>
            </w:pPr>
            <w:r w:rsidRPr="008500D2">
              <w:rPr>
                <w:rFonts w:cs="Arial"/>
              </w:rPr>
              <w:t>-</w:t>
            </w:r>
            <w:r w:rsidR="00583FD7" w:rsidRPr="008500D2">
              <w:rPr>
                <w:rFonts w:cs="Arial"/>
              </w:rPr>
              <w:t>0</w:t>
            </w:r>
            <w:r w:rsidRPr="008500D2">
              <w:rPr>
                <w:rFonts w:cs="Arial"/>
              </w:rPr>
              <w:t>.128</w:t>
            </w:r>
          </w:p>
        </w:tc>
        <w:tc>
          <w:tcPr>
            <w:tcW w:w="1363" w:type="dxa"/>
            <w:shd w:val="clear" w:color="auto" w:fill="auto"/>
            <w:tcMar>
              <w:top w:w="60" w:type="dxa"/>
              <w:left w:w="60" w:type="dxa"/>
              <w:bottom w:w="60" w:type="dxa"/>
              <w:right w:w="60" w:type="dxa"/>
            </w:tcMar>
            <w:hideMark/>
          </w:tcPr>
          <w:p w14:paraId="61DA93FA" w14:textId="77777777" w:rsidR="00B24F3C" w:rsidRPr="008500D2" w:rsidRDefault="00B24F3C" w:rsidP="00B24F3C">
            <w:pPr>
              <w:rPr>
                <w:rFonts w:cs="Arial"/>
              </w:rPr>
            </w:pPr>
            <w:r w:rsidRPr="008500D2">
              <w:rPr>
                <w:rFonts w:cs="Arial"/>
              </w:rPr>
              <w:t>NA</w:t>
            </w:r>
          </w:p>
        </w:tc>
        <w:tc>
          <w:tcPr>
            <w:tcW w:w="1276" w:type="dxa"/>
            <w:shd w:val="clear" w:color="auto" w:fill="auto"/>
            <w:tcMar>
              <w:top w:w="60" w:type="dxa"/>
              <w:left w:w="60" w:type="dxa"/>
              <w:bottom w:w="60" w:type="dxa"/>
              <w:right w:w="60" w:type="dxa"/>
            </w:tcMar>
            <w:hideMark/>
          </w:tcPr>
          <w:p w14:paraId="196BBE8E" w14:textId="77777777" w:rsidR="00B24F3C" w:rsidRPr="008500D2" w:rsidRDefault="00B24F3C" w:rsidP="00B24F3C">
            <w:pPr>
              <w:rPr>
                <w:rFonts w:cs="Arial"/>
              </w:rPr>
            </w:pPr>
            <w:r w:rsidRPr="008500D2">
              <w:rPr>
                <w:rFonts w:cs="Arial"/>
              </w:rPr>
              <w:t>0</w:t>
            </w:r>
          </w:p>
        </w:tc>
        <w:tc>
          <w:tcPr>
            <w:tcW w:w="1377" w:type="dxa"/>
            <w:shd w:val="clear" w:color="auto" w:fill="auto"/>
            <w:tcMar>
              <w:top w:w="60" w:type="dxa"/>
              <w:left w:w="60" w:type="dxa"/>
              <w:bottom w:w="60" w:type="dxa"/>
              <w:right w:w="60" w:type="dxa"/>
            </w:tcMar>
            <w:hideMark/>
          </w:tcPr>
          <w:p w14:paraId="557A142B" w14:textId="77777777" w:rsidR="00B24F3C" w:rsidRPr="008500D2" w:rsidRDefault="00B24F3C" w:rsidP="00B24F3C">
            <w:pPr>
              <w:rPr>
                <w:rFonts w:cs="Arial"/>
              </w:rPr>
            </w:pPr>
            <w:r w:rsidRPr="008500D2">
              <w:rPr>
                <w:rFonts w:cs="Arial"/>
              </w:rPr>
              <w:t>NA</w:t>
            </w:r>
          </w:p>
        </w:tc>
        <w:tc>
          <w:tcPr>
            <w:tcW w:w="1883" w:type="dxa"/>
            <w:shd w:val="clear" w:color="auto" w:fill="auto"/>
            <w:tcMar>
              <w:top w:w="60" w:type="dxa"/>
              <w:left w:w="60" w:type="dxa"/>
              <w:bottom w:w="60" w:type="dxa"/>
              <w:right w:w="60" w:type="dxa"/>
            </w:tcMar>
            <w:hideMark/>
          </w:tcPr>
          <w:p w14:paraId="47649382" w14:textId="77777777" w:rsidR="00B24F3C" w:rsidRPr="008500D2" w:rsidRDefault="00B24F3C" w:rsidP="00B24F3C">
            <w:pPr>
              <w:rPr>
                <w:rFonts w:cs="Arial"/>
              </w:rPr>
            </w:pPr>
          </w:p>
        </w:tc>
      </w:tr>
      <w:tr w:rsidR="00B24F3C" w:rsidRPr="008500D2" w14:paraId="44FD0D37" w14:textId="77777777" w:rsidTr="00A8011B">
        <w:trPr>
          <w:trHeight w:val="149"/>
        </w:trPr>
        <w:tc>
          <w:tcPr>
            <w:tcW w:w="2052" w:type="dxa"/>
            <w:shd w:val="clear" w:color="auto" w:fill="auto"/>
            <w:tcMar>
              <w:top w:w="60" w:type="dxa"/>
              <w:left w:w="60" w:type="dxa"/>
              <w:bottom w:w="60" w:type="dxa"/>
              <w:right w:w="60" w:type="dxa"/>
            </w:tcMar>
            <w:hideMark/>
          </w:tcPr>
          <w:p w14:paraId="3B97A49E" w14:textId="77777777" w:rsidR="00B24F3C" w:rsidRPr="008500D2" w:rsidRDefault="00B24F3C" w:rsidP="00B24F3C">
            <w:pPr>
              <w:rPr>
                <w:rFonts w:cs="Arial"/>
                <w:b/>
                <w:bCs/>
              </w:rPr>
            </w:pPr>
            <w:r w:rsidRPr="008500D2">
              <w:rPr>
                <w:rFonts w:cs="Arial"/>
                <w:b/>
                <w:bCs/>
              </w:rPr>
              <w:t>BCLC A</w:t>
            </w:r>
          </w:p>
        </w:tc>
        <w:tc>
          <w:tcPr>
            <w:tcW w:w="906" w:type="dxa"/>
            <w:shd w:val="clear" w:color="auto" w:fill="auto"/>
            <w:tcMar>
              <w:top w:w="60" w:type="dxa"/>
              <w:left w:w="60" w:type="dxa"/>
              <w:bottom w:w="60" w:type="dxa"/>
              <w:right w:w="60" w:type="dxa"/>
            </w:tcMar>
            <w:hideMark/>
          </w:tcPr>
          <w:p w14:paraId="439323EE" w14:textId="77777777" w:rsidR="00B24F3C" w:rsidRPr="008500D2" w:rsidRDefault="00B24F3C" w:rsidP="00B24F3C">
            <w:pPr>
              <w:rPr>
                <w:rFonts w:cs="Arial"/>
              </w:rPr>
            </w:pPr>
            <w:r w:rsidRPr="008500D2">
              <w:rPr>
                <w:rFonts w:cs="Arial"/>
              </w:rPr>
              <w:t>Binary</w:t>
            </w:r>
          </w:p>
        </w:tc>
        <w:tc>
          <w:tcPr>
            <w:tcW w:w="916" w:type="dxa"/>
            <w:shd w:val="clear" w:color="auto" w:fill="auto"/>
            <w:tcMar>
              <w:top w:w="60" w:type="dxa"/>
              <w:left w:w="60" w:type="dxa"/>
              <w:bottom w:w="60" w:type="dxa"/>
              <w:right w:w="60" w:type="dxa"/>
            </w:tcMar>
            <w:hideMark/>
          </w:tcPr>
          <w:p w14:paraId="7ED635D4" w14:textId="77777777" w:rsidR="00B24F3C" w:rsidRPr="008500D2" w:rsidRDefault="00B24F3C" w:rsidP="00B24F3C">
            <w:pPr>
              <w:rPr>
                <w:rFonts w:cs="Arial"/>
              </w:rPr>
            </w:pPr>
            <w:r w:rsidRPr="008500D2">
              <w:rPr>
                <w:rFonts w:cs="Arial"/>
              </w:rPr>
              <w:t>-0.056</w:t>
            </w:r>
          </w:p>
        </w:tc>
        <w:tc>
          <w:tcPr>
            <w:tcW w:w="1363" w:type="dxa"/>
            <w:shd w:val="clear" w:color="auto" w:fill="auto"/>
            <w:tcMar>
              <w:top w:w="60" w:type="dxa"/>
              <w:left w:w="60" w:type="dxa"/>
              <w:bottom w:w="60" w:type="dxa"/>
              <w:right w:w="60" w:type="dxa"/>
            </w:tcMar>
            <w:hideMark/>
          </w:tcPr>
          <w:p w14:paraId="7ADBF415" w14:textId="77777777" w:rsidR="00B24F3C" w:rsidRPr="008500D2" w:rsidRDefault="00B24F3C" w:rsidP="00B24F3C">
            <w:pPr>
              <w:rPr>
                <w:rFonts w:cs="Arial"/>
              </w:rPr>
            </w:pPr>
            <w:r w:rsidRPr="008500D2">
              <w:rPr>
                <w:rFonts w:cs="Arial"/>
              </w:rPr>
              <w:t>NA</w:t>
            </w:r>
          </w:p>
        </w:tc>
        <w:tc>
          <w:tcPr>
            <w:tcW w:w="1276" w:type="dxa"/>
            <w:shd w:val="clear" w:color="auto" w:fill="auto"/>
            <w:tcMar>
              <w:top w:w="60" w:type="dxa"/>
              <w:left w:w="60" w:type="dxa"/>
              <w:bottom w:w="60" w:type="dxa"/>
              <w:right w:w="60" w:type="dxa"/>
            </w:tcMar>
            <w:hideMark/>
          </w:tcPr>
          <w:p w14:paraId="632FC363" w14:textId="77777777" w:rsidR="00B24F3C" w:rsidRPr="008500D2" w:rsidRDefault="00B24F3C" w:rsidP="00B24F3C">
            <w:pPr>
              <w:rPr>
                <w:rFonts w:cs="Arial"/>
              </w:rPr>
            </w:pPr>
            <w:r w:rsidRPr="008500D2">
              <w:rPr>
                <w:rFonts w:cs="Arial"/>
              </w:rPr>
              <w:t>0</w:t>
            </w:r>
          </w:p>
        </w:tc>
        <w:tc>
          <w:tcPr>
            <w:tcW w:w="1377" w:type="dxa"/>
            <w:shd w:val="clear" w:color="auto" w:fill="auto"/>
            <w:tcMar>
              <w:top w:w="60" w:type="dxa"/>
              <w:left w:w="60" w:type="dxa"/>
              <w:bottom w:w="60" w:type="dxa"/>
              <w:right w:w="60" w:type="dxa"/>
            </w:tcMar>
            <w:hideMark/>
          </w:tcPr>
          <w:p w14:paraId="3A678D40" w14:textId="77777777" w:rsidR="00B24F3C" w:rsidRPr="008500D2" w:rsidRDefault="00B24F3C" w:rsidP="00B24F3C">
            <w:pPr>
              <w:rPr>
                <w:rFonts w:cs="Arial"/>
              </w:rPr>
            </w:pPr>
            <w:r w:rsidRPr="008500D2">
              <w:rPr>
                <w:rFonts w:cs="Arial"/>
              </w:rPr>
              <w:t>NA</w:t>
            </w:r>
          </w:p>
        </w:tc>
        <w:tc>
          <w:tcPr>
            <w:tcW w:w="1883" w:type="dxa"/>
            <w:shd w:val="clear" w:color="auto" w:fill="auto"/>
            <w:tcMar>
              <w:top w:w="60" w:type="dxa"/>
              <w:left w:w="60" w:type="dxa"/>
              <w:bottom w:w="60" w:type="dxa"/>
              <w:right w:w="60" w:type="dxa"/>
            </w:tcMar>
            <w:hideMark/>
          </w:tcPr>
          <w:p w14:paraId="31A29363" w14:textId="77777777" w:rsidR="00B24F3C" w:rsidRPr="008500D2" w:rsidRDefault="00B24F3C" w:rsidP="00B24F3C">
            <w:pPr>
              <w:rPr>
                <w:rFonts w:cs="Arial"/>
              </w:rPr>
            </w:pPr>
          </w:p>
        </w:tc>
      </w:tr>
      <w:tr w:rsidR="00B24F3C" w:rsidRPr="008500D2" w14:paraId="0D9F05DD" w14:textId="77777777" w:rsidTr="00A8011B">
        <w:trPr>
          <w:trHeight w:val="134"/>
        </w:trPr>
        <w:tc>
          <w:tcPr>
            <w:tcW w:w="2052" w:type="dxa"/>
            <w:shd w:val="clear" w:color="auto" w:fill="auto"/>
            <w:tcMar>
              <w:top w:w="60" w:type="dxa"/>
              <w:left w:w="60" w:type="dxa"/>
              <w:bottom w:w="60" w:type="dxa"/>
              <w:right w:w="60" w:type="dxa"/>
            </w:tcMar>
            <w:hideMark/>
          </w:tcPr>
          <w:p w14:paraId="3AF0BF10" w14:textId="77777777" w:rsidR="00B24F3C" w:rsidRPr="008500D2" w:rsidRDefault="00B24F3C" w:rsidP="00B24F3C">
            <w:pPr>
              <w:rPr>
                <w:rFonts w:cs="Arial"/>
                <w:b/>
                <w:bCs/>
              </w:rPr>
            </w:pPr>
            <w:r w:rsidRPr="008500D2">
              <w:rPr>
                <w:rFonts w:cs="Arial"/>
                <w:b/>
                <w:bCs/>
              </w:rPr>
              <w:t>BCLC B</w:t>
            </w:r>
          </w:p>
        </w:tc>
        <w:tc>
          <w:tcPr>
            <w:tcW w:w="906" w:type="dxa"/>
            <w:shd w:val="clear" w:color="auto" w:fill="auto"/>
            <w:tcMar>
              <w:top w:w="60" w:type="dxa"/>
              <w:left w:w="60" w:type="dxa"/>
              <w:bottom w:w="60" w:type="dxa"/>
              <w:right w:w="60" w:type="dxa"/>
            </w:tcMar>
            <w:hideMark/>
          </w:tcPr>
          <w:p w14:paraId="40DE989D" w14:textId="77777777" w:rsidR="00B24F3C" w:rsidRPr="008500D2" w:rsidRDefault="00B24F3C" w:rsidP="00B24F3C">
            <w:pPr>
              <w:rPr>
                <w:rFonts w:cs="Arial"/>
              </w:rPr>
            </w:pPr>
            <w:r w:rsidRPr="008500D2">
              <w:rPr>
                <w:rFonts w:cs="Arial"/>
              </w:rPr>
              <w:t>Binary</w:t>
            </w:r>
          </w:p>
        </w:tc>
        <w:tc>
          <w:tcPr>
            <w:tcW w:w="916" w:type="dxa"/>
            <w:shd w:val="clear" w:color="auto" w:fill="auto"/>
            <w:tcMar>
              <w:top w:w="60" w:type="dxa"/>
              <w:left w:w="60" w:type="dxa"/>
              <w:bottom w:w="60" w:type="dxa"/>
              <w:right w:w="60" w:type="dxa"/>
            </w:tcMar>
            <w:hideMark/>
          </w:tcPr>
          <w:p w14:paraId="369183AC" w14:textId="77777777" w:rsidR="00B24F3C" w:rsidRPr="008500D2" w:rsidRDefault="00B24F3C" w:rsidP="00B24F3C">
            <w:pPr>
              <w:rPr>
                <w:rFonts w:cs="Arial"/>
              </w:rPr>
            </w:pPr>
            <w:r w:rsidRPr="008500D2">
              <w:rPr>
                <w:rFonts w:cs="Arial"/>
              </w:rPr>
              <w:t>0.184</w:t>
            </w:r>
          </w:p>
        </w:tc>
        <w:tc>
          <w:tcPr>
            <w:tcW w:w="1363" w:type="dxa"/>
            <w:shd w:val="clear" w:color="auto" w:fill="auto"/>
            <w:tcMar>
              <w:top w:w="60" w:type="dxa"/>
              <w:left w:w="60" w:type="dxa"/>
              <w:bottom w:w="60" w:type="dxa"/>
              <w:right w:w="60" w:type="dxa"/>
            </w:tcMar>
            <w:hideMark/>
          </w:tcPr>
          <w:p w14:paraId="07751FA6" w14:textId="77777777" w:rsidR="00B24F3C" w:rsidRPr="008500D2" w:rsidRDefault="00B24F3C" w:rsidP="00B24F3C">
            <w:pPr>
              <w:rPr>
                <w:rFonts w:cs="Arial"/>
              </w:rPr>
            </w:pPr>
            <w:r w:rsidRPr="008500D2">
              <w:rPr>
                <w:rFonts w:cs="Arial"/>
              </w:rPr>
              <w:t>NA</w:t>
            </w:r>
          </w:p>
        </w:tc>
        <w:tc>
          <w:tcPr>
            <w:tcW w:w="1276" w:type="dxa"/>
            <w:shd w:val="clear" w:color="auto" w:fill="auto"/>
            <w:tcMar>
              <w:top w:w="60" w:type="dxa"/>
              <w:left w:w="60" w:type="dxa"/>
              <w:bottom w:w="60" w:type="dxa"/>
              <w:right w:w="60" w:type="dxa"/>
            </w:tcMar>
            <w:hideMark/>
          </w:tcPr>
          <w:p w14:paraId="334BE5B1" w14:textId="77777777" w:rsidR="00B24F3C" w:rsidRPr="008500D2" w:rsidRDefault="00B24F3C" w:rsidP="00B24F3C">
            <w:pPr>
              <w:rPr>
                <w:rFonts w:cs="Arial"/>
              </w:rPr>
            </w:pPr>
            <w:r w:rsidRPr="008500D2">
              <w:rPr>
                <w:rFonts w:cs="Arial"/>
              </w:rPr>
              <w:t>0</w:t>
            </w:r>
          </w:p>
        </w:tc>
        <w:tc>
          <w:tcPr>
            <w:tcW w:w="1377" w:type="dxa"/>
            <w:shd w:val="clear" w:color="auto" w:fill="auto"/>
            <w:tcMar>
              <w:top w:w="60" w:type="dxa"/>
              <w:left w:w="60" w:type="dxa"/>
              <w:bottom w:w="60" w:type="dxa"/>
              <w:right w:w="60" w:type="dxa"/>
            </w:tcMar>
            <w:hideMark/>
          </w:tcPr>
          <w:p w14:paraId="01B78E99" w14:textId="77777777" w:rsidR="00B24F3C" w:rsidRPr="008500D2" w:rsidRDefault="00B24F3C" w:rsidP="00B24F3C">
            <w:pPr>
              <w:rPr>
                <w:rFonts w:cs="Arial"/>
              </w:rPr>
            </w:pPr>
            <w:r w:rsidRPr="008500D2">
              <w:rPr>
                <w:rFonts w:cs="Arial"/>
              </w:rPr>
              <w:t>NA</w:t>
            </w:r>
          </w:p>
        </w:tc>
        <w:tc>
          <w:tcPr>
            <w:tcW w:w="1883" w:type="dxa"/>
            <w:shd w:val="clear" w:color="auto" w:fill="auto"/>
            <w:tcMar>
              <w:top w:w="60" w:type="dxa"/>
              <w:left w:w="60" w:type="dxa"/>
              <w:bottom w:w="60" w:type="dxa"/>
              <w:right w:w="60" w:type="dxa"/>
            </w:tcMar>
            <w:hideMark/>
          </w:tcPr>
          <w:p w14:paraId="79E62825" w14:textId="77777777" w:rsidR="00B24F3C" w:rsidRPr="008500D2" w:rsidRDefault="00B24F3C" w:rsidP="00B24F3C">
            <w:pPr>
              <w:rPr>
                <w:rFonts w:cs="Arial"/>
              </w:rPr>
            </w:pPr>
          </w:p>
        </w:tc>
      </w:tr>
      <w:tr w:rsidR="00B24F3C" w:rsidRPr="008500D2" w14:paraId="080D8BCA" w14:textId="77777777" w:rsidTr="00A8011B">
        <w:trPr>
          <w:trHeight w:val="134"/>
        </w:trPr>
        <w:tc>
          <w:tcPr>
            <w:tcW w:w="2052" w:type="dxa"/>
            <w:shd w:val="clear" w:color="auto" w:fill="auto"/>
            <w:tcMar>
              <w:top w:w="60" w:type="dxa"/>
              <w:left w:w="60" w:type="dxa"/>
              <w:bottom w:w="60" w:type="dxa"/>
              <w:right w:w="60" w:type="dxa"/>
            </w:tcMar>
            <w:hideMark/>
          </w:tcPr>
          <w:p w14:paraId="28B0A16A" w14:textId="77777777" w:rsidR="00B24F3C" w:rsidRPr="008500D2" w:rsidRDefault="00B24F3C" w:rsidP="00B24F3C">
            <w:pPr>
              <w:rPr>
                <w:rFonts w:cs="Arial"/>
                <w:b/>
                <w:bCs/>
              </w:rPr>
            </w:pPr>
            <w:r w:rsidRPr="008500D2">
              <w:rPr>
                <w:rFonts w:cs="Arial"/>
                <w:b/>
                <w:bCs/>
              </w:rPr>
              <w:t>Up to7 beyond</w:t>
            </w:r>
          </w:p>
        </w:tc>
        <w:tc>
          <w:tcPr>
            <w:tcW w:w="906" w:type="dxa"/>
            <w:shd w:val="clear" w:color="auto" w:fill="auto"/>
            <w:tcMar>
              <w:top w:w="60" w:type="dxa"/>
              <w:left w:w="60" w:type="dxa"/>
              <w:bottom w:w="60" w:type="dxa"/>
              <w:right w:w="60" w:type="dxa"/>
            </w:tcMar>
            <w:hideMark/>
          </w:tcPr>
          <w:p w14:paraId="1B2D26D8" w14:textId="77777777" w:rsidR="00B24F3C" w:rsidRPr="008500D2" w:rsidRDefault="00B24F3C" w:rsidP="00B24F3C">
            <w:pPr>
              <w:rPr>
                <w:rFonts w:cs="Arial"/>
              </w:rPr>
            </w:pPr>
            <w:r w:rsidRPr="008500D2">
              <w:rPr>
                <w:rFonts w:cs="Arial"/>
              </w:rPr>
              <w:t>Binary</w:t>
            </w:r>
          </w:p>
        </w:tc>
        <w:tc>
          <w:tcPr>
            <w:tcW w:w="916" w:type="dxa"/>
            <w:shd w:val="clear" w:color="auto" w:fill="auto"/>
            <w:tcMar>
              <w:top w:w="60" w:type="dxa"/>
              <w:left w:w="60" w:type="dxa"/>
              <w:bottom w:w="60" w:type="dxa"/>
              <w:right w:w="60" w:type="dxa"/>
            </w:tcMar>
            <w:hideMark/>
          </w:tcPr>
          <w:p w14:paraId="2E37DCF3" w14:textId="77777777" w:rsidR="00B24F3C" w:rsidRPr="008500D2" w:rsidRDefault="00B24F3C" w:rsidP="00B24F3C">
            <w:pPr>
              <w:rPr>
                <w:rFonts w:cs="Arial"/>
              </w:rPr>
            </w:pPr>
            <w:r w:rsidRPr="008500D2">
              <w:rPr>
                <w:rFonts w:cs="Arial"/>
              </w:rPr>
              <w:t>0.235</w:t>
            </w:r>
          </w:p>
        </w:tc>
        <w:tc>
          <w:tcPr>
            <w:tcW w:w="1363" w:type="dxa"/>
            <w:shd w:val="clear" w:color="auto" w:fill="auto"/>
            <w:tcMar>
              <w:top w:w="60" w:type="dxa"/>
              <w:left w:w="60" w:type="dxa"/>
              <w:bottom w:w="60" w:type="dxa"/>
              <w:right w:w="60" w:type="dxa"/>
            </w:tcMar>
            <w:hideMark/>
          </w:tcPr>
          <w:p w14:paraId="30241DC3" w14:textId="77777777" w:rsidR="00B24F3C" w:rsidRPr="008500D2" w:rsidRDefault="00B24F3C" w:rsidP="00B24F3C">
            <w:pPr>
              <w:rPr>
                <w:rFonts w:cs="Arial"/>
              </w:rPr>
            </w:pPr>
            <w:r w:rsidRPr="008500D2">
              <w:rPr>
                <w:rFonts w:cs="Arial"/>
              </w:rPr>
              <w:t>NA</w:t>
            </w:r>
          </w:p>
        </w:tc>
        <w:tc>
          <w:tcPr>
            <w:tcW w:w="1276" w:type="dxa"/>
            <w:shd w:val="clear" w:color="auto" w:fill="auto"/>
            <w:tcMar>
              <w:top w:w="60" w:type="dxa"/>
              <w:left w:w="60" w:type="dxa"/>
              <w:bottom w:w="60" w:type="dxa"/>
              <w:right w:w="60" w:type="dxa"/>
            </w:tcMar>
            <w:hideMark/>
          </w:tcPr>
          <w:p w14:paraId="74968041" w14:textId="77777777" w:rsidR="00B24F3C" w:rsidRPr="008500D2" w:rsidRDefault="00B24F3C" w:rsidP="00B24F3C">
            <w:pPr>
              <w:rPr>
                <w:rFonts w:cs="Arial"/>
              </w:rPr>
            </w:pPr>
            <w:r w:rsidRPr="008500D2">
              <w:rPr>
                <w:rFonts w:cs="Arial"/>
              </w:rPr>
              <w:t>0</w:t>
            </w:r>
          </w:p>
        </w:tc>
        <w:tc>
          <w:tcPr>
            <w:tcW w:w="1377" w:type="dxa"/>
            <w:shd w:val="clear" w:color="auto" w:fill="auto"/>
            <w:tcMar>
              <w:top w:w="60" w:type="dxa"/>
              <w:left w:w="60" w:type="dxa"/>
              <w:bottom w:w="60" w:type="dxa"/>
              <w:right w:w="60" w:type="dxa"/>
            </w:tcMar>
            <w:hideMark/>
          </w:tcPr>
          <w:p w14:paraId="4CC32337" w14:textId="77777777" w:rsidR="00B24F3C" w:rsidRPr="008500D2" w:rsidRDefault="00B24F3C" w:rsidP="00B24F3C">
            <w:pPr>
              <w:rPr>
                <w:rFonts w:cs="Arial"/>
              </w:rPr>
            </w:pPr>
            <w:r w:rsidRPr="008500D2">
              <w:rPr>
                <w:rFonts w:cs="Arial"/>
              </w:rPr>
              <w:t>NA</w:t>
            </w:r>
          </w:p>
        </w:tc>
        <w:tc>
          <w:tcPr>
            <w:tcW w:w="1883" w:type="dxa"/>
            <w:shd w:val="clear" w:color="auto" w:fill="auto"/>
            <w:tcMar>
              <w:top w:w="60" w:type="dxa"/>
              <w:left w:w="60" w:type="dxa"/>
              <w:bottom w:w="60" w:type="dxa"/>
              <w:right w:w="60" w:type="dxa"/>
            </w:tcMar>
            <w:hideMark/>
          </w:tcPr>
          <w:p w14:paraId="752ADA81" w14:textId="77777777" w:rsidR="00B24F3C" w:rsidRPr="008500D2" w:rsidRDefault="00B24F3C" w:rsidP="00B24F3C">
            <w:pPr>
              <w:rPr>
                <w:rFonts w:cs="Arial"/>
              </w:rPr>
            </w:pPr>
          </w:p>
        </w:tc>
      </w:tr>
      <w:tr w:rsidR="00B24F3C" w:rsidRPr="008500D2" w14:paraId="0167F53B" w14:textId="77777777" w:rsidTr="00A8011B">
        <w:trPr>
          <w:trHeight w:val="149"/>
        </w:trPr>
        <w:tc>
          <w:tcPr>
            <w:tcW w:w="2052" w:type="dxa"/>
            <w:shd w:val="clear" w:color="auto" w:fill="auto"/>
            <w:tcMar>
              <w:top w:w="60" w:type="dxa"/>
              <w:left w:w="60" w:type="dxa"/>
              <w:bottom w:w="60" w:type="dxa"/>
              <w:right w:w="60" w:type="dxa"/>
            </w:tcMar>
            <w:hideMark/>
          </w:tcPr>
          <w:p w14:paraId="0AB880DB" w14:textId="77777777" w:rsidR="00B24F3C" w:rsidRPr="008500D2" w:rsidRDefault="00B24F3C" w:rsidP="00B24F3C">
            <w:pPr>
              <w:rPr>
                <w:rFonts w:cs="Arial"/>
                <w:b/>
                <w:bCs/>
              </w:rPr>
            </w:pPr>
            <w:r w:rsidRPr="008500D2">
              <w:rPr>
                <w:rFonts w:cs="Arial"/>
                <w:b/>
                <w:bCs/>
              </w:rPr>
              <w:t xml:space="preserve">Central </w:t>
            </w:r>
          </w:p>
        </w:tc>
        <w:tc>
          <w:tcPr>
            <w:tcW w:w="906" w:type="dxa"/>
            <w:shd w:val="clear" w:color="auto" w:fill="auto"/>
            <w:tcMar>
              <w:top w:w="60" w:type="dxa"/>
              <w:left w:w="60" w:type="dxa"/>
              <w:bottom w:w="60" w:type="dxa"/>
              <w:right w:w="60" w:type="dxa"/>
            </w:tcMar>
            <w:hideMark/>
          </w:tcPr>
          <w:p w14:paraId="6333F513" w14:textId="77777777" w:rsidR="00B24F3C" w:rsidRPr="008500D2" w:rsidRDefault="00B24F3C" w:rsidP="00B24F3C">
            <w:pPr>
              <w:rPr>
                <w:rFonts w:cs="Arial"/>
              </w:rPr>
            </w:pPr>
            <w:r w:rsidRPr="008500D2">
              <w:rPr>
                <w:rFonts w:cs="Arial"/>
              </w:rPr>
              <w:t>Binary</w:t>
            </w:r>
          </w:p>
        </w:tc>
        <w:tc>
          <w:tcPr>
            <w:tcW w:w="916" w:type="dxa"/>
            <w:shd w:val="clear" w:color="auto" w:fill="auto"/>
            <w:tcMar>
              <w:top w:w="60" w:type="dxa"/>
              <w:left w:w="60" w:type="dxa"/>
              <w:bottom w:w="60" w:type="dxa"/>
              <w:right w:w="60" w:type="dxa"/>
            </w:tcMar>
            <w:hideMark/>
          </w:tcPr>
          <w:p w14:paraId="5B4DB77D" w14:textId="77777777" w:rsidR="00B24F3C" w:rsidRPr="008500D2" w:rsidRDefault="00B24F3C" w:rsidP="00B24F3C">
            <w:pPr>
              <w:rPr>
                <w:rFonts w:cs="Arial"/>
              </w:rPr>
            </w:pPr>
            <w:r w:rsidRPr="008500D2">
              <w:rPr>
                <w:rFonts w:cs="Arial"/>
              </w:rPr>
              <w:t>0.264</w:t>
            </w:r>
          </w:p>
        </w:tc>
        <w:tc>
          <w:tcPr>
            <w:tcW w:w="1363" w:type="dxa"/>
            <w:shd w:val="clear" w:color="auto" w:fill="auto"/>
            <w:tcMar>
              <w:top w:w="60" w:type="dxa"/>
              <w:left w:w="60" w:type="dxa"/>
              <w:bottom w:w="60" w:type="dxa"/>
              <w:right w:w="60" w:type="dxa"/>
            </w:tcMar>
            <w:hideMark/>
          </w:tcPr>
          <w:p w14:paraId="4F850B3A" w14:textId="77777777" w:rsidR="00B24F3C" w:rsidRPr="008500D2" w:rsidRDefault="00B24F3C" w:rsidP="00B24F3C">
            <w:pPr>
              <w:rPr>
                <w:rFonts w:cs="Arial"/>
              </w:rPr>
            </w:pPr>
            <w:r w:rsidRPr="008500D2">
              <w:rPr>
                <w:rFonts w:cs="Arial"/>
              </w:rPr>
              <w:t>NA</w:t>
            </w:r>
          </w:p>
        </w:tc>
        <w:tc>
          <w:tcPr>
            <w:tcW w:w="1276" w:type="dxa"/>
            <w:shd w:val="clear" w:color="auto" w:fill="auto"/>
            <w:tcMar>
              <w:top w:w="60" w:type="dxa"/>
              <w:left w:w="60" w:type="dxa"/>
              <w:bottom w:w="60" w:type="dxa"/>
              <w:right w:w="60" w:type="dxa"/>
            </w:tcMar>
            <w:hideMark/>
          </w:tcPr>
          <w:p w14:paraId="3E0CA196" w14:textId="77777777" w:rsidR="00B24F3C" w:rsidRPr="008500D2" w:rsidRDefault="00B24F3C" w:rsidP="00B24F3C">
            <w:pPr>
              <w:rPr>
                <w:rFonts w:cs="Arial"/>
              </w:rPr>
            </w:pPr>
            <w:r w:rsidRPr="008500D2">
              <w:rPr>
                <w:rFonts w:cs="Arial"/>
              </w:rPr>
              <w:t>0</w:t>
            </w:r>
          </w:p>
        </w:tc>
        <w:tc>
          <w:tcPr>
            <w:tcW w:w="1377" w:type="dxa"/>
            <w:shd w:val="clear" w:color="auto" w:fill="auto"/>
            <w:tcMar>
              <w:top w:w="60" w:type="dxa"/>
              <w:left w:w="60" w:type="dxa"/>
              <w:bottom w:w="60" w:type="dxa"/>
              <w:right w:w="60" w:type="dxa"/>
            </w:tcMar>
            <w:hideMark/>
          </w:tcPr>
          <w:p w14:paraId="059FD874" w14:textId="77777777" w:rsidR="00B24F3C" w:rsidRPr="008500D2" w:rsidRDefault="00B24F3C" w:rsidP="00B24F3C">
            <w:pPr>
              <w:rPr>
                <w:rFonts w:cs="Arial"/>
              </w:rPr>
            </w:pPr>
            <w:r w:rsidRPr="008500D2">
              <w:rPr>
                <w:rFonts w:cs="Arial"/>
              </w:rPr>
              <w:t>NA</w:t>
            </w:r>
          </w:p>
        </w:tc>
        <w:tc>
          <w:tcPr>
            <w:tcW w:w="1883" w:type="dxa"/>
            <w:shd w:val="clear" w:color="auto" w:fill="auto"/>
            <w:tcMar>
              <w:top w:w="60" w:type="dxa"/>
              <w:left w:w="60" w:type="dxa"/>
              <w:bottom w:w="60" w:type="dxa"/>
              <w:right w:w="60" w:type="dxa"/>
            </w:tcMar>
            <w:hideMark/>
          </w:tcPr>
          <w:p w14:paraId="603F8F43" w14:textId="77777777" w:rsidR="00B24F3C" w:rsidRPr="008500D2" w:rsidRDefault="00B24F3C" w:rsidP="00B24F3C">
            <w:pPr>
              <w:rPr>
                <w:rFonts w:cs="Arial"/>
              </w:rPr>
            </w:pPr>
          </w:p>
        </w:tc>
      </w:tr>
      <w:tr w:rsidR="00B24F3C" w:rsidRPr="008500D2" w14:paraId="650B671B" w14:textId="77777777" w:rsidTr="00A8011B">
        <w:trPr>
          <w:trHeight w:val="134"/>
        </w:trPr>
        <w:tc>
          <w:tcPr>
            <w:tcW w:w="2052" w:type="dxa"/>
            <w:shd w:val="clear" w:color="auto" w:fill="auto"/>
            <w:tcMar>
              <w:top w:w="60" w:type="dxa"/>
              <w:left w:w="60" w:type="dxa"/>
              <w:bottom w:w="60" w:type="dxa"/>
              <w:right w:w="60" w:type="dxa"/>
            </w:tcMar>
            <w:hideMark/>
          </w:tcPr>
          <w:p w14:paraId="0C377D87" w14:textId="77777777" w:rsidR="00B24F3C" w:rsidRPr="008500D2" w:rsidRDefault="00B24F3C" w:rsidP="00B24F3C">
            <w:pPr>
              <w:rPr>
                <w:rFonts w:cs="Arial"/>
                <w:b/>
                <w:bCs/>
              </w:rPr>
            </w:pPr>
            <w:proofErr w:type="spellStart"/>
            <w:r w:rsidRPr="008500D2">
              <w:rPr>
                <w:rFonts w:cs="Arial"/>
                <w:b/>
                <w:bCs/>
              </w:rPr>
              <w:t>child_pugh_B</w:t>
            </w:r>
            <w:proofErr w:type="spellEnd"/>
          </w:p>
        </w:tc>
        <w:tc>
          <w:tcPr>
            <w:tcW w:w="906" w:type="dxa"/>
            <w:shd w:val="clear" w:color="auto" w:fill="auto"/>
            <w:tcMar>
              <w:top w:w="60" w:type="dxa"/>
              <w:left w:w="60" w:type="dxa"/>
              <w:bottom w:w="60" w:type="dxa"/>
              <w:right w:w="60" w:type="dxa"/>
            </w:tcMar>
            <w:hideMark/>
          </w:tcPr>
          <w:p w14:paraId="47D75426" w14:textId="77777777" w:rsidR="00B24F3C" w:rsidRPr="008500D2" w:rsidRDefault="00B24F3C" w:rsidP="00B24F3C">
            <w:pPr>
              <w:rPr>
                <w:rFonts w:cs="Arial"/>
              </w:rPr>
            </w:pPr>
            <w:r w:rsidRPr="008500D2">
              <w:rPr>
                <w:rFonts w:cs="Arial"/>
              </w:rPr>
              <w:t>Binary</w:t>
            </w:r>
          </w:p>
        </w:tc>
        <w:tc>
          <w:tcPr>
            <w:tcW w:w="916" w:type="dxa"/>
            <w:shd w:val="clear" w:color="auto" w:fill="auto"/>
            <w:tcMar>
              <w:top w:w="60" w:type="dxa"/>
              <w:left w:w="60" w:type="dxa"/>
              <w:bottom w:w="60" w:type="dxa"/>
              <w:right w:w="60" w:type="dxa"/>
            </w:tcMar>
            <w:hideMark/>
          </w:tcPr>
          <w:p w14:paraId="2AC40C50" w14:textId="77777777" w:rsidR="00B24F3C" w:rsidRPr="008500D2" w:rsidRDefault="00B24F3C" w:rsidP="00B24F3C">
            <w:pPr>
              <w:rPr>
                <w:rFonts w:cs="Arial"/>
              </w:rPr>
            </w:pPr>
            <w:r w:rsidRPr="008500D2">
              <w:rPr>
                <w:rFonts w:cs="Arial"/>
              </w:rPr>
              <w:t>0.046</w:t>
            </w:r>
          </w:p>
        </w:tc>
        <w:tc>
          <w:tcPr>
            <w:tcW w:w="1363" w:type="dxa"/>
            <w:shd w:val="clear" w:color="auto" w:fill="auto"/>
            <w:tcMar>
              <w:top w:w="60" w:type="dxa"/>
              <w:left w:w="60" w:type="dxa"/>
              <w:bottom w:w="60" w:type="dxa"/>
              <w:right w:w="60" w:type="dxa"/>
            </w:tcMar>
            <w:hideMark/>
          </w:tcPr>
          <w:p w14:paraId="3E191468" w14:textId="77777777" w:rsidR="00B24F3C" w:rsidRPr="008500D2" w:rsidRDefault="00B24F3C" w:rsidP="00B24F3C">
            <w:pPr>
              <w:rPr>
                <w:rFonts w:cs="Arial"/>
              </w:rPr>
            </w:pPr>
            <w:r w:rsidRPr="008500D2">
              <w:rPr>
                <w:rFonts w:cs="Arial"/>
              </w:rPr>
              <w:t>NA</w:t>
            </w:r>
          </w:p>
        </w:tc>
        <w:tc>
          <w:tcPr>
            <w:tcW w:w="1276" w:type="dxa"/>
            <w:shd w:val="clear" w:color="auto" w:fill="auto"/>
            <w:tcMar>
              <w:top w:w="60" w:type="dxa"/>
              <w:left w:w="60" w:type="dxa"/>
              <w:bottom w:w="60" w:type="dxa"/>
              <w:right w:w="60" w:type="dxa"/>
            </w:tcMar>
            <w:hideMark/>
          </w:tcPr>
          <w:p w14:paraId="6330AE39" w14:textId="77777777" w:rsidR="00B24F3C" w:rsidRPr="008500D2" w:rsidRDefault="00B24F3C" w:rsidP="00B24F3C">
            <w:pPr>
              <w:rPr>
                <w:rFonts w:cs="Arial"/>
              </w:rPr>
            </w:pPr>
            <w:r w:rsidRPr="008500D2">
              <w:rPr>
                <w:rFonts w:cs="Arial"/>
              </w:rPr>
              <w:t>0</w:t>
            </w:r>
          </w:p>
        </w:tc>
        <w:tc>
          <w:tcPr>
            <w:tcW w:w="1377" w:type="dxa"/>
            <w:shd w:val="clear" w:color="auto" w:fill="auto"/>
            <w:tcMar>
              <w:top w:w="60" w:type="dxa"/>
              <w:left w:w="60" w:type="dxa"/>
              <w:bottom w:w="60" w:type="dxa"/>
              <w:right w:w="60" w:type="dxa"/>
            </w:tcMar>
            <w:hideMark/>
          </w:tcPr>
          <w:p w14:paraId="5D98B5BE" w14:textId="77777777" w:rsidR="00B24F3C" w:rsidRPr="008500D2" w:rsidRDefault="00B24F3C" w:rsidP="00B24F3C">
            <w:pPr>
              <w:rPr>
                <w:rFonts w:cs="Arial"/>
              </w:rPr>
            </w:pPr>
            <w:r w:rsidRPr="008500D2">
              <w:rPr>
                <w:rFonts w:cs="Arial"/>
              </w:rPr>
              <w:t>NA</w:t>
            </w:r>
          </w:p>
        </w:tc>
        <w:tc>
          <w:tcPr>
            <w:tcW w:w="1883" w:type="dxa"/>
            <w:shd w:val="clear" w:color="auto" w:fill="auto"/>
            <w:tcMar>
              <w:top w:w="60" w:type="dxa"/>
              <w:left w:w="60" w:type="dxa"/>
              <w:bottom w:w="60" w:type="dxa"/>
              <w:right w:w="60" w:type="dxa"/>
            </w:tcMar>
            <w:hideMark/>
          </w:tcPr>
          <w:p w14:paraId="46812F96" w14:textId="77777777" w:rsidR="00B24F3C" w:rsidRPr="008500D2" w:rsidRDefault="00B24F3C" w:rsidP="00B24F3C">
            <w:pPr>
              <w:rPr>
                <w:rFonts w:cs="Arial"/>
              </w:rPr>
            </w:pPr>
          </w:p>
        </w:tc>
      </w:tr>
      <w:tr w:rsidR="00B24F3C" w:rsidRPr="008500D2" w14:paraId="3FA7C287" w14:textId="77777777" w:rsidTr="00A8011B">
        <w:trPr>
          <w:trHeight w:val="149"/>
        </w:trPr>
        <w:tc>
          <w:tcPr>
            <w:tcW w:w="2052" w:type="dxa"/>
            <w:shd w:val="clear" w:color="auto" w:fill="auto"/>
            <w:tcMar>
              <w:top w:w="60" w:type="dxa"/>
              <w:left w:w="60" w:type="dxa"/>
              <w:bottom w:w="60" w:type="dxa"/>
              <w:right w:w="60" w:type="dxa"/>
            </w:tcMar>
            <w:hideMark/>
          </w:tcPr>
          <w:p w14:paraId="017F59F1" w14:textId="77777777" w:rsidR="00B24F3C" w:rsidRPr="008500D2" w:rsidRDefault="00B24F3C" w:rsidP="00B24F3C">
            <w:pPr>
              <w:rPr>
                <w:rFonts w:cs="Arial"/>
                <w:b/>
                <w:bCs/>
              </w:rPr>
            </w:pPr>
            <w:proofErr w:type="spellStart"/>
            <w:r w:rsidRPr="008500D2">
              <w:rPr>
                <w:rFonts w:cs="Arial"/>
                <w:b/>
                <w:bCs/>
              </w:rPr>
              <w:t>child_pugh</w:t>
            </w:r>
            <w:proofErr w:type="spellEnd"/>
            <w:r w:rsidRPr="008500D2">
              <w:rPr>
                <w:rFonts w:cs="Arial"/>
                <w:b/>
                <w:bCs/>
              </w:rPr>
              <w:t>:&lt;NA&gt;</w:t>
            </w:r>
          </w:p>
        </w:tc>
        <w:tc>
          <w:tcPr>
            <w:tcW w:w="906" w:type="dxa"/>
            <w:shd w:val="clear" w:color="auto" w:fill="auto"/>
            <w:tcMar>
              <w:top w:w="60" w:type="dxa"/>
              <w:left w:w="60" w:type="dxa"/>
              <w:bottom w:w="60" w:type="dxa"/>
              <w:right w:w="60" w:type="dxa"/>
            </w:tcMar>
            <w:hideMark/>
          </w:tcPr>
          <w:p w14:paraId="0DAA31F2" w14:textId="77777777" w:rsidR="00B24F3C" w:rsidRPr="008500D2" w:rsidRDefault="00B24F3C" w:rsidP="00B24F3C">
            <w:pPr>
              <w:rPr>
                <w:rFonts w:cs="Arial"/>
              </w:rPr>
            </w:pPr>
            <w:r w:rsidRPr="008500D2">
              <w:rPr>
                <w:rFonts w:cs="Arial"/>
              </w:rPr>
              <w:t>Binary</w:t>
            </w:r>
          </w:p>
        </w:tc>
        <w:tc>
          <w:tcPr>
            <w:tcW w:w="916" w:type="dxa"/>
            <w:shd w:val="clear" w:color="auto" w:fill="auto"/>
            <w:tcMar>
              <w:top w:w="60" w:type="dxa"/>
              <w:left w:w="60" w:type="dxa"/>
              <w:bottom w:w="60" w:type="dxa"/>
              <w:right w:w="60" w:type="dxa"/>
            </w:tcMar>
            <w:hideMark/>
          </w:tcPr>
          <w:p w14:paraId="554AB7A7" w14:textId="77777777" w:rsidR="00B24F3C" w:rsidRPr="008500D2" w:rsidRDefault="00B24F3C" w:rsidP="00B24F3C">
            <w:pPr>
              <w:rPr>
                <w:rFonts w:cs="Arial"/>
              </w:rPr>
            </w:pPr>
            <w:r w:rsidRPr="008500D2">
              <w:rPr>
                <w:rFonts w:cs="Arial"/>
              </w:rPr>
              <w:t>-0.032</w:t>
            </w:r>
          </w:p>
        </w:tc>
        <w:tc>
          <w:tcPr>
            <w:tcW w:w="1363" w:type="dxa"/>
            <w:shd w:val="clear" w:color="auto" w:fill="auto"/>
            <w:tcMar>
              <w:top w:w="60" w:type="dxa"/>
              <w:left w:w="60" w:type="dxa"/>
              <w:bottom w:w="60" w:type="dxa"/>
              <w:right w:w="60" w:type="dxa"/>
            </w:tcMar>
            <w:hideMark/>
          </w:tcPr>
          <w:p w14:paraId="2E74637D" w14:textId="77777777" w:rsidR="00B24F3C" w:rsidRPr="008500D2" w:rsidRDefault="00B24F3C" w:rsidP="00B24F3C">
            <w:pPr>
              <w:rPr>
                <w:rFonts w:cs="Arial"/>
              </w:rPr>
            </w:pPr>
            <w:r w:rsidRPr="008500D2">
              <w:rPr>
                <w:rFonts w:cs="Arial"/>
              </w:rPr>
              <w:t>NA</w:t>
            </w:r>
          </w:p>
        </w:tc>
        <w:tc>
          <w:tcPr>
            <w:tcW w:w="1276" w:type="dxa"/>
            <w:shd w:val="clear" w:color="auto" w:fill="auto"/>
            <w:tcMar>
              <w:top w:w="60" w:type="dxa"/>
              <w:left w:w="60" w:type="dxa"/>
              <w:bottom w:w="60" w:type="dxa"/>
              <w:right w:w="60" w:type="dxa"/>
            </w:tcMar>
            <w:hideMark/>
          </w:tcPr>
          <w:p w14:paraId="42197E17" w14:textId="77777777" w:rsidR="00B24F3C" w:rsidRPr="008500D2" w:rsidRDefault="00B24F3C" w:rsidP="00B24F3C">
            <w:pPr>
              <w:rPr>
                <w:rFonts w:cs="Arial"/>
              </w:rPr>
            </w:pPr>
            <w:r w:rsidRPr="008500D2">
              <w:rPr>
                <w:rFonts w:cs="Arial"/>
              </w:rPr>
              <w:t>0</w:t>
            </w:r>
          </w:p>
        </w:tc>
        <w:tc>
          <w:tcPr>
            <w:tcW w:w="1377" w:type="dxa"/>
            <w:shd w:val="clear" w:color="auto" w:fill="auto"/>
            <w:tcMar>
              <w:top w:w="60" w:type="dxa"/>
              <w:left w:w="60" w:type="dxa"/>
              <w:bottom w:w="60" w:type="dxa"/>
              <w:right w:w="60" w:type="dxa"/>
            </w:tcMar>
            <w:hideMark/>
          </w:tcPr>
          <w:p w14:paraId="6706FD5D" w14:textId="77777777" w:rsidR="00B24F3C" w:rsidRPr="008500D2" w:rsidRDefault="00B24F3C" w:rsidP="00B24F3C">
            <w:pPr>
              <w:rPr>
                <w:rFonts w:cs="Arial"/>
              </w:rPr>
            </w:pPr>
            <w:r w:rsidRPr="008500D2">
              <w:rPr>
                <w:rFonts w:cs="Arial"/>
              </w:rPr>
              <w:t>NA</w:t>
            </w:r>
          </w:p>
        </w:tc>
        <w:tc>
          <w:tcPr>
            <w:tcW w:w="1883" w:type="dxa"/>
            <w:shd w:val="clear" w:color="auto" w:fill="auto"/>
            <w:tcMar>
              <w:top w:w="60" w:type="dxa"/>
              <w:left w:w="60" w:type="dxa"/>
              <w:bottom w:w="60" w:type="dxa"/>
              <w:right w:w="60" w:type="dxa"/>
            </w:tcMar>
            <w:hideMark/>
          </w:tcPr>
          <w:p w14:paraId="1232BDCB" w14:textId="77777777" w:rsidR="00B24F3C" w:rsidRPr="008500D2" w:rsidRDefault="00B24F3C" w:rsidP="00B24F3C">
            <w:pPr>
              <w:rPr>
                <w:rFonts w:cs="Arial"/>
              </w:rPr>
            </w:pPr>
          </w:p>
        </w:tc>
      </w:tr>
      <w:tr w:rsidR="00B24F3C" w:rsidRPr="008500D2" w14:paraId="4EBC8FA3" w14:textId="77777777" w:rsidTr="00A8011B">
        <w:trPr>
          <w:trHeight w:val="134"/>
        </w:trPr>
        <w:tc>
          <w:tcPr>
            <w:tcW w:w="2052" w:type="dxa"/>
            <w:shd w:val="clear" w:color="auto" w:fill="auto"/>
            <w:tcMar>
              <w:top w:w="60" w:type="dxa"/>
              <w:left w:w="60" w:type="dxa"/>
              <w:bottom w:w="60" w:type="dxa"/>
              <w:right w:w="60" w:type="dxa"/>
            </w:tcMar>
            <w:hideMark/>
          </w:tcPr>
          <w:p w14:paraId="21DE8E36" w14:textId="77777777" w:rsidR="00B24F3C" w:rsidRPr="008500D2" w:rsidRDefault="00B24F3C" w:rsidP="00B24F3C">
            <w:pPr>
              <w:rPr>
                <w:rFonts w:cs="Arial"/>
                <w:b/>
                <w:bCs/>
              </w:rPr>
            </w:pPr>
            <w:r w:rsidRPr="008500D2">
              <w:rPr>
                <w:rFonts w:cs="Arial"/>
                <w:b/>
                <w:bCs/>
              </w:rPr>
              <w:t>ns(age, 3)1</w:t>
            </w:r>
          </w:p>
        </w:tc>
        <w:tc>
          <w:tcPr>
            <w:tcW w:w="906" w:type="dxa"/>
            <w:shd w:val="clear" w:color="auto" w:fill="auto"/>
            <w:tcMar>
              <w:top w:w="60" w:type="dxa"/>
              <w:left w:w="60" w:type="dxa"/>
              <w:bottom w:w="60" w:type="dxa"/>
              <w:right w:w="60" w:type="dxa"/>
            </w:tcMar>
            <w:hideMark/>
          </w:tcPr>
          <w:p w14:paraId="720266EF" w14:textId="77777777" w:rsidR="00B24F3C" w:rsidRPr="008500D2" w:rsidRDefault="00B24F3C" w:rsidP="00B24F3C">
            <w:pPr>
              <w:rPr>
                <w:rFonts w:cs="Arial"/>
              </w:rPr>
            </w:pPr>
            <w:r w:rsidRPr="008500D2">
              <w:rPr>
                <w:rFonts w:cs="Arial"/>
              </w:rPr>
              <w:t>Contin.</w:t>
            </w:r>
          </w:p>
        </w:tc>
        <w:tc>
          <w:tcPr>
            <w:tcW w:w="916" w:type="dxa"/>
            <w:shd w:val="clear" w:color="auto" w:fill="auto"/>
            <w:tcMar>
              <w:top w:w="60" w:type="dxa"/>
              <w:left w:w="60" w:type="dxa"/>
              <w:bottom w:w="60" w:type="dxa"/>
              <w:right w:w="60" w:type="dxa"/>
            </w:tcMar>
            <w:hideMark/>
          </w:tcPr>
          <w:p w14:paraId="6133DD4D" w14:textId="77777777" w:rsidR="00B24F3C" w:rsidRPr="008500D2" w:rsidRDefault="00B24F3C" w:rsidP="00B24F3C">
            <w:pPr>
              <w:rPr>
                <w:rFonts w:cs="Arial"/>
              </w:rPr>
            </w:pPr>
            <w:r w:rsidRPr="008500D2">
              <w:rPr>
                <w:rFonts w:cs="Arial"/>
              </w:rPr>
              <w:t>-0.031</w:t>
            </w:r>
          </w:p>
        </w:tc>
        <w:tc>
          <w:tcPr>
            <w:tcW w:w="1363" w:type="dxa"/>
            <w:shd w:val="clear" w:color="auto" w:fill="auto"/>
            <w:tcMar>
              <w:top w:w="60" w:type="dxa"/>
              <w:left w:w="60" w:type="dxa"/>
              <w:bottom w:w="60" w:type="dxa"/>
              <w:right w:w="60" w:type="dxa"/>
            </w:tcMar>
            <w:hideMark/>
          </w:tcPr>
          <w:p w14:paraId="1DBDC431" w14:textId="77777777" w:rsidR="00B24F3C" w:rsidRPr="008500D2" w:rsidRDefault="00B24F3C" w:rsidP="00B24F3C">
            <w:pPr>
              <w:rPr>
                <w:rFonts w:cs="Arial"/>
              </w:rPr>
            </w:pPr>
            <w:r w:rsidRPr="008500D2">
              <w:rPr>
                <w:rFonts w:cs="Arial"/>
              </w:rPr>
              <w:t>1.097</w:t>
            </w:r>
          </w:p>
        </w:tc>
        <w:tc>
          <w:tcPr>
            <w:tcW w:w="1276" w:type="dxa"/>
            <w:shd w:val="clear" w:color="auto" w:fill="auto"/>
            <w:tcMar>
              <w:top w:w="60" w:type="dxa"/>
              <w:left w:w="60" w:type="dxa"/>
              <w:bottom w:w="60" w:type="dxa"/>
              <w:right w:w="60" w:type="dxa"/>
            </w:tcMar>
            <w:hideMark/>
          </w:tcPr>
          <w:p w14:paraId="141C50E3" w14:textId="77777777" w:rsidR="00B24F3C" w:rsidRPr="008500D2" w:rsidRDefault="00B24F3C" w:rsidP="00B24F3C">
            <w:pPr>
              <w:rPr>
                <w:rFonts w:cs="Arial"/>
              </w:rPr>
            </w:pPr>
            <w:r w:rsidRPr="008500D2">
              <w:rPr>
                <w:rFonts w:cs="Arial"/>
              </w:rPr>
              <w:t>0</w:t>
            </w:r>
          </w:p>
        </w:tc>
        <w:tc>
          <w:tcPr>
            <w:tcW w:w="1377" w:type="dxa"/>
            <w:shd w:val="clear" w:color="auto" w:fill="auto"/>
            <w:tcMar>
              <w:top w:w="60" w:type="dxa"/>
              <w:left w:w="60" w:type="dxa"/>
              <w:bottom w:w="60" w:type="dxa"/>
              <w:right w:w="60" w:type="dxa"/>
            </w:tcMar>
            <w:hideMark/>
          </w:tcPr>
          <w:p w14:paraId="1D57DA13" w14:textId="77777777" w:rsidR="00B24F3C" w:rsidRPr="008500D2" w:rsidRDefault="00B24F3C" w:rsidP="00B24F3C">
            <w:pPr>
              <w:rPr>
                <w:rFonts w:cs="Arial"/>
              </w:rPr>
            </w:pPr>
            <w:r w:rsidRPr="008500D2">
              <w:rPr>
                <w:rFonts w:cs="Arial"/>
              </w:rPr>
              <w:t>1.02</w:t>
            </w:r>
          </w:p>
        </w:tc>
        <w:tc>
          <w:tcPr>
            <w:tcW w:w="1883" w:type="dxa"/>
            <w:shd w:val="clear" w:color="auto" w:fill="auto"/>
            <w:tcMar>
              <w:top w:w="60" w:type="dxa"/>
              <w:left w:w="60" w:type="dxa"/>
              <w:bottom w:w="60" w:type="dxa"/>
              <w:right w:w="60" w:type="dxa"/>
            </w:tcMar>
            <w:hideMark/>
          </w:tcPr>
          <w:p w14:paraId="4E55DAED" w14:textId="77777777" w:rsidR="00B24F3C" w:rsidRPr="008500D2" w:rsidRDefault="00B24F3C" w:rsidP="00B24F3C">
            <w:pPr>
              <w:rPr>
                <w:rFonts w:cs="Arial"/>
              </w:rPr>
            </w:pPr>
            <w:r w:rsidRPr="008500D2">
              <w:rPr>
                <w:rFonts w:cs="Arial"/>
              </w:rPr>
              <w:t>Balanced, &lt;2</w:t>
            </w:r>
          </w:p>
        </w:tc>
      </w:tr>
      <w:tr w:rsidR="00B24F3C" w:rsidRPr="008500D2" w14:paraId="4510332C" w14:textId="77777777" w:rsidTr="00A8011B">
        <w:trPr>
          <w:trHeight w:val="134"/>
        </w:trPr>
        <w:tc>
          <w:tcPr>
            <w:tcW w:w="2052" w:type="dxa"/>
            <w:shd w:val="clear" w:color="auto" w:fill="auto"/>
            <w:tcMar>
              <w:top w:w="60" w:type="dxa"/>
              <w:left w:w="60" w:type="dxa"/>
              <w:bottom w:w="60" w:type="dxa"/>
              <w:right w:w="60" w:type="dxa"/>
            </w:tcMar>
            <w:hideMark/>
          </w:tcPr>
          <w:p w14:paraId="32DF3C61" w14:textId="77777777" w:rsidR="00B24F3C" w:rsidRPr="008500D2" w:rsidRDefault="00B24F3C" w:rsidP="00B24F3C">
            <w:pPr>
              <w:rPr>
                <w:rFonts w:cs="Arial"/>
                <w:b/>
                <w:bCs/>
              </w:rPr>
            </w:pPr>
            <w:r w:rsidRPr="008500D2">
              <w:rPr>
                <w:rFonts w:cs="Arial"/>
                <w:b/>
                <w:bCs/>
              </w:rPr>
              <w:t>ns(age, 3)2</w:t>
            </w:r>
          </w:p>
        </w:tc>
        <w:tc>
          <w:tcPr>
            <w:tcW w:w="906" w:type="dxa"/>
            <w:shd w:val="clear" w:color="auto" w:fill="auto"/>
            <w:tcMar>
              <w:top w:w="60" w:type="dxa"/>
              <w:left w:w="60" w:type="dxa"/>
              <w:bottom w:w="60" w:type="dxa"/>
              <w:right w:w="60" w:type="dxa"/>
            </w:tcMar>
            <w:hideMark/>
          </w:tcPr>
          <w:p w14:paraId="391C18C0" w14:textId="77777777" w:rsidR="00B24F3C" w:rsidRPr="008500D2" w:rsidRDefault="00B24F3C" w:rsidP="00B24F3C">
            <w:pPr>
              <w:rPr>
                <w:rFonts w:cs="Arial"/>
              </w:rPr>
            </w:pPr>
            <w:r w:rsidRPr="008500D2">
              <w:rPr>
                <w:rFonts w:cs="Arial"/>
              </w:rPr>
              <w:t>Contin.</w:t>
            </w:r>
          </w:p>
        </w:tc>
        <w:tc>
          <w:tcPr>
            <w:tcW w:w="916" w:type="dxa"/>
            <w:shd w:val="clear" w:color="auto" w:fill="auto"/>
            <w:tcMar>
              <w:top w:w="60" w:type="dxa"/>
              <w:left w:w="60" w:type="dxa"/>
              <w:bottom w:w="60" w:type="dxa"/>
              <w:right w:w="60" w:type="dxa"/>
            </w:tcMar>
            <w:hideMark/>
          </w:tcPr>
          <w:p w14:paraId="05EE4A7B" w14:textId="77777777" w:rsidR="00B24F3C" w:rsidRPr="008500D2" w:rsidRDefault="00B24F3C" w:rsidP="00B24F3C">
            <w:pPr>
              <w:rPr>
                <w:rFonts w:cs="Arial"/>
              </w:rPr>
            </w:pPr>
            <w:r w:rsidRPr="008500D2">
              <w:rPr>
                <w:rFonts w:cs="Arial"/>
              </w:rPr>
              <w:t>0.048</w:t>
            </w:r>
          </w:p>
        </w:tc>
        <w:tc>
          <w:tcPr>
            <w:tcW w:w="1363" w:type="dxa"/>
            <w:shd w:val="clear" w:color="auto" w:fill="auto"/>
            <w:tcMar>
              <w:top w:w="60" w:type="dxa"/>
              <w:left w:w="60" w:type="dxa"/>
              <w:bottom w:w="60" w:type="dxa"/>
              <w:right w:w="60" w:type="dxa"/>
            </w:tcMar>
            <w:hideMark/>
          </w:tcPr>
          <w:p w14:paraId="21AC0429" w14:textId="77777777" w:rsidR="00B24F3C" w:rsidRPr="008500D2" w:rsidRDefault="00B24F3C" w:rsidP="00B24F3C">
            <w:pPr>
              <w:rPr>
                <w:rFonts w:cs="Arial"/>
              </w:rPr>
            </w:pPr>
            <w:r w:rsidRPr="008500D2">
              <w:rPr>
                <w:rFonts w:cs="Arial"/>
              </w:rPr>
              <w:t>0.951</w:t>
            </w:r>
          </w:p>
        </w:tc>
        <w:tc>
          <w:tcPr>
            <w:tcW w:w="1276" w:type="dxa"/>
            <w:shd w:val="clear" w:color="auto" w:fill="auto"/>
            <w:tcMar>
              <w:top w:w="60" w:type="dxa"/>
              <w:left w:w="60" w:type="dxa"/>
              <w:bottom w:w="60" w:type="dxa"/>
              <w:right w:w="60" w:type="dxa"/>
            </w:tcMar>
            <w:hideMark/>
          </w:tcPr>
          <w:p w14:paraId="5F286A91" w14:textId="77777777" w:rsidR="00B24F3C" w:rsidRPr="008500D2" w:rsidRDefault="00B24F3C" w:rsidP="00B24F3C">
            <w:pPr>
              <w:rPr>
                <w:rFonts w:cs="Arial"/>
              </w:rPr>
            </w:pPr>
            <w:r w:rsidRPr="008500D2">
              <w:rPr>
                <w:rFonts w:cs="Arial"/>
              </w:rPr>
              <w:t>0</w:t>
            </w:r>
          </w:p>
        </w:tc>
        <w:tc>
          <w:tcPr>
            <w:tcW w:w="1377" w:type="dxa"/>
            <w:shd w:val="clear" w:color="auto" w:fill="auto"/>
            <w:tcMar>
              <w:top w:w="60" w:type="dxa"/>
              <w:left w:w="60" w:type="dxa"/>
              <w:bottom w:w="60" w:type="dxa"/>
              <w:right w:w="60" w:type="dxa"/>
            </w:tcMar>
            <w:hideMark/>
          </w:tcPr>
          <w:p w14:paraId="2C8D1611" w14:textId="77777777" w:rsidR="00B24F3C" w:rsidRPr="008500D2" w:rsidRDefault="00B24F3C" w:rsidP="00B24F3C">
            <w:pPr>
              <w:rPr>
                <w:rFonts w:cs="Arial"/>
              </w:rPr>
            </w:pPr>
            <w:r w:rsidRPr="008500D2">
              <w:rPr>
                <w:rFonts w:cs="Arial"/>
              </w:rPr>
              <w:t>1.09</w:t>
            </w:r>
          </w:p>
        </w:tc>
        <w:tc>
          <w:tcPr>
            <w:tcW w:w="1883" w:type="dxa"/>
            <w:shd w:val="clear" w:color="auto" w:fill="auto"/>
            <w:tcMar>
              <w:top w:w="60" w:type="dxa"/>
              <w:left w:w="60" w:type="dxa"/>
              <w:bottom w:w="60" w:type="dxa"/>
              <w:right w:w="60" w:type="dxa"/>
            </w:tcMar>
            <w:hideMark/>
          </w:tcPr>
          <w:p w14:paraId="3B945867" w14:textId="77777777" w:rsidR="00B24F3C" w:rsidRPr="008500D2" w:rsidRDefault="00B24F3C" w:rsidP="00B24F3C">
            <w:pPr>
              <w:rPr>
                <w:rFonts w:cs="Arial"/>
              </w:rPr>
            </w:pPr>
            <w:r w:rsidRPr="008500D2">
              <w:rPr>
                <w:rFonts w:cs="Arial"/>
              </w:rPr>
              <w:t>Balanced, &lt;2</w:t>
            </w:r>
          </w:p>
        </w:tc>
      </w:tr>
      <w:tr w:rsidR="00B24F3C" w:rsidRPr="008500D2" w14:paraId="5E0CBCF0" w14:textId="77777777" w:rsidTr="00A8011B">
        <w:trPr>
          <w:trHeight w:val="149"/>
        </w:trPr>
        <w:tc>
          <w:tcPr>
            <w:tcW w:w="2052" w:type="dxa"/>
            <w:shd w:val="clear" w:color="auto" w:fill="auto"/>
            <w:tcMar>
              <w:top w:w="60" w:type="dxa"/>
              <w:left w:w="60" w:type="dxa"/>
              <w:bottom w:w="60" w:type="dxa"/>
              <w:right w:w="60" w:type="dxa"/>
            </w:tcMar>
            <w:hideMark/>
          </w:tcPr>
          <w:p w14:paraId="1987EAF7" w14:textId="77777777" w:rsidR="00B24F3C" w:rsidRPr="008500D2" w:rsidRDefault="00B24F3C" w:rsidP="00B24F3C">
            <w:pPr>
              <w:rPr>
                <w:rFonts w:cs="Arial"/>
                <w:b/>
                <w:bCs/>
              </w:rPr>
            </w:pPr>
            <w:r w:rsidRPr="008500D2">
              <w:rPr>
                <w:rFonts w:cs="Arial"/>
                <w:b/>
                <w:bCs/>
              </w:rPr>
              <w:t>ns(age, 3)3</w:t>
            </w:r>
          </w:p>
        </w:tc>
        <w:tc>
          <w:tcPr>
            <w:tcW w:w="906" w:type="dxa"/>
            <w:shd w:val="clear" w:color="auto" w:fill="auto"/>
            <w:tcMar>
              <w:top w:w="60" w:type="dxa"/>
              <w:left w:w="60" w:type="dxa"/>
              <w:bottom w:w="60" w:type="dxa"/>
              <w:right w:w="60" w:type="dxa"/>
            </w:tcMar>
            <w:hideMark/>
          </w:tcPr>
          <w:p w14:paraId="0E4DC041" w14:textId="77777777" w:rsidR="00B24F3C" w:rsidRPr="008500D2" w:rsidRDefault="00B24F3C" w:rsidP="00B24F3C">
            <w:pPr>
              <w:rPr>
                <w:rFonts w:cs="Arial"/>
              </w:rPr>
            </w:pPr>
            <w:r w:rsidRPr="008500D2">
              <w:rPr>
                <w:rFonts w:cs="Arial"/>
              </w:rPr>
              <w:t>Contin.</w:t>
            </w:r>
          </w:p>
        </w:tc>
        <w:tc>
          <w:tcPr>
            <w:tcW w:w="916" w:type="dxa"/>
            <w:shd w:val="clear" w:color="auto" w:fill="auto"/>
            <w:tcMar>
              <w:top w:w="60" w:type="dxa"/>
              <w:left w:w="60" w:type="dxa"/>
              <w:bottom w:w="60" w:type="dxa"/>
              <w:right w:w="60" w:type="dxa"/>
            </w:tcMar>
            <w:hideMark/>
          </w:tcPr>
          <w:p w14:paraId="57D52BC5" w14:textId="77777777" w:rsidR="00B24F3C" w:rsidRPr="008500D2" w:rsidRDefault="00B24F3C" w:rsidP="00B24F3C">
            <w:pPr>
              <w:rPr>
                <w:rFonts w:cs="Arial"/>
              </w:rPr>
            </w:pPr>
            <w:r w:rsidRPr="008500D2">
              <w:rPr>
                <w:rFonts w:cs="Arial"/>
              </w:rPr>
              <w:t>0.033</w:t>
            </w:r>
          </w:p>
        </w:tc>
        <w:tc>
          <w:tcPr>
            <w:tcW w:w="1363" w:type="dxa"/>
            <w:shd w:val="clear" w:color="auto" w:fill="auto"/>
            <w:tcMar>
              <w:top w:w="60" w:type="dxa"/>
              <w:left w:w="60" w:type="dxa"/>
              <w:bottom w:w="60" w:type="dxa"/>
              <w:right w:w="60" w:type="dxa"/>
            </w:tcMar>
            <w:hideMark/>
          </w:tcPr>
          <w:p w14:paraId="27FCFA36" w14:textId="77777777" w:rsidR="00B24F3C" w:rsidRPr="008500D2" w:rsidRDefault="00B24F3C" w:rsidP="00B24F3C">
            <w:pPr>
              <w:rPr>
                <w:rFonts w:cs="Arial"/>
              </w:rPr>
            </w:pPr>
            <w:r w:rsidRPr="008500D2">
              <w:rPr>
                <w:rFonts w:cs="Arial"/>
              </w:rPr>
              <w:t>1.283</w:t>
            </w:r>
          </w:p>
        </w:tc>
        <w:tc>
          <w:tcPr>
            <w:tcW w:w="1276" w:type="dxa"/>
            <w:shd w:val="clear" w:color="auto" w:fill="auto"/>
            <w:tcMar>
              <w:top w:w="60" w:type="dxa"/>
              <w:left w:w="60" w:type="dxa"/>
              <w:bottom w:w="60" w:type="dxa"/>
              <w:right w:w="60" w:type="dxa"/>
            </w:tcMar>
            <w:hideMark/>
          </w:tcPr>
          <w:p w14:paraId="2F17B4B2" w14:textId="77777777" w:rsidR="00B24F3C" w:rsidRPr="008500D2" w:rsidRDefault="00B24F3C" w:rsidP="00B24F3C">
            <w:pPr>
              <w:rPr>
                <w:rFonts w:cs="Arial"/>
              </w:rPr>
            </w:pPr>
            <w:r w:rsidRPr="008500D2">
              <w:rPr>
                <w:rFonts w:cs="Arial"/>
              </w:rPr>
              <w:t>0</w:t>
            </w:r>
          </w:p>
        </w:tc>
        <w:tc>
          <w:tcPr>
            <w:tcW w:w="1377" w:type="dxa"/>
            <w:shd w:val="clear" w:color="auto" w:fill="auto"/>
            <w:tcMar>
              <w:top w:w="60" w:type="dxa"/>
              <w:left w:w="60" w:type="dxa"/>
              <w:bottom w:w="60" w:type="dxa"/>
              <w:right w:w="60" w:type="dxa"/>
            </w:tcMar>
            <w:hideMark/>
          </w:tcPr>
          <w:p w14:paraId="3B7BEAA7" w14:textId="77777777" w:rsidR="00B24F3C" w:rsidRPr="008500D2" w:rsidRDefault="00B24F3C" w:rsidP="00B24F3C">
            <w:pPr>
              <w:rPr>
                <w:rFonts w:cs="Arial"/>
              </w:rPr>
            </w:pPr>
            <w:r w:rsidRPr="008500D2">
              <w:rPr>
                <w:rFonts w:cs="Arial"/>
              </w:rPr>
              <w:t>1.12</w:t>
            </w:r>
          </w:p>
        </w:tc>
        <w:tc>
          <w:tcPr>
            <w:tcW w:w="1883" w:type="dxa"/>
            <w:shd w:val="clear" w:color="auto" w:fill="auto"/>
            <w:tcMar>
              <w:top w:w="60" w:type="dxa"/>
              <w:left w:w="60" w:type="dxa"/>
              <w:bottom w:w="60" w:type="dxa"/>
              <w:right w:w="60" w:type="dxa"/>
            </w:tcMar>
            <w:hideMark/>
          </w:tcPr>
          <w:p w14:paraId="1BE5E847" w14:textId="77777777" w:rsidR="00B24F3C" w:rsidRPr="008500D2" w:rsidRDefault="00B24F3C" w:rsidP="00B24F3C">
            <w:pPr>
              <w:rPr>
                <w:rFonts w:cs="Arial"/>
              </w:rPr>
            </w:pPr>
            <w:r w:rsidRPr="008500D2">
              <w:rPr>
                <w:rFonts w:cs="Arial"/>
              </w:rPr>
              <w:t>Balanced, &lt;2</w:t>
            </w:r>
          </w:p>
        </w:tc>
      </w:tr>
      <w:tr w:rsidR="00B24F3C" w:rsidRPr="008500D2" w14:paraId="24107EA2" w14:textId="77777777" w:rsidTr="00A8011B">
        <w:trPr>
          <w:trHeight w:val="134"/>
        </w:trPr>
        <w:tc>
          <w:tcPr>
            <w:tcW w:w="2052" w:type="dxa"/>
            <w:shd w:val="clear" w:color="auto" w:fill="auto"/>
            <w:tcMar>
              <w:top w:w="60" w:type="dxa"/>
              <w:left w:w="60" w:type="dxa"/>
              <w:bottom w:w="60" w:type="dxa"/>
              <w:right w:w="60" w:type="dxa"/>
            </w:tcMar>
            <w:hideMark/>
          </w:tcPr>
          <w:p w14:paraId="29B93887" w14:textId="77777777" w:rsidR="00B24F3C" w:rsidRPr="008500D2" w:rsidRDefault="00B24F3C" w:rsidP="00B24F3C">
            <w:pPr>
              <w:rPr>
                <w:rFonts w:cs="Arial"/>
                <w:b/>
                <w:bCs/>
              </w:rPr>
            </w:pPr>
            <w:r w:rsidRPr="008500D2">
              <w:rPr>
                <w:rFonts w:cs="Arial"/>
                <w:b/>
                <w:bCs/>
              </w:rPr>
              <w:t>Sex M</w:t>
            </w:r>
          </w:p>
        </w:tc>
        <w:tc>
          <w:tcPr>
            <w:tcW w:w="906" w:type="dxa"/>
            <w:shd w:val="clear" w:color="auto" w:fill="auto"/>
            <w:tcMar>
              <w:top w:w="60" w:type="dxa"/>
              <w:left w:w="60" w:type="dxa"/>
              <w:bottom w:w="60" w:type="dxa"/>
              <w:right w:w="60" w:type="dxa"/>
            </w:tcMar>
            <w:hideMark/>
          </w:tcPr>
          <w:p w14:paraId="41BA57C1" w14:textId="77777777" w:rsidR="00B24F3C" w:rsidRPr="008500D2" w:rsidRDefault="00B24F3C" w:rsidP="00B24F3C">
            <w:pPr>
              <w:rPr>
                <w:rFonts w:cs="Arial"/>
              </w:rPr>
            </w:pPr>
            <w:r w:rsidRPr="008500D2">
              <w:rPr>
                <w:rFonts w:cs="Arial"/>
              </w:rPr>
              <w:t>Binary</w:t>
            </w:r>
          </w:p>
        </w:tc>
        <w:tc>
          <w:tcPr>
            <w:tcW w:w="916" w:type="dxa"/>
            <w:shd w:val="clear" w:color="auto" w:fill="auto"/>
            <w:tcMar>
              <w:top w:w="60" w:type="dxa"/>
              <w:left w:w="60" w:type="dxa"/>
              <w:bottom w:w="60" w:type="dxa"/>
              <w:right w:w="60" w:type="dxa"/>
            </w:tcMar>
            <w:hideMark/>
          </w:tcPr>
          <w:p w14:paraId="24C5503F" w14:textId="77777777" w:rsidR="00B24F3C" w:rsidRPr="008500D2" w:rsidRDefault="00B24F3C" w:rsidP="00B24F3C">
            <w:pPr>
              <w:rPr>
                <w:rFonts w:cs="Arial"/>
              </w:rPr>
            </w:pPr>
            <w:r w:rsidRPr="008500D2">
              <w:rPr>
                <w:rFonts w:cs="Arial"/>
              </w:rPr>
              <w:t>0.181</w:t>
            </w:r>
          </w:p>
        </w:tc>
        <w:tc>
          <w:tcPr>
            <w:tcW w:w="1363" w:type="dxa"/>
            <w:shd w:val="clear" w:color="auto" w:fill="auto"/>
            <w:tcMar>
              <w:top w:w="60" w:type="dxa"/>
              <w:left w:w="60" w:type="dxa"/>
              <w:bottom w:w="60" w:type="dxa"/>
              <w:right w:w="60" w:type="dxa"/>
            </w:tcMar>
            <w:hideMark/>
          </w:tcPr>
          <w:p w14:paraId="40A43F27" w14:textId="77777777" w:rsidR="00B24F3C" w:rsidRPr="008500D2" w:rsidRDefault="00B24F3C" w:rsidP="00B24F3C">
            <w:pPr>
              <w:rPr>
                <w:rFonts w:cs="Arial"/>
              </w:rPr>
            </w:pPr>
            <w:r w:rsidRPr="008500D2">
              <w:rPr>
                <w:rFonts w:cs="Arial"/>
              </w:rPr>
              <w:t>NA</w:t>
            </w:r>
          </w:p>
        </w:tc>
        <w:tc>
          <w:tcPr>
            <w:tcW w:w="1276" w:type="dxa"/>
            <w:shd w:val="clear" w:color="auto" w:fill="auto"/>
            <w:tcMar>
              <w:top w:w="60" w:type="dxa"/>
              <w:left w:w="60" w:type="dxa"/>
              <w:bottom w:w="60" w:type="dxa"/>
              <w:right w:w="60" w:type="dxa"/>
            </w:tcMar>
            <w:hideMark/>
          </w:tcPr>
          <w:p w14:paraId="781792D5" w14:textId="77777777" w:rsidR="00B24F3C" w:rsidRPr="008500D2" w:rsidRDefault="00B24F3C" w:rsidP="00B24F3C">
            <w:pPr>
              <w:rPr>
                <w:rFonts w:cs="Arial"/>
              </w:rPr>
            </w:pPr>
            <w:r w:rsidRPr="008500D2">
              <w:rPr>
                <w:rFonts w:cs="Arial"/>
              </w:rPr>
              <w:t>0</w:t>
            </w:r>
          </w:p>
        </w:tc>
        <w:tc>
          <w:tcPr>
            <w:tcW w:w="1377" w:type="dxa"/>
            <w:shd w:val="clear" w:color="auto" w:fill="auto"/>
            <w:tcMar>
              <w:top w:w="60" w:type="dxa"/>
              <w:left w:w="60" w:type="dxa"/>
              <w:bottom w:w="60" w:type="dxa"/>
              <w:right w:w="60" w:type="dxa"/>
            </w:tcMar>
            <w:hideMark/>
          </w:tcPr>
          <w:p w14:paraId="3B68E326" w14:textId="77777777" w:rsidR="00B24F3C" w:rsidRPr="008500D2" w:rsidRDefault="00B24F3C" w:rsidP="00B24F3C">
            <w:pPr>
              <w:rPr>
                <w:rFonts w:cs="Arial"/>
              </w:rPr>
            </w:pPr>
            <w:r w:rsidRPr="008500D2">
              <w:rPr>
                <w:rFonts w:cs="Arial"/>
              </w:rPr>
              <w:t>NA</w:t>
            </w:r>
          </w:p>
        </w:tc>
        <w:tc>
          <w:tcPr>
            <w:tcW w:w="1883" w:type="dxa"/>
            <w:shd w:val="clear" w:color="auto" w:fill="auto"/>
            <w:tcMar>
              <w:top w:w="60" w:type="dxa"/>
              <w:left w:w="60" w:type="dxa"/>
              <w:bottom w:w="60" w:type="dxa"/>
              <w:right w:w="60" w:type="dxa"/>
            </w:tcMar>
            <w:hideMark/>
          </w:tcPr>
          <w:p w14:paraId="41DF06B1" w14:textId="77777777" w:rsidR="00B24F3C" w:rsidRPr="008500D2" w:rsidRDefault="00B24F3C" w:rsidP="00B24F3C">
            <w:pPr>
              <w:rPr>
                <w:rFonts w:cs="Arial"/>
              </w:rPr>
            </w:pPr>
          </w:p>
        </w:tc>
      </w:tr>
      <w:tr w:rsidR="00B24F3C" w:rsidRPr="008500D2" w14:paraId="2E699049" w14:textId="77777777" w:rsidTr="00A8011B">
        <w:trPr>
          <w:trHeight w:val="134"/>
        </w:trPr>
        <w:tc>
          <w:tcPr>
            <w:tcW w:w="2052" w:type="dxa"/>
            <w:shd w:val="clear" w:color="auto" w:fill="auto"/>
            <w:tcMar>
              <w:top w:w="60" w:type="dxa"/>
              <w:left w:w="60" w:type="dxa"/>
              <w:bottom w:w="60" w:type="dxa"/>
              <w:right w:w="60" w:type="dxa"/>
            </w:tcMar>
            <w:hideMark/>
          </w:tcPr>
          <w:p w14:paraId="27D6C786" w14:textId="77777777" w:rsidR="00B24F3C" w:rsidRPr="008500D2" w:rsidRDefault="00B24F3C" w:rsidP="00B24F3C">
            <w:pPr>
              <w:rPr>
                <w:rFonts w:cs="Arial"/>
                <w:b/>
                <w:bCs/>
              </w:rPr>
            </w:pPr>
            <w:r w:rsidRPr="008500D2">
              <w:rPr>
                <w:rFonts w:cs="Arial"/>
                <w:b/>
                <w:bCs/>
              </w:rPr>
              <w:t>Viral</w:t>
            </w:r>
          </w:p>
        </w:tc>
        <w:tc>
          <w:tcPr>
            <w:tcW w:w="906" w:type="dxa"/>
            <w:shd w:val="clear" w:color="auto" w:fill="auto"/>
            <w:tcMar>
              <w:top w:w="60" w:type="dxa"/>
              <w:left w:w="60" w:type="dxa"/>
              <w:bottom w:w="60" w:type="dxa"/>
              <w:right w:w="60" w:type="dxa"/>
            </w:tcMar>
            <w:hideMark/>
          </w:tcPr>
          <w:p w14:paraId="75B11BC5" w14:textId="77777777" w:rsidR="00B24F3C" w:rsidRPr="008500D2" w:rsidRDefault="00B24F3C" w:rsidP="00B24F3C">
            <w:pPr>
              <w:rPr>
                <w:rFonts w:cs="Arial"/>
              </w:rPr>
            </w:pPr>
            <w:r w:rsidRPr="008500D2">
              <w:rPr>
                <w:rFonts w:cs="Arial"/>
              </w:rPr>
              <w:t>Binary</w:t>
            </w:r>
          </w:p>
        </w:tc>
        <w:tc>
          <w:tcPr>
            <w:tcW w:w="916" w:type="dxa"/>
            <w:shd w:val="clear" w:color="auto" w:fill="auto"/>
            <w:tcMar>
              <w:top w:w="60" w:type="dxa"/>
              <w:left w:w="60" w:type="dxa"/>
              <w:bottom w:w="60" w:type="dxa"/>
              <w:right w:w="60" w:type="dxa"/>
            </w:tcMar>
            <w:hideMark/>
          </w:tcPr>
          <w:p w14:paraId="26834855" w14:textId="77777777" w:rsidR="00B24F3C" w:rsidRPr="008500D2" w:rsidRDefault="00B24F3C" w:rsidP="00B24F3C">
            <w:pPr>
              <w:rPr>
                <w:rFonts w:cs="Arial"/>
              </w:rPr>
            </w:pPr>
            <w:r w:rsidRPr="008500D2">
              <w:rPr>
                <w:rFonts w:cs="Arial"/>
              </w:rPr>
              <w:t>0.058</w:t>
            </w:r>
          </w:p>
        </w:tc>
        <w:tc>
          <w:tcPr>
            <w:tcW w:w="1363" w:type="dxa"/>
            <w:shd w:val="clear" w:color="auto" w:fill="auto"/>
            <w:tcMar>
              <w:top w:w="60" w:type="dxa"/>
              <w:left w:w="60" w:type="dxa"/>
              <w:bottom w:w="60" w:type="dxa"/>
              <w:right w:w="60" w:type="dxa"/>
            </w:tcMar>
            <w:hideMark/>
          </w:tcPr>
          <w:p w14:paraId="157AB0C9" w14:textId="77777777" w:rsidR="00B24F3C" w:rsidRPr="008500D2" w:rsidRDefault="00B24F3C" w:rsidP="00B24F3C">
            <w:pPr>
              <w:rPr>
                <w:rFonts w:cs="Arial"/>
              </w:rPr>
            </w:pPr>
            <w:r w:rsidRPr="008500D2">
              <w:rPr>
                <w:rFonts w:cs="Arial"/>
              </w:rPr>
              <w:t>NA</w:t>
            </w:r>
          </w:p>
        </w:tc>
        <w:tc>
          <w:tcPr>
            <w:tcW w:w="1276" w:type="dxa"/>
            <w:shd w:val="clear" w:color="auto" w:fill="auto"/>
            <w:tcMar>
              <w:top w:w="60" w:type="dxa"/>
              <w:left w:w="60" w:type="dxa"/>
              <w:bottom w:w="60" w:type="dxa"/>
              <w:right w:w="60" w:type="dxa"/>
            </w:tcMar>
            <w:hideMark/>
          </w:tcPr>
          <w:p w14:paraId="1EDCC293" w14:textId="77777777" w:rsidR="00B24F3C" w:rsidRPr="008500D2" w:rsidRDefault="00B24F3C" w:rsidP="00B24F3C">
            <w:pPr>
              <w:rPr>
                <w:rFonts w:cs="Arial"/>
              </w:rPr>
            </w:pPr>
            <w:r w:rsidRPr="008500D2">
              <w:rPr>
                <w:rFonts w:cs="Arial"/>
              </w:rPr>
              <w:t>0</w:t>
            </w:r>
          </w:p>
        </w:tc>
        <w:tc>
          <w:tcPr>
            <w:tcW w:w="1377" w:type="dxa"/>
            <w:shd w:val="clear" w:color="auto" w:fill="auto"/>
            <w:tcMar>
              <w:top w:w="60" w:type="dxa"/>
              <w:left w:w="60" w:type="dxa"/>
              <w:bottom w:w="60" w:type="dxa"/>
              <w:right w:w="60" w:type="dxa"/>
            </w:tcMar>
            <w:hideMark/>
          </w:tcPr>
          <w:p w14:paraId="162133AF" w14:textId="77777777" w:rsidR="00B24F3C" w:rsidRPr="008500D2" w:rsidRDefault="00B24F3C" w:rsidP="00B24F3C">
            <w:pPr>
              <w:rPr>
                <w:rFonts w:cs="Arial"/>
              </w:rPr>
            </w:pPr>
            <w:r w:rsidRPr="008500D2">
              <w:rPr>
                <w:rFonts w:cs="Arial"/>
              </w:rPr>
              <w:t>NA</w:t>
            </w:r>
          </w:p>
        </w:tc>
        <w:tc>
          <w:tcPr>
            <w:tcW w:w="1883" w:type="dxa"/>
            <w:shd w:val="clear" w:color="auto" w:fill="auto"/>
            <w:tcMar>
              <w:top w:w="60" w:type="dxa"/>
              <w:left w:w="60" w:type="dxa"/>
              <w:bottom w:w="60" w:type="dxa"/>
              <w:right w:w="60" w:type="dxa"/>
            </w:tcMar>
            <w:hideMark/>
          </w:tcPr>
          <w:p w14:paraId="12C86F7B" w14:textId="77777777" w:rsidR="00B24F3C" w:rsidRPr="008500D2" w:rsidRDefault="00B24F3C" w:rsidP="00B24F3C">
            <w:pPr>
              <w:rPr>
                <w:rFonts w:cs="Arial"/>
              </w:rPr>
            </w:pPr>
          </w:p>
        </w:tc>
      </w:tr>
      <w:tr w:rsidR="00B24F3C" w:rsidRPr="008500D2" w14:paraId="3ED5FE2C" w14:textId="77777777" w:rsidTr="00A8011B">
        <w:trPr>
          <w:trHeight w:val="149"/>
        </w:trPr>
        <w:tc>
          <w:tcPr>
            <w:tcW w:w="2052" w:type="dxa"/>
            <w:shd w:val="clear" w:color="auto" w:fill="auto"/>
            <w:tcMar>
              <w:top w:w="60" w:type="dxa"/>
              <w:left w:w="60" w:type="dxa"/>
              <w:bottom w:w="60" w:type="dxa"/>
              <w:right w:w="60" w:type="dxa"/>
            </w:tcMar>
            <w:hideMark/>
          </w:tcPr>
          <w:p w14:paraId="22D108C1" w14:textId="77777777" w:rsidR="00B24F3C" w:rsidRPr="008500D2" w:rsidRDefault="00B24F3C" w:rsidP="00B24F3C">
            <w:pPr>
              <w:rPr>
                <w:rFonts w:cs="Arial"/>
                <w:b/>
                <w:bCs/>
              </w:rPr>
            </w:pPr>
            <w:r w:rsidRPr="008500D2">
              <w:rPr>
                <w:rFonts w:cs="Arial"/>
                <w:b/>
                <w:bCs/>
              </w:rPr>
              <w:t>HBP all high</w:t>
            </w:r>
          </w:p>
        </w:tc>
        <w:tc>
          <w:tcPr>
            <w:tcW w:w="906" w:type="dxa"/>
            <w:shd w:val="clear" w:color="auto" w:fill="auto"/>
            <w:tcMar>
              <w:top w:w="60" w:type="dxa"/>
              <w:left w:w="60" w:type="dxa"/>
              <w:bottom w:w="60" w:type="dxa"/>
              <w:right w:w="60" w:type="dxa"/>
            </w:tcMar>
            <w:hideMark/>
          </w:tcPr>
          <w:p w14:paraId="48498B7C" w14:textId="77777777" w:rsidR="00B24F3C" w:rsidRPr="008500D2" w:rsidRDefault="00B24F3C" w:rsidP="00B24F3C">
            <w:pPr>
              <w:rPr>
                <w:rFonts w:cs="Arial"/>
              </w:rPr>
            </w:pPr>
            <w:r w:rsidRPr="008500D2">
              <w:rPr>
                <w:rFonts w:cs="Arial"/>
              </w:rPr>
              <w:t>Binary</w:t>
            </w:r>
          </w:p>
        </w:tc>
        <w:tc>
          <w:tcPr>
            <w:tcW w:w="916" w:type="dxa"/>
            <w:shd w:val="clear" w:color="auto" w:fill="auto"/>
            <w:tcMar>
              <w:top w:w="60" w:type="dxa"/>
              <w:left w:w="60" w:type="dxa"/>
              <w:bottom w:w="60" w:type="dxa"/>
              <w:right w:w="60" w:type="dxa"/>
            </w:tcMar>
            <w:hideMark/>
          </w:tcPr>
          <w:p w14:paraId="4878F6CD" w14:textId="77777777" w:rsidR="00B24F3C" w:rsidRPr="008500D2" w:rsidRDefault="00B24F3C" w:rsidP="00B24F3C">
            <w:pPr>
              <w:rPr>
                <w:rFonts w:cs="Arial"/>
              </w:rPr>
            </w:pPr>
            <w:r w:rsidRPr="008500D2">
              <w:rPr>
                <w:rFonts w:cs="Arial"/>
              </w:rPr>
              <w:t>-0.079</w:t>
            </w:r>
          </w:p>
        </w:tc>
        <w:tc>
          <w:tcPr>
            <w:tcW w:w="1363" w:type="dxa"/>
            <w:shd w:val="clear" w:color="auto" w:fill="auto"/>
            <w:tcMar>
              <w:top w:w="60" w:type="dxa"/>
              <w:left w:w="60" w:type="dxa"/>
              <w:bottom w:w="60" w:type="dxa"/>
              <w:right w:w="60" w:type="dxa"/>
            </w:tcMar>
            <w:hideMark/>
          </w:tcPr>
          <w:p w14:paraId="63A0FFBF" w14:textId="77777777" w:rsidR="00B24F3C" w:rsidRPr="008500D2" w:rsidRDefault="00B24F3C" w:rsidP="00B24F3C">
            <w:pPr>
              <w:rPr>
                <w:rFonts w:cs="Arial"/>
              </w:rPr>
            </w:pPr>
            <w:r w:rsidRPr="008500D2">
              <w:rPr>
                <w:rFonts w:cs="Arial"/>
              </w:rPr>
              <w:t>NA</w:t>
            </w:r>
          </w:p>
        </w:tc>
        <w:tc>
          <w:tcPr>
            <w:tcW w:w="1276" w:type="dxa"/>
            <w:shd w:val="clear" w:color="auto" w:fill="auto"/>
            <w:tcMar>
              <w:top w:w="60" w:type="dxa"/>
              <w:left w:w="60" w:type="dxa"/>
              <w:bottom w:w="60" w:type="dxa"/>
              <w:right w:w="60" w:type="dxa"/>
            </w:tcMar>
            <w:hideMark/>
          </w:tcPr>
          <w:p w14:paraId="32802418" w14:textId="77777777" w:rsidR="00B24F3C" w:rsidRPr="008500D2" w:rsidRDefault="00B24F3C" w:rsidP="00B24F3C">
            <w:pPr>
              <w:rPr>
                <w:rFonts w:cs="Arial"/>
              </w:rPr>
            </w:pPr>
            <w:r w:rsidRPr="008500D2">
              <w:rPr>
                <w:rFonts w:cs="Arial"/>
              </w:rPr>
              <w:t>0</w:t>
            </w:r>
          </w:p>
        </w:tc>
        <w:tc>
          <w:tcPr>
            <w:tcW w:w="1377" w:type="dxa"/>
            <w:shd w:val="clear" w:color="auto" w:fill="auto"/>
            <w:tcMar>
              <w:top w:w="60" w:type="dxa"/>
              <w:left w:w="60" w:type="dxa"/>
              <w:bottom w:w="60" w:type="dxa"/>
              <w:right w:w="60" w:type="dxa"/>
            </w:tcMar>
            <w:hideMark/>
          </w:tcPr>
          <w:p w14:paraId="78F58129" w14:textId="77777777" w:rsidR="00B24F3C" w:rsidRPr="008500D2" w:rsidRDefault="00B24F3C" w:rsidP="00B24F3C">
            <w:pPr>
              <w:rPr>
                <w:rFonts w:cs="Arial"/>
              </w:rPr>
            </w:pPr>
            <w:r w:rsidRPr="008500D2">
              <w:rPr>
                <w:rFonts w:cs="Arial"/>
              </w:rPr>
              <w:t>NA</w:t>
            </w:r>
          </w:p>
        </w:tc>
        <w:tc>
          <w:tcPr>
            <w:tcW w:w="1883" w:type="dxa"/>
            <w:shd w:val="clear" w:color="auto" w:fill="auto"/>
            <w:tcMar>
              <w:top w:w="60" w:type="dxa"/>
              <w:left w:w="60" w:type="dxa"/>
              <w:bottom w:w="60" w:type="dxa"/>
              <w:right w:w="60" w:type="dxa"/>
            </w:tcMar>
            <w:hideMark/>
          </w:tcPr>
          <w:p w14:paraId="7D68F6EE" w14:textId="77777777" w:rsidR="00B24F3C" w:rsidRPr="008500D2" w:rsidRDefault="00B24F3C" w:rsidP="00B24F3C">
            <w:pPr>
              <w:rPr>
                <w:rFonts w:cs="Arial"/>
              </w:rPr>
            </w:pPr>
          </w:p>
        </w:tc>
      </w:tr>
    </w:tbl>
    <w:p w14:paraId="3E222A88" w14:textId="77777777" w:rsidR="00B24F3C" w:rsidRPr="008500D2" w:rsidRDefault="003C10F6" w:rsidP="00B24F3C">
      <w:pPr>
        <w:rPr>
          <w:rFonts w:cs="Arial"/>
          <w:lang w:bidi="en-US"/>
        </w:rPr>
      </w:pPr>
      <w:r w:rsidRPr="008500D2">
        <w:rPr>
          <w:rFonts w:cs="Arial"/>
          <w:b/>
          <w:bCs/>
        </w:rPr>
        <w:lastRenderedPageBreak/>
        <w:t>Note:</w:t>
      </w:r>
      <w:r w:rsidR="00B24F3C" w:rsidRPr="008500D2">
        <w:rPr>
          <w:rFonts w:cs="Arial"/>
          <w:b/>
          <w:bCs/>
        </w:rPr>
        <w:t xml:space="preserve"> </w:t>
      </w:r>
      <w:r w:rsidR="00B24F3C" w:rsidRPr="008500D2">
        <w:rPr>
          <w:rFonts w:cs="Arial"/>
          <w:lang w:bidi="en-US"/>
        </w:rPr>
        <w:t>Standardized mean differences and variance ratios for each covariate; effective sample size (ESS) reported. Age was entered as restricted/natural cubic spline (</w:t>
      </w:r>
      <w:proofErr w:type="spellStart"/>
      <w:r w:rsidR="00B24F3C" w:rsidRPr="008500D2">
        <w:rPr>
          <w:rFonts w:cs="Arial"/>
          <w:lang w:bidi="en-US"/>
        </w:rPr>
        <w:t>df</w:t>
      </w:r>
      <w:proofErr w:type="spellEnd"/>
      <w:r w:rsidR="00B24F3C" w:rsidRPr="008500D2">
        <w:rPr>
          <w:rFonts w:cs="Arial"/>
          <w:lang w:bidi="en-US"/>
        </w:rPr>
        <w:t> = 3); therefore, three spline basis terms (ns(age,3)1–3) appear.</w:t>
      </w:r>
    </w:p>
    <w:p w14:paraId="21C652F2" w14:textId="77777777" w:rsidR="00A92F0C" w:rsidRPr="008500D2" w:rsidRDefault="00A92F0C" w:rsidP="00CB7E4A">
      <w:pPr>
        <w:rPr>
          <w:rFonts w:cs="Arial"/>
          <w:b/>
          <w:bCs/>
          <w:lang w:bidi="en-US"/>
        </w:rPr>
      </w:pPr>
    </w:p>
    <w:p w14:paraId="55CDD2B3" w14:textId="1502AAF8" w:rsidR="00CB7E4A" w:rsidRPr="008500D2" w:rsidRDefault="00CB7E4A" w:rsidP="00CB7E4A">
      <w:pPr>
        <w:rPr>
          <w:rFonts w:cs="Arial"/>
          <w:b/>
          <w:bCs/>
          <w:sz w:val="32"/>
          <w:szCs w:val="32"/>
          <w:lang w:bidi="en-US"/>
        </w:rPr>
      </w:pPr>
      <w:r w:rsidRPr="008500D2">
        <w:rPr>
          <w:rFonts w:cs="Arial"/>
          <w:b/>
          <w:bCs/>
          <w:sz w:val="32"/>
          <w:szCs w:val="32"/>
          <w:lang w:bidi="en-US"/>
        </w:rPr>
        <w:t>Supplemental Result</w:t>
      </w:r>
    </w:p>
    <w:p w14:paraId="40EF268A" w14:textId="225A1608" w:rsidR="00CB7E4A" w:rsidRDefault="00CB7E4A" w:rsidP="00EE0017">
      <w:pPr>
        <w:rPr>
          <w:rFonts w:cs="Arial"/>
          <w:lang w:bidi="en-US"/>
        </w:rPr>
      </w:pPr>
      <w:r w:rsidRPr="008500D2">
        <w:rPr>
          <w:rFonts w:cs="Arial"/>
          <w:lang w:bidi="en-US"/>
        </w:rPr>
        <w:t>Propensity score sensitivity analyses. Overlap weighting achieved excellent balance (all weighted SMDs &lt; 0.10) with ESS/N = 0.68 (Control ≈ 92.3; Treated ≈ 52.0) (Figure S</w:t>
      </w:r>
      <w:r w:rsidR="002A769B" w:rsidRPr="008500D2">
        <w:rPr>
          <w:rFonts w:cs="Arial"/>
          <w:lang w:bidi="en-US"/>
        </w:rPr>
        <w:t>2</w:t>
      </w:r>
      <w:r w:rsidRPr="008500D2">
        <w:rPr>
          <w:rFonts w:cs="Arial"/>
          <w:lang w:bidi="en-US"/>
        </w:rPr>
        <w:t>; Table S1). The marginal HRs (Group E vs L) were 1.53 (95% CI 1.00–2.34) for PFS and 1.73 (95% CI 1.02–2.92) for OS; for liver related death, the weighted cause specific HR was 2.22 (95% CI 1.18–4.16). These were directionally consistent with the primary multivariable Cox estimates. E values for the CI bound closest to the null were 1.07 (PFS), 1.17 (OS), and 1.65 (liver related death), indicating moderate robustness to unmeasured confounding for liver related mortality, whereas PFS/OS were more sensitive.</w:t>
      </w:r>
    </w:p>
    <w:p w14:paraId="3A0EB22F" w14:textId="3151D209" w:rsidR="00C82913" w:rsidRDefault="00C82913" w:rsidP="00EE0017">
      <w:pPr>
        <w:rPr>
          <w:rFonts w:cs="Arial"/>
          <w:lang w:eastAsia="ja-JP" w:bidi="en-US"/>
        </w:rPr>
      </w:pPr>
    </w:p>
    <w:p w14:paraId="748A6C90" w14:textId="63B2C3AE" w:rsidR="00C82913" w:rsidRPr="00C82913" w:rsidRDefault="00C82913" w:rsidP="00EE0017">
      <w:pPr>
        <w:rPr>
          <w:rFonts w:cs="Arial" w:hint="eastAsia"/>
          <w:b/>
          <w:bCs/>
          <w:sz w:val="32"/>
          <w:szCs w:val="32"/>
          <w:lang w:eastAsia="ja-JP" w:bidi="en-US"/>
        </w:rPr>
      </w:pPr>
      <w:r w:rsidRPr="00C82913">
        <w:rPr>
          <w:rFonts w:cs="Arial" w:hint="eastAsia"/>
          <w:b/>
          <w:bCs/>
          <w:sz w:val="32"/>
          <w:szCs w:val="32"/>
          <w:lang w:eastAsia="ja-JP" w:bidi="en-US"/>
        </w:rPr>
        <w:t>S</w:t>
      </w:r>
      <w:r w:rsidRPr="00C82913">
        <w:rPr>
          <w:rFonts w:cs="Arial"/>
          <w:b/>
          <w:bCs/>
          <w:sz w:val="32"/>
          <w:szCs w:val="32"/>
          <w:lang w:eastAsia="ja-JP" w:bidi="en-US"/>
        </w:rPr>
        <w:t>upplemental Figures</w:t>
      </w:r>
    </w:p>
    <w:p w14:paraId="413014D5" w14:textId="77777777" w:rsidR="00C82913" w:rsidRPr="008500D2" w:rsidRDefault="00C82913" w:rsidP="00C82913">
      <w:pPr>
        <w:rPr>
          <w:rFonts w:cs="Arial"/>
          <w:b/>
          <w:bCs/>
          <w:lang w:bidi="en-US"/>
        </w:rPr>
      </w:pPr>
      <w:r w:rsidRPr="008500D2">
        <w:rPr>
          <w:rFonts w:cs="Arial"/>
          <w:b/>
          <w:bCs/>
          <w:lang w:bidi="en-US"/>
        </w:rPr>
        <w:t>Figure S1 Postprocedural plain CT from the same patient depicted in Figure 3, confirming localized lipiodol deposition strictly within the limited embolization area (&lt;1 sector-equivalent).</w:t>
      </w:r>
    </w:p>
    <w:p w14:paraId="3205772D" w14:textId="6F89137A" w:rsidR="00156377" w:rsidRDefault="00C82913" w:rsidP="00EE0017">
      <w:pPr>
        <w:rPr>
          <w:rFonts w:cs="Arial"/>
          <w:lang w:bidi="en-US"/>
        </w:rPr>
      </w:pPr>
      <w:r w:rsidRPr="008500D2">
        <w:rPr>
          <w:rFonts w:cs="Arial"/>
          <w:b/>
          <w:bCs/>
          <w:noProof/>
          <w:lang w:bidi="en-US"/>
        </w:rPr>
        <w:drawing>
          <wp:inline distT="0" distB="0" distL="0" distR="0" wp14:anchorId="78BD2195" wp14:editId="21E9B314">
            <wp:extent cx="2077375" cy="2346826"/>
            <wp:effectExtent l="0" t="0" r="5715" b="3175"/>
            <wp:docPr id="3201825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82521" name="図 3201825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94617" cy="2366304"/>
                    </a:xfrm>
                    <a:prstGeom prst="rect">
                      <a:avLst/>
                    </a:prstGeom>
                  </pic:spPr>
                </pic:pic>
              </a:graphicData>
            </a:graphic>
          </wp:inline>
        </w:drawing>
      </w:r>
    </w:p>
    <w:p w14:paraId="6DBAD3B5" w14:textId="2ACE5B69" w:rsidR="00156377" w:rsidRPr="008500D2" w:rsidRDefault="00FC0B67" w:rsidP="00EE0017">
      <w:pPr>
        <w:rPr>
          <w:rFonts w:cs="Arial"/>
        </w:rPr>
      </w:pPr>
      <w:r w:rsidRPr="008500D2">
        <w:rPr>
          <w:rStyle w:val="af1"/>
          <w:rFonts w:cs="Arial"/>
        </w:rPr>
        <w:lastRenderedPageBreak/>
        <w:t>Figure S2. Covariate balance after overlap weighting.</w:t>
      </w:r>
      <w:r w:rsidRPr="008500D2">
        <w:rPr>
          <w:rFonts w:cs="Arial"/>
        </w:rPr>
        <w:br/>
        <w:t>Love plot showing absolute standardized mean differences (SMDs) for baseline covariates comparing the treated and control groups before weighting (unweighted; pink) and after overlap weighting (weighted; green). The vertical dashed line at SMD = 0.10 indicates the pre</w:t>
      </w:r>
      <w:r w:rsidRPr="008500D2">
        <w:rPr>
          <w:rFonts w:cs="Arial"/>
        </w:rPr>
        <w:noBreakHyphen/>
        <w:t>specified threshold for acceptable covariate balance.</w:t>
      </w:r>
    </w:p>
    <w:p w14:paraId="6FDCA7B0" w14:textId="77777777" w:rsidR="00FC0B67" w:rsidRPr="008500D2" w:rsidRDefault="00FC0B67" w:rsidP="00EE0017">
      <w:pPr>
        <w:rPr>
          <w:rFonts w:cs="Arial"/>
        </w:rPr>
      </w:pPr>
    </w:p>
    <w:p w14:paraId="56EEF740" w14:textId="74E15A9D" w:rsidR="00FC0B67" w:rsidRPr="008500D2" w:rsidRDefault="00FC0B67" w:rsidP="00EE0017">
      <w:pPr>
        <w:rPr>
          <w:rFonts w:cs="Arial"/>
          <w:lang w:bidi="en-US"/>
        </w:rPr>
      </w:pPr>
      <w:r w:rsidRPr="008500D2">
        <w:rPr>
          <w:rFonts w:cs="Arial"/>
          <w:noProof/>
          <w:lang w:bidi="en-US"/>
        </w:rPr>
        <w:drawing>
          <wp:inline distT="0" distB="0" distL="0" distR="0" wp14:anchorId="045E1DAB" wp14:editId="10B29EAC">
            <wp:extent cx="4927107" cy="4927107"/>
            <wp:effectExtent l="0" t="0" r="635" b="635"/>
            <wp:docPr id="87320037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200379" name="図 87320037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36503" cy="4936503"/>
                    </a:xfrm>
                    <a:prstGeom prst="rect">
                      <a:avLst/>
                    </a:prstGeom>
                  </pic:spPr>
                </pic:pic>
              </a:graphicData>
            </a:graphic>
          </wp:inline>
        </w:drawing>
      </w:r>
    </w:p>
    <w:p w14:paraId="3D57094D" w14:textId="77777777" w:rsidR="00FC0B67" w:rsidRPr="008500D2" w:rsidRDefault="00FC0B67" w:rsidP="00EE0017">
      <w:pPr>
        <w:rPr>
          <w:rFonts w:cs="Arial"/>
          <w:lang w:bidi="en-US"/>
        </w:rPr>
      </w:pPr>
    </w:p>
    <w:p w14:paraId="0DE835D8" w14:textId="77777777" w:rsidR="00C82913" w:rsidRDefault="00C82913" w:rsidP="00EE0017">
      <w:pPr>
        <w:rPr>
          <w:rStyle w:val="af1"/>
          <w:rFonts w:cs="Arial"/>
        </w:rPr>
      </w:pPr>
    </w:p>
    <w:p w14:paraId="52C8F0C5" w14:textId="77777777" w:rsidR="00C82913" w:rsidRDefault="00C82913" w:rsidP="00EE0017">
      <w:pPr>
        <w:rPr>
          <w:rStyle w:val="af1"/>
          <w:rFonts w:cs="Arial"/>
        </w:rPr>
      </w:pPr>
    </w:p>
    <w:p w14:paraId="21E4A714" w14:textId="77777777" w:rsidR="00C82913" w:rsidRDefault="00C82913" w:rsidP="00EE0017">
      <w:pPr>
        <w:rPr>
          <w:rStyle w:val="af1"/>
          <w:rFonts w:cs="Arial"/>
        </w:rPr>
      </w:pPr>
    </w:p>
    <w:p w14:paraId="734E164C" w14:textId="609A7E1A" w:rsidR="00FC0B67" w:rsidRPr="008500D2" w:rsidRDefault="00FC0B67" w:rsidP="00EE0017">
      <w:pPr>
        <w:rPr>
          <w:rFonts w:cs="Arial"/>
        </w:rPr>
      </w:pPr>
      <w:r w:rsidRPr="008500D2">
        <w:rPr>
          <w:rStyle w:val="af1"/>
          <w:rFonts w:cs="Arial"/>
        </w:rPr>
        <w:lastRenderedPageBreak/>
        <w:t>Figure S3. Overlap</w:t>
      </w:r>
      <w:r w:rsidRPr="008500D2">
        <w:rPr>
          <w:rStyle w:val="af1"/>
          <w:rFonts w:cs="Arial"/>
        </w:rPr>
        <w:noBreakHyphen/>
        <w:t>weighted survival curves.</w:t>
      </w:r>
      <w:r w:rsidRPr="008500D2">
        <w:rPr>
          <w:rFonts w:cs="Arial"/>
        </w:rPr>
        <w:br/>
        <w:t>Kaplan–Meier survival curves in the overlap</w:t>
      </w:r>
      <w:r w:rsidRPr="008500D2">
        <w:rPr>
          <w:rFonts w:cs="Arial"/>
        </w:rPr>
        <w:noBreakHyphen/>
        <w:t>weighted pseudo</w:t>
      </w:r>
      <w:r w:rsidRPr="008500D2">
        <w:rPr>
          <w:rFonts w:cs="Arial"/>
        </w:rPr>
        <w:noBreakHyphen/>
        <w:t>population comparing treated and control groups. The y</w:t>
      </w:r>
      <w:r w:rsidRPr="008500D2">
        <w:rPr>
          <w:rFonts w:cs="Arial"/>
        </w:rPr>
        <w:noBreakHyphen/>
        <w:t>axis shows survival probability and the x</w:t>
      </w:r>
      <w:r w:rsidRPr="008500D2">
        <w:rPr>
          <w:rFonts w:cs="Arial"/>
        </w:rPr>
        <w:noBreakHyphen/>
        <w:t>axis shows follow</w:t>
      </w:r>
      <w:r w:rsidRPr="008500D2">
        <w:rPr>
          <w:rFonts w:cs="Arial"/>
        </w:rPr>
        <w:noBreakHyphen/>
        <w:t>up time (months).</w:t>
      </w:r>
    </w:p>
    <w:p w14:paraId="05443AC9" w14:textId="77777777" w:rsidR="00FC0B67" w:rsidRPr="008500D2" w:rsidRDefault="00FC0B67" w:rsidP="00EE0017">
      <w:pPr>
        <w:rPr>
          <w:rFonts w:cs="Arial"/>
        </w:rPr>
      </w:pPr>
    </w:p>
    <w:p w14:paraId="51DC8769" w14:textId="3314B1B8" w:rsidR="00FC0B67" w:rsidRPr="008500D2" w:rsidRDefault="00FC0B67" w:rsidP="00EE0017">
      <w:pPr>
        <w:rPr>
          <w:rFonts w:cs="Arial"/>
          <w:lang w:bidi="en-US"/>
        </w:rPr>
      </w:pPr>
      <w:r w:rsidRPr="008500D2">
        <w:rPr>
          <w:rFonts w:cs="Arial"/>
          <w:noProof/>
          <w:lang w:bidi="en-US"/>
        </w:rPr>
        <w:drawing>
          <wp:inline distT="0" distB="0" distL="0" distR="0" wp14:anchorId="3BF29D83" wp14:editId="41526327">
            <wp:extent cx="5486400" cy="5486400"/>
            <wp:effectExtent l="0" t="0" r="0" b="0"/>
            <wp:docPr id="103057295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572950" name="図 103057295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86400" cy="5486400"/>
                    </a:xfrm>
                    <a:prstGeom prst="rect">
                      <a:avLst/>
                    </a:prstGeom>
                  </pic:spPr>
                </pic:pic>
              </a:graphicData>
            </a:graphic>
          </wp:inline>
        </w:drawing>
      </w:r>
    </w:p>
    <w:sectPr w:rsidR="00FC0B67" w:rsidRPr="008500D2" w:rsidSect="00C94612">
      <w:footerReference w:type="even" r:id="rId10"/>
      <w:footerReference w:type="default" r:id="rId11"/>
      <w:footerReference w:type="first" r:id="rId12"/>
      <w:pgSz w:w="12240" w:h="15840"/>
      <w:pgMar w:top="1440" w:right="1800" w:bottom="1440" w:left="180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DE4B35" w14:textId="77777777" w:rsidR="00E60901" w:rsidRPr="00B915E4" w:rsidRDefault="00E60901">
      <w:r w:rsidRPr="00B915E4">
        <w:separator/>
      </w:r>
    </w:p>
  </w:endnote>
  <w:endnote w:type="continuationSeparator" w:id="0">
    <w:p w14:paraId="51D12421" w14:textId="77777777" w:rsidR="00E60901" w:rsidRPr="00B915E4" w:rsidRDefault="00E60901">
      <w:r w:rsidRPr="00B915E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ＭＳ 明朝">
    <w:altName w:val="MS Mincho"/>
    <w:panose1 w:val="02020609040205080304"/>
    <w:charset w:val="80"/>
    <w:family w:val="modern"/>
    <w:pitch w:val="fixed"/>
    <w:sig w:usb0="E00002FF" w:usb1="6AC7FDFB" w:usb2="08000012" w:usb3="00000000" w:csb0="0002009F" w:csb1="00000000"/>
  </w:font>
  <w:font w:name="Rockwell">
    <w:panose1 w:val="02060603020205020403"/>
    <w:charset w:val="00"/>
    <w:family w:val="roman"/>
    <w:pitch w:val="variable"/>
    <w:sig w:usb0="00000003" w:usb1="00000000" w:usb2="00000000" w:usb3="00000000" w:csb0="00000001" w:csb1="00000000"/>
  </w:font>
  <w:font w:name="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89816" w14:textId="77777777" w:rsidR="006C5368" w:rsidRPr="00B915E4" w:rsidRDefault="006C5368" w:rsidP="00FF2660">
    <w:pPr>
      <w:pStyle w:val="a3"/>
      <w:framePr w:wrap="around" w:vAnchor="text" w:hAnchor="margin" w:xAlign="center" w:y="1"/>
      <w:rPr>
        <w:rStyle w:val="a4"/>
      </w:rPr>
    </w:pPr>
    <w:r w:rsidRPr="00B915E4">
      <w:rPr>
        <w:rStyle w:val="a4"/>
      </w:rPr>
      <w:fldChar w:fldCharType="begin"/>
    </w:r>
    <w:r w:rsidRPr="00B915E4">
      <w:rPr>
        <w:rStyle w:val="a4"/>
      </w:rPr>
      <w:instrText xml:space="preserve">PAGE  </w:instrText>
    </w:r>
    <w:r w:rsidRPr="00B915E4">
      <w:rPr>
        <w:rStyle w:val="a4"/>
      </w:rPr>
      <w:fldChar w:fldCharType="end"/>
    </w:r>
  </w:p>
  <w:p w14:paraId="2CAF2E2E" w14:textId="77777777" w:rsidR="006C5368" w:rsidRPr="00B915E4" w:rsidRDefault="006C5368">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767A7" w14:textId="6FB5C562" w:rsidR="006C5368" w:rsidRPr="00B915E4" w:rsidRDefault="00D82CEA" w:rsidP="00FF2660">
    <w:pPr>
      <w:pStyle w:val="a3"/>
      <w:framePr w:wrap="around" w:vAnchor="text" w:hAnchor="margin" w:xAlign="center" w:y="1"/>
      <w:rPr>
        <w:rStyle w:val="a4"/>
      </w:rPr>
    </w:pPr>
    <w:r w:rsidRPr="00B915E4">
      <w:rPr>
        <w:noProof/>
      </w:rPr>
      <mc:AlternateContent>
        <mc:Choice Requires="wps">
          <w:drawing>
            <wp:anchor distT="0" distB="0" distL="114300" distR="114300" simplePos="0" relativeHeight="251657216" behindDoc="0" locked="0" layoutInCell="0" allowOverlap="1" wp14:anchorId="7AB8E50F" wp14:editId="33DE3C22">
              <wp:simplePos x="0" y="0"/>
              <wp:positionH relativeFrom="page">
                <wp:posOffset>0</wp:posOffset>
              </wp:positionH>
              <wp:positionV relativeFrom="page">
                <wp:posOffset>9603740</wp:posOffset>
              </wp:positionV>
              <wp:extent cx="7772400" cy="264160"/>
              <wp:effectExtent l="0" t="2540" r="0" b="0"/>
              <wp:wrapNone/>
              <wp:docPr id="622757308" name="MSIPCM8ef54de2a7a4d03c423a990a" descr="{&quot;HashCode&quot;:-1348403003,&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E7705" w14:textId="11E8F27B" w:rsidR="00740F67" w:rsidRPr="00B915E4" w:rsidRDefault="00740F67" w:rsidP="00740F67">
                          <w:pPr>
                            <w:rPr>
                              <w:rFonts w:ascii="Rockwell" w:hAnsi="Rockwell"/>
                              <w:color w:val="0078D7"/>
                              <w:sz w:val="18"/>
                            </w:rPr>
                          </w:pPr>
                          <w:r w:rsidRPr="00B915E4">
                            <w:rPr>
                              <w:rFonts w:ascii="Rockwell" w:hAnsi="Rockwell"/>
                              <w:color w:val="0078D7"/>
                              <w:sz w:val="18"/>
                            </w:rPr>
                            <w:t>Information Classification: General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8E50F" id="_x0000_t202" coordsize="21600,21600" o:spt="202" path="m,l,21600r21600,l21600,xe">
              <v:stroke joinstyle="miter"/>
              <v:path gradientshapeok="t" o:connecttype="rect"/>
            </v:shapetype>
            <v:shape id="MSIPCM8ef54de2a7a4d03c423a990a" o:spid="_x0000_s1026" type="#_x0000_t202" alt="{&quot;HashCode&quot;:-1348403003,&quot;Height&quot;:792.0,&quot;Width&quot;:612.0,&quot;Placement&quot;:&quot;Footer&quot;,&quot;Index&quot;:&quot;Primary&quot;,&quot;Section&quot;:1,&quot;Top&quot;:0.0,&quot;Left&quot;:0.0}" style="position:absolute;margin-left:0;margin-top:756.2pt;width:612pt;height:20.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" o:allowincell="f" filled="f" stroked="f">
              <v:textbox inset="20pt,0,,0">
                <w:txbxContent>
                  <w:p w14:paraId="5CBE7705" w14:textId="11E8F27B" w:rsidR="00740F67" w:rsidRPr="00B915E4" w:rsidRDefault="00740F67" w:rsidP="00740F67">
                    <w:pPr>
                      <w:rPr>
                        <w:rFonts w:ascii="Rockwell" w:hAnsi="Rockwell"/>
                        <w:color w:val="0078D7"/>
                        <w:sz w:val="18"/>
                      </w:rPr>
                    </w:pPr>
                    <w:r w:rsidRPr="00B915E4">
                      <w:rPr>
                        <w:rFonts w:ascii="Rockwell" w:hAnsi="Rockwell"/>
                        <w:color w:val="0078D7"/>
                        <w:sz w:val="18"/>
                      </w:rPr>
                      <w:t>Information Classification: General</w:t>
                    </w:r>
                  </w:p>
                </w:txbxContent>
              </v:textbox>
              <w10:wrap anchorx="page" anchory="page"/>
            </v:shape>
          </w:pict>
        </mc:Fallback>
      </mc:AlternateContent>
    </w:r>
    <w:r w:rsidR="006C5368" w:rsidRPr="00B915E4">
      <w:rPr>
        <w:rStyle w:val="a4"/>
      </w:rPr>
      <w:fldChar w:fldCharType="begin"/>
    </w:r>
    <w:r w:rsidR="006C5368" w:rsidRPr="00B915E4">
      <w:rPr>
        <w:rStyle w:val="a4"/>
      </w:rPr>
      <w:instrText xml:space="preserve">PAGE  </w:instrText>
    </w:r>
    <w:r w:rsidR="006C5368" w:rsidRPr="00B915E4">
      <w:rPr>
        <w:rStyle w:val="a4"/>
      </w:rPr>
      <w:fldChar w:fldCharType="separate"/>
    </w:r>
    <w:r w:rsidR="00C94612" w:rsidRPr="00B915E4">
      <w:rPr>
        <w:rStyle w:val="a4"/>
      </w:rPr>
      <w:t>5</w:t>
    </w:r>
    <w:r w:rsidR="006C5368" w:rsidRPr="00B915E4">
      <w:rPr>
        <w:rStyle w:val="a4"/>
      </w:rPr>
      <w:fldChar w:fldCharType="end"/>
    </w:r>
  </w:p>
  <w:p w14:paraId="57E037CD" w14:textId="77777777" w:rsidR="006C5368" w:rsidRPr="00B915E4" w:rsidRDefault="006C5368">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9367" w14:textId="2D5073CE" w:rsidR="00740F67" w:rsidRPr="00B915E4" w:rsidRDefault="00D82CEA">
    <w:pPr>
      <w:pStyle w:val="a3"/>
    </w:pPr>
    <w:r w:rsidRPr="00B915E4">
      <w:rPr>
        <w:noProof/>
      </w:rPr>
      <mc:AlternateContent>
        <mc:Choice Requires="wps">
          <w:drawing>
            <wp:anchor distT="0" distB="0" distL="114300" distR="114300" simplePos="0" relativeHeight="251658240" behindDoc="0" locked="0" layoutInCell="0" allowOverlap="1" wp14:anchorId="2D742D44" wp14:editId="27777857">
              <wp:simplePos x="0" y="0"/>
              <wp:positionH relativeFrom="page">
                <wp:posOffset>0</wp:posOffset>
              </wp:positionH>
              <wp:positionV relativeFrom="page">
                <wp:posOffset>9603740</wp:posOffset>
              </wp:positionV>
              <wp:extent cx="7772400" cy="264160"/>
              <wp:effectExtent l="0" t="2540" r="0" b="0"/>
              <wp:wrapNone/>
              <wp:docPr id="1861909695" name="MSIPCM71df4afb82ef22201046dfa6" descr="{&quot;HashCode&quot;:-1348403003,&quot;Height&quot;:792.0,&quot;Width&quot;:612.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58B6" w14:textId="2F40394D" w:rsidR="00740F67" w:rsidRPr="00B915E4" w:rsidRDefault="00740F67" w:rsidP="00740F67">
                          <w:pPr>
                            <w:rPr>
                              <w:rFonts w:ascii="Rockwell" w:hAnsi="Rockwell"/>
                              <w:color w:val="0078D7"/>
                              <w:sz w:val="18"/>
                            </w:rPr>
                          </w:pPr>
                          <w:r w:rsidRPr="00B915E4">
                            <w:rPr>
                              <w:rFonts w:ascii="Rockwell" w:hAnsi="Rockwell"/>
                              <w:color w:val="0078D7"/>
                              <w:sz w:val="18"/>
                            </w:rPr>
                            <w:t>Information Classification: General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42D44" id="_x0000_t202" coordsize="21600,21600" o:spt="202" path="m,l,21600r21600,l21600,xe">
              <v:stroke joinstyle="miter"/>
              <v:path gradientshapeok="t" o:connecttype="rect"/>
            </v:shapetype>
            <v:shape id="MSIPCM71df4afb82ef22201046dfa6" o:spid="_x0000_s1027" type="#_x0000_t202" alt="{&quot;HashCode&quot;:-1348403003,&quot;Height&quot;:792.0,&quot;Width&quot;:612.0,&quot;Placement&quot;:&quot;Footer&quot;,&quot;Index&quot;:&quot;FirstPage&quot;,&quot;Section&quot;:1,&quot;Top&quot;:0.0,&quot;Left&quot;:0.0}" style="position:absolute;margin-left:0;margin-top:756.2pt;width:612pt;height:2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" o:allowincell="f" filled="f" stroked="f">
              <v:textbox inset="20pt,0,,0">
                <w:txbxContent>
                  <w:p w14:paraId="640858B6" w14:textId="2F40394D" w:rsidR="00740F67" w:rsidRPr="00B915E4" w:rsidRDefault="00740F67" w:rsidP="00740F67">
                    <w:pPr>
                      <w:rPr>
                        <w:rFonts w:ascii="Rockwell" w:hAnsi="Rockwell"/>
                        <w:color w:val="0078D7"/>
                        <w:sz w:val="18"/>
                      </w:rPr>
                    </w:pPr>
                    <w:r w:rsidRPr="00B915E4">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9BDFE" w14:textId="77777777" w:rsidR="00E60901" w:rsidRPr="00B915E4" w:rsidRDefault="00E60901">
      <w:r w:rsidRPr="00B915E4">
        <w:separator/>
      </w:r>
    </w:p>
  </w:footnote>
  <w:footnote w:type="continuationSeparator" w:id="0">
    <w:p w14:paraId="7A34DDC4" w14:textId="77777777" w:rsidR="00E60901" w:rsidRPr="00B915E4" w:rsidRDefault="00E60901">
      <w:r w:rsidRPr="00B915E4">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E03DA"/>
    <w:multiLevelType w:val="hybridMultilevel"/>
    <w:tmpl w:val="6DC0C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C434584"/>
    <w:multiLevelType w:val="hybridMultilevel"/>
    <w:tmpl w:val="0F5455F8"/>
    <w:lvl w:ilvl="0" w:tplc="D6DEBB0A">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CC6603A"/>
    <w:multiLevelType w:val="hybridMultilevel"/>
    <w:tmpl w:val="A1A4A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FEA2761"/>
    <w:multiLevelType w:val="multilevel"/>
    <w:tmpl w:val="C2F25D56"/>
    <w:lvl w:ilvl="0">
      <w:start w:val="5"/>
      <w:numFmt w:val="decimal"/>
      <w:lvlText w:val="%1"/>
      <w:lvlJc w:val="left"/>
      <w:pPr>
        <w:ind w:left="600" w:hanging="600"/>
      </w:pPr>
      <w:rPr>
        <w:rFonts w:hint="default"/>
      </w:rPr>
    </w:lvl>
    <w:lvl w:ilvl="1">
      <w:start w:val="5"/>
      <w:numFmt w:val="decimal"/>
      <w:lvlText w:val="%1-%2"/>
      <w:lvlJc w:val="left"/>
      <w:pPr>
        <w:ind w:left="1904" w:hanging="600"/>
      </w:pPr>
      <w:rPr>
        <w:rFonts w:hint="default"/>
      </w:rPr>
    </w:lvl>
    <w:lvl w:ilvl="2">
      <w:start w:val="500"/>
      <w:numFmt w:val="decimal"/>
      <w:lvlText w:val="%1-%2-%3"/>
      <w:lvlJc w:val="left"/>
      <w:pPr>
        <w:ind w:left="3328" w:hanging="720"/>
      </w:pPr>
      <w:rPr>
        <w:rFonts w:hint="default"/>
      </w:rPr>
    </w:lvl>
    <w:lvl w:ilvl="3">
      <w:start w:val="1"/>
      <w:numFmt w:val="decimal"/>
      <w:lvlText w:val="%1-%2-%3.%4"/>
      <w:lvlJc w:val="left"/>
      <w:pPr>
        <w:ind w:left="4632" w:hanging="720"/>
      </w:pPr>
      <w:rPr>
        <w:rFonts w:hint="default"/>
      </w:rPr>
    </w:lvl>
    <w:lvl w:ilvl="4">
      <w:start w:val="1"/>
      <w:numFmt w:val="decimal"/>
      <w:lvlText w:val="%1-%2-%3.%4.%5"/>
      <w:lvlJc w:val="left"/>
      <w:pPr>
        <w:ind w:left="5936" w:hanging="720"/>
      </w:pPr>
      <w:rPr>
        <w:rFonts w:hint="default"/>
      </w:rPr>
    </w:lvl>
    <w:lvl w:ilvl="5">
      <w:start w:val="1"/>
      <w:numFmt w:val="decimal"/>
      <w:lvlText w:val="%1-%2-%3.%4.%5.%6"/>
      <w:lvlJc w:val="left"/>
      <w:pPr>
        <w:ind w:left="7600" w:hanging="1080"/>
      </w:pPr>
      <w:rPr>
        <w:rFonts w:hint="default"/>
      </w:rPr>
    </w:lvl>
    <w:lvl w:ilvl="6">
      <w:start w:val="1"/>
      <w:numFmt w:val="decimal"/>
      <w:lvlText w:val="%1-%2-%3.%4.%5.%6.%7"/>
      <w:lvlJc w:val="left"/>
      <w:pPr>
        <w:ind w:left="8904" w:hanging="1080"/>
      </w:pPr>
      <w:rPr>
        <w:rFonts w:hint="default"/>
      </w:rPr>
    </w:lvl>
    <w:lvl w:ilvl="7">
      <w:start w:val="1"/>
      <w:numFmt w:val="decimal"/>
      <w:lvlText w:val="%1-%2-%3.%4.%5.%6.%7.%8"/>
      <w:lvlJc w:val="left"/>
      <w:pPr>
        <w:ind w:left="10208" w:hanging="1080"/>
      </w:pPr>
      <w:rPr>
        <w:rFonts w:hint="default"/>
      </w:rPr>
    </w:lvl>
    <w:lvl w:ilvl="8">
      <w:start w:val="1"/>
      <w:numFmt w:val="decimal"/>
      <w:lvlText w:val="%1-%2-%3.%4.%5.%6.%7.%8.%9"/>
      <w:lvlJc w:val="left"/>
      <w:pPr>
        <w:ind w:left="11872" w:hanging="1440"/>
      </w:pPr>
      <w:rPr>
        <w:rFonts w:hint="default"/>
      </w:rPr>
    </w:lvl>
  </w:abstractNum>
  <w:abstractNum w:abstractNumId="4" w15:restartNumberingAfterBreak="0">
    <w:nsid w:val="41D96842"/>
    <w:multiLevelType w:val="hybridMultilevel"/>
    <w:tmpl w:val="37B8F894"/>
    <w:lvl w:ilvl="0" w:tplc="DEAC30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CDA6366"/>
    <w:multiLevelType w:val="hybridMultilevel"/>
    <w:tmpl w:val="FCD29FB8"/>
    <w:lvl w:ilvl="0" w:tplc="8A6CB7DC">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62440B8E"/>
    <w:multiLevelType w:val="multilevel"/>
    <w:tmpl w:val="5F303E74"/>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648503E3"/>
    <w:multiLevelType w:val="multilevel"/>
    <w:tmpl w:val="AC36054E"/>
    <w:lvl w:ilvl="0">
      <w:start w:val="5"/>
      <w:numFmt w:val="decimal"/>
      <w:lvlText w:val="%1"/>
      <w:lvlJc w:val="left"/>
      <w:pPr>
        <w:ind w:left="680" w:hanging="680"/>
      </w:pPr>
      <w:rPr>
        <w:rFonts w:hint="default"/>
      </w:rPr>
    </w:lvl>
    <w:lvl w:ilvl="1">
      <w:start w:val="5"/>
      <w:numFmt w:val="decimal"/>
      <w:lvlText w:val="%1-%2"/>
      <w:lvlJc w:val="left"/>
      <w:pPr>
        <w:ind w:left="680" w:hanging="680"/>
      </w:pPr>
      <w:rPr>
        <w:rFonts w:hint="default"/>
      </w:rPr>
    </w:lvl>
    <w:lvl w:ilvl="2">
      <w:start w:val="500"/>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69617AF9"/>
    <w:multiLevelType w:val="hybridMultilevel"/>
    <w:tmpl w:val="DF0C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5521476"/>
    <w:multiLevelType w:val="hybridMultilevel"/>
    <w:tmpl w:val="3F6C727A"/>
    <w:lvl w:ilvl="0" w:tplc="2F30AAA6">
      <w:start w:val="1"/>
      <w:numFmt w:val="decimal"/>
      <w:lvlText w:val="%1."/>
      <w:lvlJc w:val="left"/>
      <w:pPr>
        <w:tabs>
          <w:tab w:val="num" w:pos="720"/>
        </w:tabs>
        <w:ind w:left="720" w:hanging="36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758E2CB9"/>
    <w:multiLevelType w:val="hybridMultilevel"/>
    <w:tmpl w:val="FA78834E"/>
    <w:lvl w:ilvl="0" w:tplc="598481E0">
      <w:start w:val="1"/>
      <w:numFmt w:val="lowerLetter"/>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645811063">
    <w:abstractNumId w:val="2"/>
  </w:num>
  <w:num w:numId="2" w16cid:durableId="270280036">
    <w:abstractNumId w:val="4"/>
  </w:num>
  <w:num w:numId="3" w16cid:durableId="709231974">
    <w:abstractNumId w:val="9"/>
  </w:num>
  <w:num w:numId="4" w16cid:durableId="1854609451">
    <w:abstractNumId w:val="6"/>
  </w:num>
  <w:num w:numId="5" w16cid:durableId="693575561">
    <w:abstractNumId w:val="0"/>
  </w:num>
  <w:num w:numId="6" w16cid:durableId="1041907369">
    <w:abstractNumId w:val="8"/>
  </w:num>
  <w:num w:numId="7" w16cid:durableId="1974367308">
    <w:abstractNumId w:val="1"/>
  </w:num>
  <w:num w:numId="8" w16cid:durableId="63577619">
    <w:abstractNumId w:val="3"/>
  </w:num>
  <w:num w:numId="9" w16cid:durableId="2116823502">
    <w:abstractNumId w:val="7"/>
  </w:num>
  <w:num w:numId="10" w16cid:durableId="1046029469">
    <w:abstractNumId w:val="5"/>
  </w:num>
  <w:num w:numId="11" w16cid:durableId="16515187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epatology Res&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vds9f9wrfrfxyer0pbpxw0tx5f2r5rxxvz9&quot;&gt;胆管癌 Library&lt;record-ids&gt;&lt;item&gt;241&lt;/item&gt;&lt;item&gt;242&lt;/item&gt;&lt;item&gt;244&lt;/item&gt;&lt;item&gt;245&lt;/item&gt;&lt;item&gt;247&lt;/item&gt;&lt;item&gt;248&lt;/item&gt;&lt;item&gt;249&lt;/item&gt;&lt;item&gt;250&lt;/item&gt;&lt;item&gt;251&lt;/item&gt;&lt;item&gt;255&lt;/item&gt;&lt;item&gt;256&lt;/item&gt;&lt;item&gt;258&lt;/item&gt;&lt;item&gt;260&lt;/item&gt;&lt;item&gt;264&lt;/item&gt;&lt;item&gt;266&lt;/item&gt;&lt;item&gt;267&lt;/item&gt;&lt;item&gt;269&lt;/item&gt;&lt;item&gt;274&lt;/item&gt;&lt;item&gt;276&lt;/item&gt;&lt;item&gt;282&lt;/item&gt;&lt;item&gt;284&lt;/item&gt;&lt;item&gt;288&lt;/item&gt;&lt;item&gt;296&lt;/item&gt;&lt;item&gt;297&lt;/item&gt;&lt;item&gt;342&lt;/item&gt;&lt;item&gt;345&lt;/item&gt;&lt;item&gt;346&lt;/item&gt;&lt;item&gt;347&lt;/item&gt;&lt;item&gt;348&lt;/item&gt;&lt;item&gt;406&lt;/item&gt;&lt;item&gt;407&lt;/item&gt;&lt;item&gt;408&lt;/item&gt;&lt;item&gt;409&lt;/item&gt;&lt;item&gt;466&lt;/item&gt;&lt;item&gt;467&lt;/item&gt;&lt;item&gt;494&lt;/item&gt;&lt;item&gt;495&lt;/item&gt;&lt;item&gt;496&lt;/item&gt;&lt;item&gt;518&lt;/item&gt;&lt;/record-ids&gt;&lt;/item&gt;&lt;/Libraries&gt;"/>
  </w:docVars>
  <w:rsids>
    <w:rsidRoot w:val="00B30BC3"/>
    <w:rsid w:val="00006E2A"/>
    <w:rsid w:val="00033270"/>
    <w:rsid w:val="00033695"/>
    <w:rsid w:val="000342A0"/>
    <w:rsid w:val="00035CCC"/>
    <w:rsid w:val="00043C1E"/>
    <w:rsid w:val="0005257A"/>
    <w:rsid w:val="00054361"/>
    <w:rsid w:val="00062025"/>
    <w:rsid w:val="000666AF"/>
    <w:rsid w:val="0007252D"/>
    <w:rsid w:val="00075C12"/>
    <w:rsid w:val="00075F95"/>
    <w:rsid w:val="000774B1"/>
    <w:rsid w:val="0008401B"/>
    <w:rsid w:val="00087F9B"/>
    <w:rsid w:val="000A4388"/>
    <w:rsid w:val="000B2BC9"/>
    <w:rsid w:val="000B6AC7"/>
    <w:rsid w:val="000C59ED"/>
    <w:rsid w:val="000D3E37"/>
    <w:rsid w:val="000D5360"/>
    <w:rsid w:val="000E6B48"/>
    <w:rsid w:val="000E7758"/>
    <w:rsid w:val="000F241D"/>
    <w:rsid w:val="000F3098"/>
    <w:rsid w:val="0011230B"/>
    <w:rsid w:val="00117777"/>
    <w:rsid w:val="001201E9"/>
    <w:rsid w:val="00124BA9"/>
    <w:rsid w:val="00127CD5"/>
    <w:rsid w:val="001337FB"/>
    <w:rsid w:val="001507EC"/>
    <w:rsid w:val="00150AEA"/>
    <w:rsid w:val="00156377"/>
    <w:rsid w:val="0016461C"/>
    <w:rsid w:val="0017004E"/>
    <w:rsid w:val="00170F20"/>
    <w:rsid w:val="00173279"/>
    <w:rsid w:val="00191F49"/>
    <w:rsid w:val="001C308A"/>
    <w:rsid w:val="001C4A33"/>
    <w:rsid w:val="001E2A87"/>
    <w:rsid w:val="001E7479"/>
    <w:rsid w:val="00203209"/>
    <w:rsid w:val="00212E22"/>
    <w:rsid w:val="00217D65"/>
    <w:rsid w:val="002229FE"/>
    <w:rsid w:val="0022632E"/>
    <w:rsid w:val="00240E76"/>
    <w:rsid w:val="00246A32"/>
    <w:rsid w:val="00270A96"/>
    <w:rsid w:val="002720D8"/>
    <w:rsid w:val="00272487"/>
    <w:rsid w:val="00285503"/>
    <w:rsid w:val="00286E82"/>
    <w:rsid w:val="00294CB0"/>
    <w:rsid w:val="002A2D9E"/>
    <w:rsid w:val="002A769B"/>
    <w:rsid w:val="002D1A3E"/>
    <w:rsid w:val="002F4012"/>
    <w:rsid w:val="00302402"/>
    <w:rsid w:val="0030587E"/>
    <w:rsid w:val="003155A1"/>
    <w:rsid w:val="00320521"/>
    <w:rsid w:val="00322D3F"/>
    <w:rsid w:val="00324666"/>
    <w:rsid w:val="00342717"/>
    <w:rsid w:val="00355A5E"/>
    <w:rsid w:val="0037212B"/>
    <w:rsid w:val="0038573C"/>
    <w:rsid w:val="0038598C"/>
    <w:rsid w:val="00385ACD"/>
    <w:rsid w:val="0039041E"/>
    <w:rsid w:val="003948EC"/>
    <w:rsid w:val="003958C8"/>
    <w:rsid w:val="003A6F39"/>
    <w:rsid w:val="003B4083"/>
    <w:rsid w:val="003C10F6"/>
    <w:rsid w:val="003D69BD"/>
    <w:rsid w:val="00410570"/>
    <w:rsid w:val="00411796"/>
    <w:rsid w:val="00416C1A"/>
    <w:rsid w:val="0042633D"/>
    <w:rsid w:val="00431388"/>
    <w:rsid w:val="00440094"/>
    <w:rsid w:val="00441D51"/>
    <w:rsid w:val="004546BD"/>
    <w:rsid w:val="00473BF1"/>
    <w:rsid w:val="004754C9"/>
    <w:rsid w:val="00494B29"/>
    <w:rsid w:val="004B52C5"/>
    <w:rsid w:val="004C3186"/>
    <w:rsid w:val="004C42B1"/>
    <w:rsid w:val="004C5313"/>
    <w:rsid w:val="004C5DB2"/>
    <w:rsid w:val="004E0368"/>
    <w:rsid w:val="004E2F6D"/>
    <w:rsid w:val="004E782D"/>
    <w:rsid w:val="004F54AF"/>
    <w:rsid w:val="004F6FA0"/>
    <w:rsid w:val="00511DB2"/>
    <w:rsid w:val="00517C0B"/>
    <w:rsid w:val="00553800"/>
    <w:rsid w:val="00556F09"/>
    <w:rsid w:val="00565970"/>
    <w:rsid w:val="00577EEB"/>
    <w:rsid w:val="00583FD7"/>
    <w:rsid w:val="0059291F"/>
    <w:rsid w:val="005A6431"/>
    <w:rsid w:val="005E1ECB"/>
    <w:rsid w:val="00600B5C"/>
    <w:rsid w:val="0060400B"/>
    <w:rsid w:val="00604477"/>
    <w:rsid w:val="00611C5F"/>
    <w:rsid w:val="00616A5D"/>
    <w:rsid w:val="0062140C"/>
    <w:rsid w:val="006377B8"/>
    <w:rsid w:val="00646CF0"/>
    <w:rsid w:val="00661C2D"/>
    <w:rsid w:val="00662E52"/>
    <w:rsid w:val="00664525"/>
    <w:rsid w:val="00667BDF"/>
    <w:rsid w:val="00673F75"/>
    <w:rsid w:val="00680193"/>
    <w:rsid w:val="006A698A"/>
    <w:rsid w:val="006B5078"/>
    <w:rsid w:val="006B76B8"/>
    <w:rsid w:val="006C5368"/>
    <w:rsid w:val="006C58F2"/>
    <w:rsid w:val="006C6E88"/>
    <w:rsid w:val="006D0474"/>
    <w:rsid w:val="006D142F"/>
    <w:rsid w:val="006D4AC5"/>
    <w:rsid w:val="006E7713"/>
    <w:rsid w:val="00704D2A"/>
    <w:rsid w:val="00711171"/>
    <w:rsid w:val="007132C8"/>
    <w:rsid w:val="00723455"/>
    <w:rsid w:val="0072445E"/>
    <w:rsid w:val="007265D3"/>
    <w:rsid w:val="00740F67"/>
    <w:rsid w:val="00745C2A"/>
    <w:rsid w:val="00753E6B"/>
    <w:rsid w:val="00754E3F"/>
    <w:rsid w:val="0075797D"/>
    <w:rsid w:val="0077548B"/>
    <w:rsid w:val="00776A7C"/>
    <w:rsid w:val="00780A29"/>
    <w:rsid w:val="007900DA"/>
    <w:rsid w:val="0079137E"/>
    <w:rsid w:val="007A1BDB"/>
    <w:rsid w:val="007A2AB8"/>
    <w:rsid w:val="007A3BEE"/>
    <w:rsid w:val="007C30BC"/>
    <w:rsid w:val="007E39E1"/>
    <w:rsid w:val="007E5D6F"/>
    <w:rsid w:val="007F32DA"/>
    <w:rsid w:val="007F3E8B"/>
    <w:rsid w:val="0082491E"/>
    <w:rsid w:val="00827FC5"/>
    <w:rsid w:val="008500D2"/>
    <w:rsid w:val="00852799"/>
    <w:rsid w:val="00872BF6"/>
    <w:rsid w:val="00875AA7"/>
    <w:rsid w:val="0088598F"/>
    <w:rsid w:val="00885C53"/>
    <w:rsid w:val="00887016"/>
    <w:rsid w:val="008914FA"/>
    <w:rsid w:val="008A08C0"/>
    <w:rsid w:val="008A4036"/>
    <w:rsid w:val="008A52A5"/>
    <w:rsid w:val="008B5D9D"/>
    <w:rsid w:val="008B697C"/>
    <w:rsid w:val="008B7AD5"/>
    <w:rsid w:val="008C361E"/>
    <w:rsid w:val="008E3EA8"/>
    <w:rsid w:val="00900663"/>
    <w:rsid w:val="00901244"/>
    <w:rsid w:val="0091401F"/>
    <w:rsid w:val="009147B3"/>
    <w:rsid w:val="00915233"/>
    <w:rsid w:val="0092532C"/>
    <w:rsid w:val="00927DE6"/>
    <w:rsid w:val="009345FC"/>
    <w:rsid w:val="009346AE"/>
    <w:rsid w:val="00937F3D"/>
    <w:rsid w:val="00946800"/>
    <w:rsid w:val="009563F4"/>
    <w:rsid w:val="00956C4D"/>
    <w:rsid w:val="00961EED"/>
    <w:rsid w:val="009746CA"/>
    <w:rsid w:val="00974753"/>
    <w:rsid w:val="00977FFC"/>
    <w:rsid w:val="009828D3"/>
    <w:rsid w:val="00992CB9"/>
    <w:rsid w:val="009949B0"/>
    <w:rsid w:val="009A1F5A"/>
    <w:rsid w:val="009A3534"/>
    <w:rsid w:val="009A4057"/>
    <w:rsid w:val="009B1D49"/>
    <w:rsid w:val="009C2371"/>
    <w:rsid w:val="009D3AD0"/>
    <w:rsid w:val="009E4600"/>
    <w:rsid w:val="009F759A"/>
    <w:rsid w:val="00A06800"/>
    <w:rsid w:val="00A10913"/>
    <w:rsid w:val="00A20FFB"/>
    <w:rsid w:val="00A3756A"/>
    <w:rsid w:val="00A445D7"/>
    <w:rsid w:val="00A526C7"/>
    <w:rsid w:val="00A5636F"/>
    <w:rsid w:val="00A6170F"/>
    <w:rsid w:val="00A63CD7"/>
    <w:rsid w:val="00A64F85"/>
    <w:rsid w:val="00A70251"/>
    <w:rsid w:val="00A85F75"/>
    <w:rsid w:val="00A92F0C"/>
    <w:rsid w:val="00AB389E"/>
    <w:rsid w:val="00AB47E4"/>
    <w:rsid w:val="00AC1F93"/>
    <w:rsid w:val="00AC40EE"/>
    <w:rsid w:val="00AC5480"/>
    <w:rsid w:val="00AD76B0"/>
    <w:rsid w:val="00AE0E23"/>
    <w:rsid w:val="00AE5062"/>
    <w:rsid w:val="00B12134"/>
    <w:rsid w:val="00B24F3C"/>
    <w:rsid w:val="00B26A6E"/>
    <w:rsid w:val="00B30BC3"/>
    <w:rsid w:val="00B41D2E"/>
    <w:rsid w:val="00B7570E"/>
    <w:rsid w:val="00B82724"/>
    <w:rsid w:val="00B86FEB"/>
    <w:rsid w:val="00B915E4"/>
    <w:rsid w:val="00B96017"/>
    <w:rsid w:val="00BB027B"/>
    <w:rsid w:val="00BC7533"/>
    <w:rsid w:val="00BD6666"/>
    <w:rsid w:val="00C0171D"/>
    <w:rsid w:val="00C27B5D"/>
    <w:rsid w:val="00C27CD7"/>
    <w:rsid w:val="00C43B3D"/>
    <w:rsid w:val="00C548FC"/>
    <w:rsid w:val="00C62026"/>
    <w:rsid w:val="00C64A99"/>
    <w:rsid w:val="00C701F9"/>
    <w:rsid w:val="00C82913"/>
    <w:rsid w:val="00C83427"/>
    <w:rsid w:val="00C94612"/>
    <w:rsid w:val="00CA00CE"/>
    <w:rsid w:val="00CA31EC"/>
    <w:rsid w:val="00CB0023"/>
    <w:rsid w:val="00CB7E4A"/>
    <w:rsid w:val="00CC1ADF"/>
    <w:rsid w:val="00CD758F"/>
    <w:rsid w:val="00CE79D7"/>
    <w:rsid w:val="00CE7DDC"/>
    <w:rsid w:val="00D00B4B"/>
    <w:rsid w:val="00D10823"/>
    <w:rsid w:val="00D15FC2"/>
    <w:rsid w:val="00D20F53"/>
    <w:rsid w:val="00D21F80"/>
    <w:rsid w:val="00D2646D"/>
    <w:rsid w:val="00D43B16"/>
    <w:rsid w:val="00D50641"/>
    <w:rsid w:val="00D51863"/>
    <w:rsid w:val="00D578A6"/>
    <w:rsid w:val="00D700C3"/>
    <w:rsid w:val="00D7204D"/>
    <w:rsid w:val="00D72208"/>
    <w:rsid w:val="00D73C5C"/>
    <w:rsid w:val="00D748C5"/>
    <w:rsid w:val="00D81B3E"/>
    <w:rsid w:val="00D82CEA"/>
    <w:rsid w:val="00D909F1"/>
    <w:rsid w:val="00D915E5"/>
    <w:rsid w:val="00D92C69"/>
    <w:rsid w:val="00D94F22"/>
    <w:rsid w:val="00DB0A0D"/>
    <w:rsid w:val="00DB0CE1"/>
    <w:rsid w:val="00DB423B"/>
    <w:rsid w:val="00DB69E8"/>
    <w:rsid w:val="00DD11D9"/>
    <w:rsid w:val="00DE5F42"/>
    <w:rsid w:val="00DF4C7F"/>
    <w:rsid w:val="00DF6A1F"/>
    <w:rsid w:val="00E021BA"/>
    <w:rsid w:val="00E02EEA"/>
    <w:rsid w:val="00E031E1"/>
    <w:rsid w:val="00E1216B"/>
    <w:rsid w:val="00E1328D"/>
    <w:rsid w:val="00E225F8"/>
    <w:rsid w:val="00E2472E"/>
    <w:rsid w:val="00E45ED2"/>
    <w:rsid w:val="00E60901"/>
    <w:rsid w:val="00E82F84"/>
    <w:rsid w:val="00E95D0E"/>
    <w:rsid w:val="00E96D45"/>
    <w:rsid w:val="00EA3BF1"/>
    <w:rsid w:val="00EC0D75"/>
    <w:rsid w:val="00ED4D96"/>
    <w:rsid w:val="00EE0017"/>
    <w:rsid w:val="00EE0459"/>
    <w:rsid w:val="00EE2FBA"/>
    <w:rsid w:val="00EF09F9"/>
    <w:rsid w:val="00EF6C0A"/>
    <w:rsid w:val="00F03012"/>
    <w:rsid w:val="00F03627"/>
    <w:rsid w:val="00F05A9C"/>
    <w:rsid w:val="00F05E46"/>
    <w:rsid w:val="00F14DE5"/>
    <w:rsid w:val="00F16121"/>
    <w:rsid w:val="00F210A1"/>
    <w:rsid w:val="00F24210"/>
    <w:rsid w:val="00F41860"/>
    <w:rsid w:val="00F424C5"/>
    <w:rsid w:val="00F56A5E"/>
    <w:rsid w:val="00F6318E"/>
    <w:rsid w:val="00F67733"/>
    <w:rsid w:val="00F82324"/>
    <w:rsid w:val="00F82795"/>
    <w:rsid w:val="00F91124"/>
    <w:rsid w:val="00F9503E"/>
    <w:rsid w:val="00FA2EA1"/>
    <w:rsid w:val="00FB5A89"/>
    <w:rsid w:val="00FC05F2"/>
    <w:rsid w:val="00FC0B67"/>
    <w:rsid w:val="00FD4807"/>
    <w:rsid w:val="00FF2660"/>
    <w:rsid w:val="00FF6EA8"/>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ED5FFCA"/>
  <w15:chartTrackingRefBased/>
  <w15:docId w15:val="{9CEDA437-AE40-4573-B884-AF953DA64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0400B"/>
    <w:pPr>
      <w:spacing w:line="480" w:lineRule="auto"/>
    </w:pPr>
    <w:rPr>
      <w:rFonts w:ascii="Arial" w:hAnsi="Arial"/>
      <w:szCs w:val="24"/>
    </w:rPr>
  </w:style>
  <w:style w:type="paragraph" w:styleId="1">
    <w:name w:val="heading 1"/>
    <w:basedOn w:val="a"/>
    <w:next w:val="a"/>
    <w:qFormat/>
    <w:rsid w:val="0060400B"/>
    <w:pPr>
      <w:keepNext/>
      <w:spacing w:before="240" w:after="60"/>
      <w:outlineLvl w:val="0"/>
    </w:pPr>
    <w:rPr>
      <w:rFonts w:cs="Arial"/>
      <w:b/>
      <w:bCs/>
      <w:kern w:val="32"/>
      <w:sz w:val="32"/>
      <w:szCs w:val="32"/>
    </w:rPr>
  </w:style>
  <w:style w:type="paragraph" w:styleId="2">
    <w:name w:val="heading 2"/>
    <w:basedOn w:val="a"/>
    <w:next w:val="a"/>
    <w:qFormat/>
    <w:rsid w:val="0060400B"/>
    <w:pPr>
      <w:keepNext/>
      <w:spacing w:before="240" w:after="60"/>
      <w:outlineLvl w:val="1"/>
    </w:pPr>
    <w:rPr>
      <w:rFonts w:cs="Arial"/>
      <w:b/>
      <w:bCs/>
      <w:i/>
      <w:iCs/>
      <w:sz w:val="28"/>
      <w:szCs w:val="28"/>
    </w:rPr>
  </w:style>
  <w:style w:type="paragraph" w:styleId="3">
    <w:name w:val="heading 3"/>
    <w:basedOn w:val="a"/>
    <w:next w:val="a"/>
    <w:qFormat/>
    <w:rsid w:val="0060400B"/>
    <w:pPr>
      <w:keepNext/>
      <w:spacing w:before="240" w:after="60"/>
      <w:outlineLvl w:val="2"/>
    </w:pPr>
    <w:rPr>
      <w:rFonts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rsid w:val="00F82795"/>
    <w:pPr>
      <w:tabs>
        <w:tab w:val="center" w:pos="4320"/>
        <w:tab w:val="right" w:pos="8640"/>
      </w:tabs>
    </w:pPr>
  </w:style>
  <w:style w:type="character" w:styleId="a4">
    <w:name w:val="page number"/>
    <w:basedOn w:val="a0"/>
    <w:rsid w:val="00F82795"/>
  </w:style>
  <w:style w:type="character" w:styleId="a5">
    <w:name w:val="Emphasis"/>
    <w:qFormat/>
    <w:rsid w:val="00FF6EA8"/>
    <w:rPr>
      <w:b/>
      <w:bCs/>
      <w:i w:val="0"/>
      <w:iCs w:val="0"/>
    </w:rPr>
  </w:style>
  <w:style w:type="character" w:styleId="a6">
    <w:name w:val="Hyperlink"/>
    <w:rsid w:val="00887016"/>
    <w:rPr>
      <w:color w:val="0000FF"/>
      <w:u w:val="single"/>
    </w:rPr>
  </w:style>
  <w:style w:type="character" w:styleId="a7">
    <w:name w:val="annotation reference"/>
    <w:semiHidden/>
    <w:rsid w:val="00D00B4B"/>
    <w:rPr>
      <w:sz w:val="16"/>
      <w:szCs w:val="16"/>
    </w:rPr>
  </w:style>
  <w:style w:type="paragraph" w:styleId="a8">
    <w:name w:val="annotation text"/>
    <w:basedOn w:val="a"/>
    <w:semiHidden/>
    <w:rsid w:val="00D00B4B"/>
    <w:rPr>
      <w:szCs w:val="20"/>
    </w:rPr>
  </w:style>
  <w:style w:type="paragraph" w:styleId="a9">
    <w:name w:val="annotation subject"/>
    <w:basedOn w:val="a8"/>
    <w:next w:val="a8"/>
    <w:semiHidden/>
    <w:rsid w:val="00D00B4B"/>
    <w:rPr>
      <w:b/>
      <w:bCs/>
    </w:rPr>
  </w:style>
  <w:style w:type="paragraph" w:styleId="aa">
    <w:name w:val="Balloon Text"/>
    <w:basedOn w:val="a"/>
    <w:semiHidden/>
    <w:rsid w:val="00D00B4B"/>
    <w:rPr>
      <w:rFonts w:ascii="Tahoma" w:hAnsi="Tahoma" w:cs="Tahoma"/>
      <w:sz w:val="16"/>
      <w:szCs w:val="16"/>
    </w:rPr>
  </w:style>
  <w:style w:type="character" w:styleId="ab">
    <w:name w:val="line number"/>
    <w:rsid w:val="00C94612"/>
  </w:style>
  <w:style w:type="paragraph" w:styleId="ac">
    <w:name w:val="header"/>
    <w:basedOn w:val="a"/>
    <w:link w:val="ad"/>
    <w:rsid w:val="00740F67"/>
    <w:pPr>
      <w:tabs>
        <w:tab w:val="center" w:pos="4680"/>
        <w:tab w:val="right" w:pos="9360"/>
      </w:tabs>
    </w:pPr>
  </w:style>
  <w:style w:type="character" w:customStyle="1" w:styleId="ad">
    <w:name w:val="ヘッダー (文字)"/>
    <w:link w:val="ac"/>
    <w:rsid w:val="00740F67"/>
    <w:rPr>
      <w:rFonts w:ascii="Arial" w:hAnsi="Arial"/>
      <w:szCs w:val="24"/>
      <w:lang w:val="en-US" w:eastAsia="en-US"/>
    </w:rPr>
  </w:style>
  <w:style w:type="paragraph" w:styleId="ae">
    <w:name w:val="Revision"/>
    <w:hidden/>
    <w:uiPriority w:val="99"/>
    <w:semiHidden/>
    <w:rsid w:val="00A526C7"/>
    <w:rPr>
      <w:rFonts w:ascii="Arial" w:hAnsi="Arial"/>
      <w:szCs w:val="24"/>
    </w:rPr>
  </w:style>
  <w:style w:type="character" w:styleId="af">
    <w:name w:val="FollowedHyperlink"/>
    <w:basedOn w:val="a0"/>
    <w:rsid w:val="00441D51"/>
    <w:rPr>
      <w:color w:val="954F72" w:themeColor="followedHyperlink"/>
      <w:u w:val="single"/>
    </w:rPr>
  </w:style>
  <w:style w:type="character" w:styleId="af0">
    <w:name w:val="Unresolved Mention"/>
    <w:basedOn w:val="a0"/>
    <w:uiPriority w:val="99"/>
    <w:semiHidden/>
    <w:unhideWhenUsed/>
    <w:rsid w:val="00441D51"/>
    <w:rPr>
      <w:color w:val="605E5C"/>
      <w:shd w:val="clear" w:color="auto" w:fill="E1DFDD"/>
    </w:rPr>
  </w:style>
  <w:style w:type="character" w:customStyle="1" w:styleId="cf01">
    <w:name w:val="cf01"/>
    <w:basedOn w:val="a0"/>
    <w:rsid w:val="00872BF6"/>
    <w:rPr>
      <w:rFonts w:ascii="Segoe UI" w:hAnsi="Segoe UI" w:cs="Segoe UI" w:hint="default"/>
      <w:sz w:val="18"/>
      <w:szCs w:val="18"/>
    </w:rPr>
  </w:style>
  <w:style w:type="paragraph" w:customStyle="1" w:styleId="MDPI31text">
    <w:name w:val="MDPI_3.1_text"/>
    <w:link w:val="MDPI31text0"/>
    <w:qFormat/>
    <w:rsid w:val="00C83427"/>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52figure">
    <w:name w:val="MDPI_5.2_figure"/>
    <w:qFormat/>
    <w:rsid w:val="00C83427"/>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2heading2">
    <w:name w:val="MDPI_2.2_heading2"/>
    <w:qFormat/>
    <w:rsid w:val="00C83427"/>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character" w:customStyle="1" w:styleId="MDPI31text0">
    <w:name w:val="MDPI_3.1_text (文字)"/>
    <w:basedOn w:val="a0"/>
    <w:link w:val="MDPI31text"/>
    <w:rsid w:val="00C83427"/>
    <w:rPr>
      <w:rFonts w:ascii="Palatino Linotype" w:eastAsia="Times New Roman" w:hAnsi="Palatino Linotype"/>
      <w:snapToGrid w:val="0"/>
      <w:color w:val="000000"/>
      <w:szCs w:val="22"/>
      <w:lang w:eastAsia="de-DE" w:bidi="en-US"/>
    </w:rPr>
  </w:style>
  <w:style w:type="paragraph" w:customStyle="1" w:styleId="EndNoteBibliographyTitle">
    <w:name w:val="EndNote Bibliography Title"/>
    <w:basedOn w:val="a"/>
    <w:link w:val="EndNoteBibliographyTitle0"/>
    <w:rsid w:val="00C83427"/>
    <w:pPr>
      <w:jc w:val="center"/>
    </w:pPr>
    <w:rPr>
      <w:rFonts w:cs="Arial"/>
    </w:rPr>
  </w:style>
  <w:style w:type="character" w:customStyle="1" w:styleId="EndNoteBibliographyTitle0">
    <w:name w:val="EndNote Bibliography Title (文字)"/>
    <w:basedOn w:val="a0"/>
    <w:link w:val="EndNoteBibliographyTitle"/>
    <w:rsid w:val="00C83427"/>
    <w:rPr>
      <w:rFonts w:ascii="Arial" w:hAnsi="Arial" w:cs="Arial"/>
      <w:szCs w:val="24"/>
    </w:rPr>
  </w:style>
  <w:style w:type="paragraph" w:customStyle="1" w:styleId="EndNoteBibliography">
    <w:name w:val="EndNote Bibliography"/>
    <w:basedOn w:val="a"/>
    <w:link w:val="EndNoteBibliography0"/>
    <w:rsid w:val="00C83427"/>
    <w:pPr>
      <w:spacing w:line="240" w:lineRule="auto"/>
    </w:pPr>
    <w:rPr>
      <w:rFonts w:cs="Arial"/>
    </w:rPr>
  </w:style>
  <w:style w:type="character" w:customStyle="1" w:styleId="EndNoteBibliography0">
    <w:name w:val="EndNote Bibliography (文字)"/>
    <w:basedOn w:val="a0"/>
    <w:link w:val="EndNoteBibliography"/>
    <w:rsid w:val="00C83427"/>
    <w:rPr>
      <w:rFonts w:ascii="Arial" w:hAnsi="Arial" w:cs="Arial"/>
      <w:szCs w:val="24"/>
    </w:rPr>
  </w:style>
  <w:style w:type="paragraph" w:customStyle="1" w:styleId="MDPI63notes">
    <w:name w:val="MDPI_6.3_notes"/>
    <w:qFormat/>
    <w:rsid w:val="009C2371"/>
    <w:pPr>
      <w:adjustRightInd w:val="0"/>
      <w:snapToGrid w:val="0"/>
      <w:spacing w:before="240" w:line="280" w:lineRule="atLeast"/>
      <w:jc w:val="both"/>
    </w:pPr>
    <w:rPr>
      <w:rFonts w:ascii="Palatino Linotype" w:eastAsia="SimSun" w:hAnsi="Palatino Linotype"/>
      <w:snapToGrid w:val="0"/>
      <w:color w:val="000000"/>
      <w:sz w:val="18"/>
      <w:lang w:bidi="en-US"/>
    </w:rPr>
  </w:style>
  <w:style w:type="character" w:styleId="af1">
    <w:name w:val="Strong"/>
    <w:basedOn w:val="a0"/>
    <w:uiPriority w:val="22"/>
    <w:qFormat/>
    <w:rsid w:val="00033270"/>
    <w:rPr>
      <w:b/>
      <w:bCs/>
    </w:rPr>
  </w:style>
  <w:style w:type="paragraph" w:styleId="af2">
    <w:name w:val="List Paragraph"/>
    <w:basedOn w:val="a"/>
    <w:uiPriority w:val="34"/>
    <w:qFormat/>
    <w:rsid w:val="0079137E"/>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5614926">
      <w:bodyDiv w:val="1"/>
      <w:marLeft w:val="0"/>
      <w:marRight w:val="0"/>
      <w:marTop w:val="0"/>
      <w:marBottom w:val="0"/>
      <w:divBdr>
        <w:top w:val="none" w:sz="0" w:space="0" w:color="auto"/>
        <w:left w:val="none" w:sz="0" w:space="0" w:color="auto"/>
        <w:bottom w:val="none" w:sz="0" w:space="0" w:color="auto"/>
        <w:right w:val="none" w:sz="0" w:space="0" w:color="auto"/>
      </w:divBdr>
    </w:div>
    <w:div w:id="669605158">
      <w:bodyDiv w:val="1"/>
      <w:marLeft w:val="0"/>
      <w:marRight w:val="0"/>
      <w:marTop w:val="0"/>
      <w:marBottom w:val="0"/>
      <w:divBdr>
        <w:top w:val="none" w:sz="0" w:space="0" w:color="auto"/>
        <w:left w:val="none" w:sz="0" w:space="0" w:color="auto"/>
        <w:bottom w:val="none" w:sz="0" w:space="0" w:color="auto"/>
        <w:right w:val="none" w:sz="0" w:space="0" w:color="auto"/>
      </w:divBdr>
    </w:div>
    <w:div w:id="867064246">
      <w:bodyDiv w:val="1"/>
      <w:marLeft w:val="0"/>
      <w:marRight w:val="0"/>
      <w:marTop w:val="0"/>
      <w:marBottom w:val="0"/>
      <w:divBdr>
        <w:top w:val="none" w:sz="0" w:space="0" w:color="auto"/>
        <w:left w:val="none" w:sz="0" w:space="0" w:color="auto"/>
        <w:bottom w:val="none" w:sz="0" w:space="0" w:color="auto"/>
        <w:right w:val="none" w:sz="0" w:space="0" w:color="auto"/>
      </w:divBdr>
    </w:div>
    <w:div w:id="938565690">
      <w:bodyDiv w:val="1"/>
      <w:marLeft w:val="0"/>
      <w:marRight w:val="0"/>
      <w:marTop w:val="0"/>
      <w:marBottom w:val="0"/>
      <w:divBdr>
        <w:top w:val="none" w:sz="0" w:space="0" w:color="auto"/>
        <w:left w:val="none" w:sz="0" w:space="0" w:color="auto"/>
        <w:bottom w:val="none" w:sz="0" w:space="0" w:color="auto"/>
        <w:right w:val="none" w:sz="0" w:space="0" w:color="auto"/>
      </w:divBdr>
    </w:div>
    <w:div w:id="966205234">
      <w:bodyDiv w:val="1"/>
      <w:marLeft w:val="0"/>
      <w:marRight w:val="0"/>
      <w:marTop w:val="0"/>
      <w:marBottom w:val="0"/>
      <w:divBdr>
        <w:top w:val="none" w:sz="0" w:space="0" w:color="auto"/>
        <w:left w:val="none" w:sz="0" w:space="0" w:color="auto"/>
        <w:bottom w:val="none" w:sz="0" w:space="0" w:color="auto"/>
        <w:right w:val="none" w:sz="0" w:space="0" w:color="auto"/>
      </w:divBdr>
    </w:div>
    <w:div w:id="1090082768">
      <w:bodyDiv w:val="1"/>
      <w:marLeft w:val="0"/>
      <w:marRight w:val="0"/>
      <w:marTop w:val="0"/>
      <w:marBottom w:val="0"/>
      <w:divBdr>
        <w:top w:val="none" w:sz="0" w:space="0" w:color="auto"/>
        <w:left w:val="none" w:sz="0" w:space="0" w:color="auto"/>
        <w:bottom w:val="none" w:sz="0" w:space="0" w:color="auto"/>
        <w:right w:val="none" w:sz="0" w:space="0" w:color="auto"/>
      </w:divBdr>
    </w:div>
    <w:div w:id="1341663264">
      <w:bodyDiv w:val="1"/>
      <w:marLeft w:val="0"/>
      <w:marRight w:val="0"/>
      <w:marTop w:val="0"/>
      <w:marBottom w:val="0"/>
      <w:divBdr>
        <w:top w:val="none" w:sz="0" w:space="0" w:color="auto"/>
        <w:left w:val="none" w:sz="0" w:space="0" w:color="auto"/>
        <w:bottom w:val="none" w:sz="0" w:space="0" w:color="auto"/>
        <w:right w:val="none" w:sz="0" w:space="0" w:color="auto"/>
      </w:divBdr>
    </w:div>
    <w:div w:id="1410618971">
      <w:bodyDiv w:val="1"/>
      <w:marLeft w:val="0"/>
      <w:marRight w:val="0"/>
      <w:marTop w:val="0"/>
      <w:marBottom w:val="0"/>
      <w:divBdr>
        <w:top w:val="none" w:sz="0" w:space="0" w:color="auto"/>
        <w:left w:val="none" w:sz="0" w:space="0" w:color="auto"/>
        <w:bottom w:val="none" w:sz="0" w:space="0" w:color="auto"/>
        <w:right w:val="none" w:sz="0" w:space="0" w:color="auto"/>
      </w:divBdr>
    </w:div>
    <w:div w:id="1445033774">
      <w:bodyDiv w:val="1"/>
      <w:marLeft w:val="0"/>
      <w:marRight w:val="0"/>
      <w:marTop w:val="0"/>
      <w:marBottom w:val="0"/>
      <w:divBdr>
        <w:top w:val="none" w:sz="0" w:space="0" w:color="auto"/>
        <w:left w:val="none" w:sz="0" w:space="0" w:color="auto"/>
        <w:bottom w:val="none" w:sz="0" w:space="0" w:color="auto"/>
        <w:right w:val="none" w:sz="0" w:space="0" w:color="auto"/>
      </w:divBdr>
    </w:div>
    <w:div w:id="1571958818">
      <w:bodyDiv w:val="1"/>
      <w:marLeft w:val="0"/>
      <w:marRight w:val="0"/>
      <w:marTop w:val="0"/>
      <w:marBottom w:val="0"/>
      <w:divBdr>
        <w:top w:val="none" w:sz="0" w:space="0" w:color="auto"/>
        <w:left w:val="none" w:sz="0" w:space="0" w:color="auto"/>
        <w:bottom w:val="none" w:sz="0" w:space="0" w:color="auto"/>
        <w:right w:val="none" w:sz="0" w:space="0" w:color="auto"/>
      </w:divBdr>
    </w:div>
    <w:div w:id="1918662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151</TotalTime>
  <Pages>10</Pages>
  <Words>1837</Words>
  <Characters>10477</Characters>
  <Application>Microsoft Office Word</Application>
  <DocSecurity>0</DocSecurity>
  <Lines>87</Lines>
  <Paragraphs>24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Manuscript template</vt:lpstr>
      <vt:lpstr>The contraceptive implant</vt:lpstr>
    </vt:vector>
  </TitlesOfParts>
  <Company>Dove Medical Press</Company>
  <LinksUpToDate>false</LinksUpToDate>
  <CharactersWithSpaces>12290</CharactersWithSpaces>
  <SharedDoc>false</SharedDoc>
  <HLinks>
    <vt:vector size="36" baseType="variant">
      <vt:variant>
        <vt:i4>1048578</vt:i4>
      </vt:variant>
      <vt:variant>
        <vt:i4>15</vt:i4>
      </vt:variant>
      <vt:variant>
        <vt:i4>0</vt:i4>
      </vt:variant>
      <vt:variant>
        <vt:i4>5</vt:i4>
      </vt:variant>
      <vt:variant>
        <vt:lpwstr>https://www.dovepress.com/author_guidelines.php?content_id=3511</vt:lpwstr>
      </vt:variant>
      <vt:variant>
        <vt:lpwstr/>
      </vt:variant>
      <vt:variant>
        <vt:i4>6881324</vt:i4>
      </vt:variant>
      <vt:variant>
        <vt:i4>12</vt:i4>
      </vt:variant>
      <vt:variant>
        <vt:i4>0</vt:i4>
      </vt:variant>
      <vt:variant>
        <vt:i4>5</vt:i4>
      </vt:variant>
      <vt:variant>
        <vt:lpwstr>http://www.ncbi.nlm.nih.gov/sites/entrez?Db=pubmed&amp;Cmd=Search&amp;Term=%22Efficacy%20of%20Vasopressin%20Antagonism%20in%20Heart%20Failure%20Outcome%20Study%20With%20Tolvaptan%20(EVEREST)%20Investigators%22%5BCorporate%20Author%5D&amp;itool=EntrezSystem2.PEntrez.Pubmed.Pubmed_ResultsPanel.Pubmed_DiscoveryPanel.Pubmed_RVAbstractPlus</vt:lpwstr>
      </vt:variant>
      <vt:variant>
        <vt:lpwstr/>
      </vt:variant>
      <vt:variant>
        <vt:i4>5177376</vt:i4>
      </vt:variant>
      <vt:variant>
        <vt:i4>9</vt:i4>
      </vt:variant>
      <vt:variant>
        <vt:i4>0</vt:i4>
      </vt:variant>
      <vt:variant>
        <vt:i4>5</vt:i4>
      </vt:variant>
      <vt:variant>
        <vt:lpwstr>http://www.ncbi.nlm.nih.gov/sites/entrez?Db=pubmed&amp;Cmd=Search&amp;Term=%22Burnett%20JC%20Jr%22%5BAuthor%5D&amp;itool=EntrezSystem2.PEntrez.Pubmed.Pubmed_ResultsPanel.Pubmed_DiscoveryPanel.Pubmed_RVAbstractPlus</vt:lpwstr>
      </vt:variant>
      <vt:variant>
        <vt:lpwstr/>
      </vt:variant>
      <vt:variant>
        <vt:i4>6488138</vt:i4>
      </vt:variant>
      <vt:variant>
        <vt:i4>6</vt:i4>
      </vt:variant>
      <vt:variant>
        <vt:i4>0</vt:i4>
      </vt:variant>
      <vt:variant>
        <vt:i4>5</vt:i4>
      </vt:variant>
      <vt:variant>
        <vt:lpwstr>http://www.ncbi.nlm.nih.gov/sites/entrez?Db=pubmed&amp;Cmd=Search&amp;Term=%22Konstam%20MA%22%5BAuthor%5D&amp;itool=EntrezSystem2.PEntrez.Pubmed.Pubmed_ResultsPanel.Pubmed_DiscoveryPanel.Pubmed_RVAbstractPlus</vt:lpwstr>
      </vt:variant>
      <vt:variant>
        <vt:lpwstr/>
      </vt:variant>
      <vt:variant>
        <vt:i4>7733341</vt:i4>
      </vt:variant>
      <vt:variant>
        <vt:i4>3</vt:i4>
      </vt:variant>
      <vt:variant>
        <vt:i4>0</vt:i4>
      </vt:variant>
      <vt:variant>
        <vt:i4>5</vt:i4>
      </vt:variant>
      <vt:variant>
        <vt:lpwstr>http://www.ncbi.nlm.nih.gov/sites/entrez?Db=pubmed&amp;Cmd=Search&amp;Term=%22Gheorghiade%20M%22%5BAuthor%5D&amp;itool=EntrezSystem2.PEntrez.Pubmed.Pubmed_ResultsPanel.Pubmed_DiscoveryPanel.Pubmed_RVAbstractPlus</vt:lpwstr>
      </vt:variant>
      <vt:variant>
        <vt:lpwstr/>
      </vt:variant>
      <vt:variant>
        <vt:i4>4849753</vt:i4>
      </vt:variant>
      <vt:variant>
        <vt:i4>0</vt:i4>
      </vt:variant>
      <vt:variant>
        <vt:i4>0</vt:i4>
      </vt:variant>
      <vt:variant>
        <vt:i4>5</vt:i4>
      </vt:variant>
      <vt:variant>
        <vt:lpwstr>http://www.dovepress.com/author_guidelines.php?folder_id=208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template</dc:title>
  <dc:subject/>
  <dc:creator>Angela Jones</dc:creator>
  <cp:keywords/>
  <cp:lastModifiedBy>mpcwt639@yahoo.co.jp</cp:lastModifiedBy>
  <cp:revision>95</cp:revision>
  <cp:lastPrinted>2009-01-07T21:57:00Z</cp:lastPrinted>
  <dcterms:created xsi:type="dcterms:W3CDTF">2024-06-06T03:23:00Z</dcterms:created>
  <dcterms:modified xsi:type="dcterms:W3CDTF">2025-12-03T06:58:00Z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2022-06-22T01:38:32Z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0936c748-9820-4e4e-a7fa-9383c967e889</vt:lpwstr>
  </property>
  <property fmtid="{D5CDD505-2E9C-101B-9397-08002B2CF9AE}" pid="8" name="MSIP_Label_2bbab825-a111-45e4-86a1-18cee0005896_ContentBits">
    <vt:lpwstr>2</vt:lpwstr>
  </property>
</Properties>
</file>