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ECA84" w14:textId="77777777" w:rsidR="00120AEC" w:rsidRPr="001B4314" w:rsidRDefault="00120AEC">
      <w:pPr>
        <w:rPr>
          <w:rFonts w:ascii="Times New Roman" w:hAnsi="Times New Roman" w:cs="Times New Roman"/>
        </w:rPr>
      </w:pPr>
    </w:p>
    <w:p w14:paraId="4B122B10" w14:textId="77777777" w:rsidR="009465B8" w:rsidRPr="001B4314" w:rsidRDefault="009465B8">
      <w:pPr>
        <w:rPr>
          <w:rFonts w:ascii="Times New Roman" w:hAnsi="Times New Roman" w:cs="Times New Roman"/>
        </w:rPr>
      </w:pPr>
    </w:p>
    <w:p w14:paraId="50BED2DF" w14:textId="2EACFF80" w:rsidR="009465B8" w:rsidRPr="00B57D30" w:rsidRDefault="0047781C" w:rsidP="009465B8">
      <w:pPr>
        <w:spacing w:line="480" w:lineRule="auto"/>
        <w:contextualSpacing/>
        <w:rPr>
          <w:rFonts w:ascii="Arial" w:eastAsia="Arial" w:hAnsi="Arial" w:cs="Arial"/>
          <w:b/>
          <w:bCs/>
        </w:rPr>
      </w:pPr>
      <w:r w:rsidRPr="00B57D30">
        <w:rPr>
          <w:rFonts w:ascii="Arial" w:eastAsia="Arial" w:hAnsi="Arial" w:cs="Arial"/>
          <w:b/>
          <w:bCs/>
        </w:rPr>
        <w:t xml:space="preserve">Supplemental </w:t>
      </w:r>
      <w:r w:rsidR="009465B8" w:rsidRPr="00B57D30">
        <w:rPr>
          <w:rFonts w:ascii="Arial" w:eastAsia="Arial" w:hAnsi="Arial" w:cs="Arial"/>
          <w:b/>
          <w:bCs/>
        </w:rPr>
        <w:t xml:space="preserve">Table 1: Inclusion and exclusion criteria for the </w:t>
      </w:r>
      <w:r w:rsidR="007626A5">
        <w:rPr>
          <w:rStyle w:val="normaltextrun"/>
          <w:b/>
          <w:bCs/>
          <w:color w:val="000000"/>
          <w:bdr w:val="none" w:sz="0" w:space="0" w:color="auto" w:frame="1"/>
        </w:rPr>
        <w:t>Phase I trial of self-administered Artesunate pessaries (vaginal inserts) for treatment of cervical precancer</w:t>
      </w:r>
      <w:r w:rsidR="001B4314" w:rsidRPr="00B57D30">
        <w:rPr>
          <w:rFonts w:ascii="Arial" w:eastAsia="Arial" w:hAnsi="Arial" w:cs="Arial"/>
          <w:b/>
          <w:bCs/>
        </w:rPr>
        <w:t xml:space="preserve"> in Kisumu, Kenya </w:t>
      </w:r>
    </w:p>
    <w:tbl>
      <w:tblPr>
        <w:tblStyle w:val="TableGrid"/>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038"/>
        <w:gridCol w:w="5762"/>
      </w:tblGrid>
      <w:tr w:rsidR="00CC6EEA" w:rsidRPr="00B57D30" w14:paraId="04B51826" w14:textId="77777777" w:rsidTr="00857ECF">
        <w:trPr>
          <w:trHeight w:val="300"/>
        </w:trPr>
        <w:tc>
          <w:tcPr>
            <w:tcW w:w="5040" w:type="dxa"/>
            <w:tcBorders>
              <w:left w:val="nil"/>
              <w:bottom w:val="single" w:sz="4" w:space="0" w:color="auto"/>
              <w:right w:val="nil"/>
            </w:tcBorders>
          </w:tcPr>
          <w:p w14:paraId="745C9601" w14:textId="77777777" w:rsidR="00CC6EEA" w:rsidRPr="00B57D30" w:rsidRDefault="00CC6EEA" w:rsidP="00B71FA4">
            <w:pPr>
              <w:spacing w:line="480" w:lineRule="auto"/>
              <w:rPr>
                <w:rFonts w:ascii="Arial" w:eastAsia="Arial" w:hAnsi="Arial" w:cs="Arial"/>
                <w:sz w:val="24"/>
                <w:szCs w:val="24"/>
              </w:rPr>
            </w:pPr>
            <w:r w:rsidRPr="00B57D30">
              <w:rPr>
                <w:rFonts w:ascii="Arial" w:eastAsia="Arial" w:hAnsi="Arial" w:cs="Arial"/>
                <w:sz w:val="24"/>
                <w:szCs w:val="24"/>
              </w:rPr>
              <w:t>Inclusion Criteria</w:t>
            </w:r>
          </w:p>
        </w:tc>
        <w:tc>
          <w:tcPr>
            <w:tcW w:w="5760" w:type="dxa"/>
            <w:tcBorders>
              <w:left w:val="nil"/>
              <w:bottom w:val="single" w:sz="4" w:space="0" w:color="auto"/>
              <w:right w:val="nil"/>
            </w:tcBorders>
          </w:tcPr>
          <w:p w14:paraId="1EF3A95D" w14:textId="77777777" w:rsidR="00CC6EEA" w:rsidRPr="00B57D30" w:rsidRDefault="00CC6EEA" w:rsidP="00B71FA4">
            <w:pPr>
              <w:spacing w:line="480" w:lineRule="auto"/>
              <w:rPr>
                <w:rFonts w:ascii="Arial" w:eastAsia="Arial" w:hAnsi="Arial" w:cs="Arial"/>
                <w:sz w:val="24"/>
                <w:szCs w:val="24"/>
              </w:rPr>
            </w:pPr>
            <w:r w:rsidRPr="00B57D30">
              <w:rPr>
                <w:rFonts w:ascii="Arial" w:eastAsia="Arial" w:hAnsi="Arial" w:cs="Arial"/>
                <w:sz w:val="24"/>
                <w:szCs w:val="24"/>
              </w:rPr>
              <w:t>Exclusion Criteria</w:t>
            </w:r>
          </w:p>
        </w:tc>
      </w:tr>
      <w:tr w:rsidR="00CC6EEA" w:rsidRPr="00B57D30" w14:paraId="3D855CA0" w14:textId="77777777" w:rsidTr="00857ECF">
        <w:trPr>
          <w:trHeight w:val="525"/>
        </w:trPr>
        <w:tc>
          <w:tcPr>
            <w:tcW w:w="5040" w:type="dxa"/>
            <w:tcBorders>
              <w:top w:val="single" w:sz="4" w:space="0" w:color="auto"/>
              <w:left w:val="nil"/>
              <w:bottom w:val="nil"/>
              <w:right w:val="nil"/>
            </w:tcBorders>
          </w:tcPr>
          <w:p w14:paraId="7A5E314C" w14:textId="3B149E83" w:rsidR="007626A5" w:rsidRPr="00B57D30" w:rsidRDefault="007626A5" w:rsidP="00B71FA4">
            <w:pPr>
              <w:spacing w:line="480" w:lineRule="auto"/>
              <w:rPr>
                <w:rFonts w:ascii="Arial" w:eastAsia="Arial" w:hAnsi="Arial" w:cs="Arial"/>
                <w:sz w:val="24"/>
                <w:szCs w:val="24"/>
              </w:rPr>
            </w:pPr>
            <w:r w:rsidRPr="007626A5">
              <w:rPr>
                <w:rFonts w:ascii="Arial" w:eastAsia="Arial" w:hAnsi="Arial" w:cs="Arial"/>
                <w:sz w:val="24"/>
                <w:szCs w:val="24"/>
              </w:rPr>
              <w:t xml:space="preserve">Age 18 years or older  </w:t>
            </w:r>
          </w:p>
        </w:tc>
        <w:tc>
          <w:tcPr>
            <w:tcW w:w="5760" w:type="dxa"/>
            <w:tcBorders>
              <w:top w:val="single" w:sz="4" w:space="0" w:color="auto"/>
              <w:left w:val="nil"/>
              <w:bottom w:val="nil"/>
              <w:right w:val="nil"/>
            </w:tcBorders>
          </w:tcPr>
          <w:p w14:paraId="0A9627E6" w14:textId="71EA3766" w:rsidR="00CC6EEA" w:rsidRPr="00B57D30" w:rsidRDefault="007626A5" w:rsidP="00B71FA4">
            <w:pPr>
              <w:spacing w:line="480" w:lineRule="auto"/>
              <w:rPr>
                <w:rFonts w:ascii="Arial" w:eastAsia="Arial" w:hAnsi="Arial" w:cs="Arial"/>
                <w:sz w:val="24"/>
                <w:szCs w:val="24"/>
              </w:rPr>
            </w:pPr>
            <w:r w:rsidRPr="007626A5">
              <w:rPr>
                <w:rFonts w:ascii="Arial" w:eastAsia="Arial" w:hAnsi="Arial" w:cs="Arial"/>
                <w:sz w:val="24"/>
                <w:szCs w:val="24"/>
              </w:rPr>
              <w:t xml:space="preserve">Current pregnancy or breastfeeding status  </w:t>
            </w:r>
          </w:p>
        </w:tc>
      </w:tr>
      <w:tr w:rsidR="00CC6EEA" w:rsidRPr="00B57D30" w14:paraId="4C16CBB3" w14:textId="77777777" w:rsidTr="00857ECF">
        <w:trPr>
          <w:trHeight w:val="300"/>
        </w:trPr>
        <w:tc>
          <w:tcPr>
            <w:tcW w:w="5040" w:type="dxa"/>
            <w:tcBorders>
              <w:top w:val="nil"/>
              <w:left w:val="nil"/>
              <w:bottom w:val="nil"/>
              <w:right w:val="nil"/>
            </w:tcBorders>
          </w:tcPr>
          <w:p w14:paraId="54356788" w14:textId="1BEF0161" w:rsidR="007626A5" w:rsidRPr="00B57D30" w:rsidRDefault="007626A5" w:rsidP="00B71FA4">
            <w:pPr>
              <w:spacing w:line="480" w:lineRule="auto"/>
              <w:rPr>
                <w:rFonts w:ascii="Arial" w:eastAsia="Arial" w:hAnsi="Arial" w:cs="Arial"/>
                <w:sz w:val="24"/>
                <w:szCs w:val="24"/>
              </w:rPr>
            </w:pPr>
            <w:r w:rsidRPr="007626A5">
              <w:rPr>
                <w:rFonts w:ascii="Arial" w:eastAsia="Arial" w:hAnsi="Arial" w:cs="Arial"/>
                <w:sz w:val="24"/>
                <w:szCs w:val="24"/>
              </w:rPr>
              <w:t xml:space="preserve">Cervical lesions referred for excision with CIN2/3 diagnosis on biopsy  </w:t>
            </w:r>
          </w:p>
        </w:tc>
        <w:tc>
          <w:tcPr>
            <w:tcW w:w="5760" w:type="dxa"/>
            <w:tcBorders>
              <w:top w:val="nil"/>
              <w:left w:val="nil"/>
              <w:bottom w:val="nil"/>
              <w:right w:val="nil"/>
            </w:tcBorders>
          </w:tcPr>
          <w:p w14:paraId="2E25A7B8" w14:textId="77777777" w:rsidR="00CC6EEA" w:rsidRDefault="007626A5" w:rsidP="00B71FA4">
            <w:pPr>
              <w:spacing w:line="480" w:lineRule="auto"/>
              <w:rPr>
                <w:rFonts w:ascii="Arial" w:eastAsia="Arial" w:hAnsi="Arial" w:cs="Arial"/>
                <w:sz w:val="24"/>
                <w:szCs w:val="24"/>
              </w:rPr>
            </w:pPr>
            <w:r w:rsidRPr="007626A5">
              <w:rPr>
                <w:rFonts w:ascii="Arial" w:eastAsia="Arial" w:hAnsi="Arial" w:cs="Arial"/>
                <w:sz w:val="24"/>
                <w:szCs w:val="24"/>
              </w:rPr>
              <w:t xml:space="preserve">Current or </w:t>
            </w:r>
            <w:proofErr w:type="gramStart"/>
            <w:r w:rsidRPr="007626A5">
              <w:rPr>
                <w:rFonts w:ascii="Arial" w:eastAsia="Arial" w:hAnsi="Arial" w:cs="Arial"/>
                <w:sz w:val="24"/>
                <w:szCs w:val="24"/>
              </w:rPr>
              <w:t>past history</w:t>
            </w:r>
            <w:proofErr w:type="gramEnd"/>
            <w:r w:rsidRPr="007626A5">
              <w:rPr>
                <w:rFonts w:ascii="Arial" w:eastAsia="Arial" w:hAnsi="Arial" w:cs="Arial"/>
                <w:sz w:val="24"/>
                <w:szCs w:val="24"/>
              </w:rPr>
              <w:t xml:space="preserve"> of invasive cervical cancer  </w:t>
            </w:r>
          </w:p>
          <w:p w14:paraId="1FD1BB9A" w14:textId="75A0015A" w:rsidR="007626A5" w:rsidRPr="00B57D30" w:rsidRDefault="007626A5" w:rsidP="00B71FA4">
            <w:pPr>
              <w:spacing w:line="480" w:lineRule="auto"/>
              <w:rPr>
                <w:rFonts w:ascii="Arial" w:eastAsia="Arial" w:hAnsi="Arial" w:cs="Arial"/>
                <w:sz w:val="24"/>
                <w:szCs w:val="24"/>
              </w:rPr>
            </w:pPr>
            <w:r w:rsidRPr="007626A5">
              <w:rPr>
                <w:rFonts w:ascii="Arial" w:eastAsia="Arial" w:hAnsi="Arial" w:cs="Arial"/>
                <w:sz w:val="24"/>
                <w:szCs w:val="24"/>
              </w:rPr>
              <w:t xml:space="preserve">History of total hysterectomy  </w:t>
            </w:r>
          </w:p>
        </w:tc>
      </w:tr>
      <w:tr w:rsidR="007626A5" w:rsidRPr="00B57D30" w14:paraId="60339DAA" w14:textId="77777777" w:rsidTr="00857ECF">
        <w:trPr>
          <w:trHeight w:val="300"/>
        </w:trPr>
        <w:tc>
          <w:tcPr>
            <w:tcW w:w="5040" w:type="dxa"/>
            <w:tcBorders>
              <w:top w:val="nil"/>
              <w:left w:val="nil"/>
              <w:bottom w:val="nil"/>
              <w:right w:val="nil"/>
            </w:tcBorders>
          </w:tcPr>
          <w:p w14:paraId="6508FC9E" w14:textId="27D04AC5" w:rsidR="007626A5" w:rsidRPr="007626A5" w:rsidRDefault="007626A5" w:rsidP="007626A5">
            <w:pPr>
              <w:rPr>
                <w:rFonts w:ascii="Arial" w:hAnsi="Arial" w:cs="Arial"/>
                <w:color w:val="000000"/>
                <w:sz w:val="24"/>
                <w:szCs w:val="24"/>
                <w:shd w:val="clear" w:color="auto" w:fill="FFFFFF"/>
              </w:rPr>
            </w:pPr>
            <w:r w:rsidRPr="007626A5">
              <w:rPr>
                <w:rStyle w:val="normaltextrun"/>
                <w:rFonts w:ascii="Arial" w:hAnsi="Arial" w:cs="Arial"/>
                <w:color w:val="000000"/>
                <w:sz w:val="24"/>
                <w:szCs w:val="24"/>
                <w:shd w:val="clear" w:color="auto" w:fill="FFFFFF"/>
              </w:rPr>
              <w:t>Weight </w:t>
            </w:r>
            <w:r w:rsidRPr="007626A5">
              <w:rPr>
                <w:rStyle w:val="mo"/>
                <w:rFonts w:ascii="Arial" w:hAnsi="Arial" w:cs="Arial"/>
                <w:color w:val="000000"/>
                <w:sz w:val="24"/>
                <w:szCs w:val="24"/>
                <w:bdr w:val="none" w:sz="0" w:space="0" w:color="auto" w:frame="1"/>
                <w:shd w:val="clear" w:color="auto" w:fill="FFFFFF"/>
              </w:rPr>
              <w:t>≥</w:t>
            </w:r>
            <w:r w:rsidRPr="007626A5">
              <w:rPr>
                <w:rStyle w:val="mn"/>
                <w:rFonts w:ascii="Arial" w:hAnsi="Arial" w:cs="Arial"/>
                <w:color w:val="000000"/>
                <w:sz w:val="24"/>
                <w:szCs w:val="24"/>
                <w:bdr w:val="none" w:sz="0" w:space="0" w:color="auto" w:frame="1"/>
                <w:shd w:val="clear" w:color="auto" w:fill="FFFFFF"/>
              </w:rPr>
              <w:t>50</w:t>
            </w:r>
            <w:r w:rsidRPr="007626A5">
              <w:rPr>
                <w:rFonts w:ascii="Arial" w:hAnsi="Arial" w:cs="Arial"/>
                <w:sz w:val="24"/>
                <w:szCs w:val="24"/>
              </w:rPr>
              <w:t xml:space="preserve"> </w:t>
            </w:r>
            <w:r w:rsidRPr="007626A5">
              <w:rPr>
                <w:rStyle w:val="normaltextrun"/>
                <w:rFonts w:ascii="Arial" w:hAnsi="Arial" w:cs="Arial"/>
                <w:color w:val="000000"/>
                <w:sz w:val="24"/>
                <w:szCs w:val="24"/>
                <w:shd w:val="clear" w:color="auto" w:fill="FFFFFF"/>
              </w:rPr>
              <w:t>Kg at study entry*</w:t>
            </w:r>
            <w:r w:rsidRPr="007626A5">
              <w:rPr>
                <w:rStyle w:val="eop"/>
                <w:rFonts w:ascii="Arial" w:hAnsi="Arial" w:cs="Arial"/>
                <w:color w:val="000000"/>
                <w:sz w:val="24"/>
                <w:szCs w:val="24"/>
                <w:shd w:val="clear" w:color="auto" w:fill="FFFFFF"/>
              </w:rPr>
              <w:t> </w:t>
            </w:r>
          </w:p>
        </w:tc>
        <w:tc>
          <w:tcPr>
            <w:tcW w:w="5760" w:type="dxa"/>
            <w:tcBorders>
              <w:top w:val="nil"/>
              <w:left w:val="nil"/>
              <w:bottom w:val="nil"/>
              <w:right w:val="nil"/>
            </w:tcBorders>
          </w:tcPr>
          <w:p w14:paraId="24D0254C" w14:textId="652375C9" w:rsidR="007626A5" w:rsidRPr="00B57D30" w:rsidRDefault="007626A5" w:rsidP="007626A5">
            <w:pPr>
              <w:spacing w:line="480" w:lineRule="auto"/>
              <w:rPr>
                <w:rFonts w:ascii="Arial" w:eastAsia="Arial" w:hAnsi="Arial" w:cs="Arial"/>
                <w:sz w:val="24"/>
                <w:szCs w:val="24"/>
              </w:rPr>
            </w:pPr>
            <w:r w:rsidRPr="007626A5">
              <w:rPr>
                <w:rFonts w:ascii="Arial" w:eastAsia="Arial" w:hAnsi="Arial" w:cs="Arial"/>
                <w:sz w:val="24"/>
                <w:szCs w:val="24"/>
              </w:rPr>
              <w:t xml:space="preserve">CD4 count &lt;200 at time of study entry if HIV positive  </w:t>
            </w:r>
          </w:p>
        </w:tc>
      </w:tr>
      <w:tr w:rsidR="007626A5" w:rsidRPr="00B57D30" w14:paraId="78D98CED" w14:textId="77777777" w:rsidTr="00857ECF">
        <w:trPr>
          <w:trHeight w:val="2285"/>
        </w:trPr>
        <w:tc>
          <w:tcPr>
            <w:tcW w:w="5040" w:type="dxa"/>
            <w:tcBorders>
              <w:top w:val="nil"/>
              <w:left w:val="nil"/>
              <w:bottom w:val="nil"/>
              <w:right w:val="nil"/>
            </w:tcBorders>
          </w:tcPr>
          <w:p w14:paraId="6F63C4A8" w14:textId="1824A9BD" w:rsidR="007626A5" w:rsidRPr="00B57D30" w:rsidRDefault="007626A5" w:rsidP="007626A5">
            <w:pPr>
              <w:spacing w:line="480" w:lineRule="auto"/>
              <w:rPr>
                <w:rFonts w:ascii="Arial" w:eastAsia="Arial" w:hAnsi="Arial" w:cs="Arial"/>
                <w:color w:val="000000" w:themeColor="text1"/>
                <w:sz w:val="24"/>
                <w:szCs w:val="24"/>
              </w:rPr>
            </w:pPr>
            <w:r w:rsidRPr="007626A5">
              <w:rPr>
                <w:rFonts w:ascii="Arial" w:eastAsia="Arial" w:hAnsi="Arial" w:cs="Arial"/>
                <w:color w:val="000000" w:themeColor="text1"/>
                <w:sz w:val="24"/>
                <w:szCs w:val="24"/>
              </w:rPr>
              <w:t xml:space="preserve">Agreement to use contraception (barrier hormonal, long-acting reversible contraception, or other methods) through week 24 of the study if of childbearing age </w:t>
            </w:r>
          </w:p>
        </w:tc>
        <w:tc>
          <w:tcPr>
            <w:tcW w:w="5760" w:type="dxa"/>
            <w:tcBorders>
              <w:top w:val="nil"/>
              <w:left w:val="nil"/>
              <w:bottom w:val="nil"/>
              <w:right w:val="nil"/>
            </w:tcBorders>
          </w:tcPr>
          <w:p w14:paraId="617C4E6D" w14:textId="2E4DD9A9" w:rsidR="007626A5" w:rsidRPr="00B57D30" w:rsidRDefault="00857ECF" w:rsidP="007626A5">
            <w:pPr>
              <w:spacing w:line="480" w:lineRule="auto"/>
              <w:rPr>
                <w:rFonts w:ascii="Arial" w:eastAsia="Arial" w:hAnsi="Arial" w:cs="Arial"/>
                <w:sz w:val="24"/>
                <w:szCs w:val="24"/>
              </w:rPr>
            </w:pPr>
            <w:r w:rsidRPr="007626A5">
              <w:rPr>
                <w:rFonts w:ascii="Arial" w:eastAsia="Arial" w:hAnsi="Arial" w:cs="Arial"/>
                <w:sz w:val="24"/>
                <w:szCs w:val="24"/>
              </w:rPr>
              <w:t xml:space="preserve">Presence of adenocarcinoma in situ on cervical biopsy  </w:t>
            </w:r>
          </w:p>
        </w:tc>
      </w:tr>
      <w:tr w:rsidR="007626A5" w:rsidRPr="00B57D30" w14:paraId="4B6E7009" w14:textId="77777777" w:rsidTr="00857ECF">
        <w:trPr>
          <w:trHeight w:val="1160"/>
        </w:trPr>
        <w:tc>
          <w:tcPr>
            <w:tcW w:w="5040" w:type="dxa"/>
            <w:tcBorders>
              <w:top w:val="nil"/>
              <w:left w:val="nil"/>
              <w:bottom w:val="nil"/>
              <w:right w:val="nil"/>
            </w:tcBorders>
          </w:tcPr>
          <w:p w14:paraId="4D005E6D" w14:textId="24865839" w:rsidR="007626A5" w:rsidRPr="00B57D30" w:rsidRDefault="00857ECF" w:rsidP="007626A5">
            <w:pPr>
              <w:spacing w:line="480" w:lineRule="auto"/>
              <w:rPr>
                <w:rFonts w:ascii="Arial" w:eastAsia="Arial" w:hAnsi="Arial" w:cs="Arial"/>
                <w:sz w:val="24"/>
                <w:szCs w:val="24"/>
              </w:rPr>
            </w:pPr>
            <w:r w:rsidRPr="007626A5">
              <w:rPr>
                <w:rFonts w:ascii="Arial" w:eastAsia="Arial" w:hAnsi="Arial" w:cs="Arial"/>
                <w:sz w:val="24"/>
                <w:szCs w:val="24"/>
              </w:rPr>
              <w:t xml:space="preserve">Ability and willingness to provide informed consent </w:t>
            </w:r>
          </w:p>
        </w:tc>
        <w:tc>
          <w:tcPr>
            <w:tcW w:w="5760" w:type="dxa"/>
            <w:tcBorders>
              <w:top w:val="nil"/>
              <w:left w:val="nil"/>
              <w:bottom w:val="nil"/>
              <w:right w:val="nil"/>
            </w:tcBorders>
          </w:tcPr>
          <w:p w14:paraId="27CBAB11" w14:textId="73A56C57" w:rsidR="007626A5" w:rsidRPr="00B57D30" w:rsidRDefault="007626A5" w:rsidP="00857ECF">
            <w:pPr>
              <w:spacing w:line="480" w:lineRule="auto"/>
              <w:rPr>
                <w:rFonts w:ascii="Arial" w:eastAsia="Arial" w:hAnsi="Arial" w:cs="Arial"/>
                <w:color w:val="000000" w:themeColor="text1"/>
                <w:sz w:val="24"/>
                <w:szCs w:val="24"/>
              </w:rPr>
            </w:pPr>
            <w:r w:rsidRPr="007626A5">
              <w:rPr>
                <w:rFonts w:ascii="Arial" w:eastAsia="Arial" w:hAnsi="Arial" w:cs="Arial"/>
                <w:sz w:val="24"/>
                <w:szCs w:val="24"/>
              </w:rPr>
              <w:t xml:space="preserve"> </w:t>
            </w:r>
            <w:r w:rsidR="00857ECF" w:rsidRPr="007626A5">
              <w:rPr>
                <w:rFonts w:ascii="Arial" w:eastAsia="Arial" w:hAnsi="Arial" w:cs="Arial"/>
                <w:sz w:val="24"/>
                <w:szCs w:val="24"/>
              </w:rPr>
              <w:t xml:space="preserve">Currently receiving systemic chemotherapy or radiation therapy for another cancer  </w:t>
            </w:r>
          </w:p>
        </w:tc>
      </w:tr>
      <w:tr w:rsidR="007626A5" w:rsidRPr="00B57D30" w14:paraId="193ADBE8" w14:textId="77777777" w:rsidTr="00857ECF">
        <w:trPr>
          <w:trHeight w:val="300"/>
        </w:trPr>
        <w:tc>
          <w:tcPr>
            <w:tcW w:w="5040" w:type="dxa"/>
            <w:tcBorders>
              <w:top w:val="nil"/>
              <w:left w:val="nil"/>
              <w:bottom w:val="nil"/>
              <w:right w:val="nil"/>
            </w:tcBorders>
          </w:tcPr>
          <w:p w14:paraId="5CC71FA1" w14:textId="77777777" w:rsidR="007626A5" w:rsidRPr="00B57D30" w:rsidRDefault="007626A5" w:rsidP="007626A5">
            <w:pPr>
              <w:spacing w:line="480" w:lineRule="auto"/>
              <w:rPr>
                <w:rFonts w:ascii="Arial" w:eastAsia="Arial" w:hAnsi="Arial" w:cs="Arial"/>
                <w:color w:val="000000" w:themeColor="text1"/>
                <w:sz w:val="24"/>
                <w:szCs w:val="24"/>
              </w:rPr>
            </w:pPr>
          </w:p>
        </w:tc>
        <w:tc>
          <w:tcPr>
            <w:tcW w:w="5760" w:type="dxa"/>
            <w:tcBorders>
              <w:top w:val="nil"/>
              <w:left w:val="nil"/>
              <w:bottom w:val="nil"/>
              <w:right w:val="nil"/>
            </w:tcBorders>
          </w:tcPr>
          <w:p w14:paraId="6FA7F3A4" w14:textId="62926054" w:rsidR="007626A5" w:rsidRPr="00B57D30" w:rsidRDefault="00857ECF" w:rsidP="007626A5">
            <w:pPr>
              <w:spacing w:line="480" w:lineRule="auto"/>
              <w:rPr>
                <w:rFonts w:ascii="Arial" w:eastAsia="Arial" w:hAnsi="Arial" w:cs="Arial"/>
                <w:sz w:val="24"/>
                <w:szCs w:val="24"/>
              </w:rPr>
            </w:pPr>
            <w:r w:rsidRPr="007626A5">
              <w:rPr>
                <w:rFonts w:ascii="Arial" w:eastAsia="Arial" w:hAnsi="Arial" w:cs="Arial"/>
                <w:color w:val="000000" w:themeColor="text1"/>
                <w:sz w:val="24"/>
                <w:szCs w:val="24"/>
              </w:rPr>
              <w:t>Current use of systemic immunosuppressants or steroids (&gt;10 mg of prednisone or equivalent)</w:t>
            </w:r>
          </w:p>
        </w:tc>
      </w:tr>
      <w:tr w:rsidR="007626A5" w:rsidRPr="00B57D30" w14:paraId="3390748D" w14:textId="77777777" w:rsidTr="00857ECF">
        <w:trPr>
          <w:trHeight w:val="300"/>
        </w:trPr>
        <w:tc>
          <w:tcPr>
            <w:tcW w:w="5035" w:type="dxa"/>
            <w:tcBorders>
              <w:top w:val="nil"/>
              <w:left w:val="nil"/>
              <w:bottom w:val="nil"/>
              <w:right w:val="nil"/>
            </w:tcBorders>
          </w:tcPr>
          <w:p w14:paraId="02131A64" w14:textId="48172939" w:rsidR="007626A5" w:rsidRPr="00B57D30" w:rsidRDefault="007626A5" w:rsidP="007626A5">
            <w:pPr>
              <w:spacing w:line="480" w:lineRule="auto"/>
              <w:rPr>
                <w:rFonts w:ascii="Arial" w:eastAsia="Arial" w:hAnsi="Arial" w:cs="Arial"/>
                <w:color w:val="000000" w:themeColor="text1"/>
                <w:sz w:val="24"/>
                <w:szCs w:val="24"/>
              </w:rPr>
            </w:pPr>
          </w:p>
        </w:tc>
        <w:tc>
          <w:tcPr>
            <w:tcW w:w="5765" w:type="dxa"/>
            <w:tcBorders>
              <w:top w:val="nil"/>
              <w:left w:val="nil"/>
              <w:bottom w:val="nil"/>
              <w:right w:val="nil"/>
            </w:tcBorders>
          </w:tcPr>
          <w:p w14:paraId="31E83044" w14:textId="771B8578" w:rsidR="007626A5" w:rsidRPr="00857ECF" w:rsidRDefault="00857ECF" w:rsidP="00857ECF">
            <w:pPr>
              <w:spacing w:line="480" w:lineRule="auto"/>
              <w:rPr>
                <w:rFonts w:ascii="Arial" w:eastAsia="Arial" w:hAnsi="Arial" w:cs="Arial"/>
                <w:color w:val="000000" w:themeColor="text1"/>
                <w:sz w:val="24"/>
                <w:szCs w:val="24"/>
              </w:rPr>
            </w:pPr>
            <w:r w:rsidRPr="007626A5">
              <w:rPr>
                <w:rFonts w:ascii="Arial" w:eastAsia="Arial" w:hAnsi="Arial" w:cs="Arial"/>
                <w:color w:val="000000" w:themeColor="text1"/>
                <w:sz w:val="24"/>
                <w:szCs w:val="24"/>
              </w:rPr>
              <w:t xml:space="preserve">Have a medical comorbidity that in the opinion of the investigator would interfere with study participation  </w:t>
            </w:r>
            <w:r w:rsidRPr="007626A5">
              <w:rPr>
                <w:rFonts w:ascii="Arial" w:eastAsia="Arial" w:hAnsi="Arial" w:cs="Arial"/>
                <w:sz w:val="24"/>
                <w:szCs w:val="24"/>
              </w:rPr>
              <w:t xml:space="preserve"> </w:t>
            </w:r>
          </w:p>
        </w:tc>
      </w:tr>
      <w:tr w:rsidR="00857ECF" w:rsidRPr="00B57D30" w14:paraId="7D57722E" w14:textId="77777777" w:rsidTr="00857ECF">
        <w:trPr>
          <w:trHeight w:val="300"/>
        </w:trPr>
        <w:tc>
          <w:tcPr>
            <w:tcW w:w="5035" w:type="dxa"/>
            <w:tcBorders>
              <w:top w:val="nil"/>
              <w:left w:val="nil"/>
              <w:bottom w:val="nil"/>
              <w:right w:val="nil"/>
            </w:tcBorders>
          </w:tcPr>
          <w:p w14:paraId="4D10CC71" w14:textId="77777777" w:rsidR="00857ECF" w:rsidRPr="00B57D30" w:rsidRDefault="00857ECF" w:rsidP="007626A5">
            <w:pPr>
              <w:spacing w:line="480" w:lineRule="auto"/>
              <w:rPr>
                <w:rFonts w:ascii="Arial" w:eastAsia="Arial" w:hAnsi="Arial" w:cs="Arial"/>
                <w:color w:val="000000" w:themeColor="text1"/>
              </w:rPr>
            </w:pPr>
          </w:p>
        </w:tc>
        <w:tc>
          <w:tcPr>
            <w:tcW w:w="5765" w:type="dxa"/>
            <w:tcBorders>
              <w:top w:val="nil"/>
              <w:left w:val="nil"/>
              <w:bottom w:val="nil"/>
              <w:right w:val="nil"/>
            </w:tcBorders>
          </w:tcPr>
          <w:p w14:paraId="187FE3EB" w14:textId="58209F96" w:rsidR="00857ECF" w:rsidRPr="00857ECF" w:rsidRDefault="00BD41AF" w:rsidP="00857ECF">
            <w:pPr>
              <w:spacing w:line="480" w:lineRule="auto"/>
              <w:rPr>
                <w:rFonts w:ascii="Arial" w:eastAsia="Arial" w:hAnsi="Arial" w:cs="Arial"/>
                <w:sz w:val="24"/>
                <w:szCs w:val="24"/>
              </w:rPr>
            </w:pPr>
            <w:r>
              <w:rPr>
                <w:rFonts w:ascii="Arial" w:eastAsia="Arial" w:hAnsi="Arial" w:cs="Arial"/>
                <w:sz w:val="24"/>
                <w:szCs w:val="24"/>
              </w:rPr>
              <w:t>C</w:t>
            </w:r>
            <w:r w:rsidR="00857ECF" w:rsidRPr="007626A5">
              <w:rPr>
                <w:rFonts w:ascii="Arial" w:eastAsia="Arial" w:hAnsi="Arial" w:cs="Arial"/>
                <w:sz w:val="24"/>
                <w:szCs w:val="24"/>
              </w:rPr>
              <w:t xml:space="preserve">hemotherapy within </w:t>
            </w:r>
            <w:r>
              <w:rPr>
                <w:rFonts w:ascii="Arial" w:eastAsia="Arial" w:hAnsi="Arial" w:cs="Arial"/>
                <w:sz w:val="24"/>
                <w:szCs w:val="24"/>
              </w:rPr>
              <w:t xml:space="preserve">1 </w:t>
            </w:r>
            <w:r w:rsidR="00857ECF" w:rsidRPr="007626A5">
              <w:rPr>
                <w:rFonts w:ascii="Arial" w:eastAsia="Arial" w:hAnsi="Arial" w:cs="Arial"/>
                <w:sz w:val="24"/>
                <w:szCs w:val="24"/>
              </w:rPr>
              <w:t xml:space="preserve">month prior to day 1 of study treatment </w:t>
            </w:r>
          </w:p>
        </w:tc>
      </w:tr>
      <w:tr w:rsidR="00857ECF" w:rsidRPr="00B57D30" w14:paraId="1A0556AF" w14:textId="77777777" w:rsidTr="00857ECF">
        <w:trPr>
          <w:trHeight w:val="300"/>
        </w:trPr>
        <w:tc>
          <w:tcPr>
            <w:tcW w:w="5035" w:type="dxa"/>
            <w:tcBorders>
              <w:top w:val="nil"/>
              <w:left w:val="nil"/>
              <w:bottom w:val="nil"/>
              <w:right w:val="nil"/>
            </w:tcBorders>
          </w:tcPr>
          <w:p w14:paraId="7FD9E7E5" w14:textId="77777777" w:rsidR="00857ECF" w:rsidRPr="00B57D30" w:rsidRDefault="00857ECF" w:rsidP="007626A5">
            <w:pPr>
              <w:spacing w:line="480" w:lineRule="auto"/>
              <w:rPr>
                <w:rFonts w:ascii="Arial" w:eastAsia="Arial" w:hAnsi="Arial" w:cs="Arial"/>
                <w:color w:val="000000" w:themeColor="text1"/>
              </w:rPr>
            </w:pPr>
          </w:p>
        </w:tc>
        <w:tc>
          <w:tcPr>
            <w:tcW w:w="5765" w:type="dxa"/>
            <w:tcBorders>
              <w:top w:val="nil"/>
              <w:left w:val="nil"/>
              <w:bottom w:val="nil"/>
              <w:right w:val="nil"/>
            </w:tcBorders>
          </w:tcPr>
          <w:p w14:paraId="65A22F81" w14:textId="45D7F428" w:rsidR="00857ECF" w:rsidRPr="00857ECF" w:rsidRDefault="00857ECF" w:rsidP="00857ECF">
            <w:pPr>
              <w:spacing w:line="480" w:lineRule="auto"/>
              <w:rPr>
                <w:rFonts w:ascii="Arial" w:eastAsia="Arial" w:hAnsi="Arial" w:cs="Arial"/>
                <w:sz w:val="24"/>
                <w:szCs w:val="24"/>
              </w:rPr>
            </w:pPr>
            <w:r w:rsidRPr="007626A5">
              <w:rPr>
                <w:rFonts w:ascii="Arial" w:eastAsia="Arial" w:hAnsi="Arial" w:cs="Arial"/>
                <w:sz w:val="24"/>
                <w:szCs w:val="24"/>
              </w:rPr>
              <w:t>Male at birth</w:t>
            </w:r>
          </w:p>
        </w:tc>
      </w:tr>
      <w:tr w:rsidR="00857ECF" w:rsidRPr="00B57D30" w14:paraId="3B8571FA" w14:textId="77777777" w:rsidTr="00857ECF">
        <w:trPr>
          <w:trHeight w:val="300"/>
        </w:trPr>
        <w:tc>
          <w:tcPr>
            <w:tcW w:w="5035" w:type="dxa"/>
            <w:tcBorders>
              <w:top w:val="nil"/>
              <w:left w:val="nil"/>
              <w:bottom w:val="nil"/>
              <w:right w:val="nil"/>
            </w:tcBorders>
          </w:tcPr>
          <w:p w14:paraId="12ACFD4F" w14:textId="77777777" w:rsidR="00857ECF" w:rsidRPr="00B57D30" w:rsidRDefault="00857ECF" w:rsidP="007626A5">
            <w:pPr>
              <w:spacing w:line="480" w:lineRule="auto"/>
              <w:rPr>
                <w:rFonts w:ascii="Arial" w:eastAsia="Arial" w:hAnsi="Arial" w:cs="Arial"/>
                <w:color w:val="000000" w:themeColor="text1"/>
              </w:rPr>
            </w:pPr>
          </w:p>
        </w:tc>
        <w:tc>
          <w:tcPr>
            <w:tcW w:w="5765" w:type="dxa"/>
            <w:tcBorders>
              <w:top w:val="nil"/>
              <w:left w:val="nil"/>
              <w:bottom w:val="nil"/>
              <w:right w:val="nil"/>
            </w:tcBorders>
          </w:tcPr>
          <w:p w14:paraId="117E761A" w14:textId="1AA93A4A" w:rsidR="00857ECF" w:rsidRPr="00BD41AF" w:rsidRDefault="00857ECF" w:rsidP="00857ECF">
            <w:pPr>
              <w:spacing w:line="480" w:lineRule="auto"/>
              <w:rPr>
                <w:rFonts w:ascii="Arial" w:eastAsia="Arial" w:hAnsi="Arial" w:cs="Arial"/>
                <w:sz w:val="24"/>
                <w:szCs w:val="24"/>
              </w:rPr>
            </w:pPr>
            <w:r w:rsidRPr="007626A5">
              <w:rPr>
                <w:rFonts w:ascii="Arial" w:eastAsia="Arial" w:hAnsi="Arial" w:cs="Arial"/>
                <w:sz w:val="24"/>
                <w:szCs w:val="24"/>
              </w:rPr>
              <w:t xml:space="preserve">Current use of efavirenz antiretroviral therapy  </w:t>
            </w:r>
          </w:p>
        </w:tc>
      </w:tr>
    </w:tbl>
    <w:p w14:paraId="2183287F" w14:textId="0E6B40BF" w:rsidR="00BD41AF" w:rsidRPr="00BD41AF" w:rsidRDefault="00BD41AF" w:rsidP="00BD41AF">
      <w:pPr>
        <w:pStyle w:val="paragraph"/>
        <w:spacing w:before="0" w:beforeAutospacing="0" w:after="0" w:afterAutospacing="0"/>
        <w:textAlignment w:val="baseline"/>
        <w:rPr>
          <w:rFonts w:ascii="Segoe UI" w:hAnsi="Segoe UI" w:cs="Segoe UI"/>
          <w:sz w:val="18"/>
          <w:szCs w:val="18"/>
        </w:rPr>
      </w:pPr>
      <w:r>
        <w:rPr>
          <w:rFonts w:ascii="Arial" w:hAnsi="Arial" w:cs="Arial"/>
        </w:rPr>
        <w:t>*</w:t>
      </w:r>
      <w:r w:rsidRPr="00BD41AF">
        <w:rPr>
          <w:rStyle w:val="Heading2Char"/>
        </w:rPr>
        <w:t xml:space="preserve"> </w:t>
      </w:r>
      <w:r w:rsidRPr="00BD41AF">
        <w:t>Justification for weight criteria: A minimum body weight of 50Kg will meet the planned  </w:t>
      </w:r>
    </w:p>
    <w:p w14:paraId="5FB3B96C" w14:textId="075A578B" w:rsidR="00BD41AF" w:rsidRPr="00BD41AF" w:rsidRDefault="00BD41AF" w:rsidP="00BD41AF">
      <w:pPr>
        <w:textAlignment w:val="baseline"/>
        <w:rPr>
          <w:rFonts w:ascii="Times New Roman" w:eastAsia="Times New Roman" w:hAnsi="Times New Roman" w:cs="Times New Roman"/>
          <w:sz w:val="22"/>
          <w:szCs w:val="22"/>
        </w:rPr>
      </w:pPr>
      <w:r w:rsidRPr="00BD41AF">
        <w:rPr>
          <w:rFonts w:ascii="Times New Roman" w:eastAsia="Times New Roman" w:hAnsi="Times New Roman" w:cs="Times New Roman"/>
        </w:rPr>
        <w:t>artesunate dosing of </w:t>
      </w:r>
      <w:r w:rsidRPr="00BD41AF">
        <w:rPr>
          <w:rFonts w:ascii="STIXGeneral-Regular" w:eastAsia="Times New Roman" w:hAnsi="STIXGeneral-Regular" w:cs="STIXGeneral-Regular"/>
          <w:color w:val="000000"/>
          <w:sz w:val="23"/>
          <w:szCs w:val="23"/>
          <w:bdr w:val="none" w:sz="0" w:space="0" w:color="auto" w:frame="1"/>
        </w:rPr>
        <w:t>≤4</w:t>
      </w:r>
      <w:r>
        <w:rPr>
          <w:rFonts w:ascii="STIXGeneral-Regular" w:eastAsia="Times New Roman" w:hAnsi="STIXGeneral-Regular" w:cs="STIXGeneral-Regular"/>
          <w:color w:val="000000"/>
          <w:sz w:val="23"/>
          <w:szCs w:val="23"/>
          <w:bdr w:val="none" w:sz="0" w:space="0" w:color="auto" w:frame="1"/>
        </w:rPr>
        <w:t xml:space="preserve"> </w:t>
      </w:r>
      <w:r w:rsidRPr="00BD41AF">
        <w:rPr>
          <w:rFonts w:ascii="Times New Roman" w:eastAsia="Times New Roman" w:hAnsi="Times New Roman" w:cs="Times New Roman"/>
          <w:color w:val="000000"/>
        </w:rPr>
        <w:t>mg/Kg for which excellent safety data is available. </w:t>
      </w:r>
    </w:p>
    <w:p w14:paraId="2D84D77A" w14:textId="0CDD589A" w:rsidR="007244B3" w:rsidRPr="00BD41AF" w:rsidRDefault="007244B3" w:rsidP="00BD41AF">
      <w:pPr>
        <w:rPr>
          <w:rFonts w:ascii="Arial" w:hAnsi="Arial" w:cs="Arial"/>
          <w:b/>
          <w:bCs/>
        </w:rPr>
      </w:pPr>
    </w:p>
    <w:sectPr w:rsidR="007244B3" w:rsidRPr="00BD41AF" w:rsidSect="00041F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A0C4D" w14:textId="77777777" w:rsidR="00176C93" w:rsidRDefault="00176C93" w:rsidP="00201E17">
      <w:r>
        <w:separator/>
      </w:r>
    </w:p>
  </w:endnote>
  <w:endnote w:type="continuationSeparator" w:id="0">
    <w:p w14:paraId="6743C5DA" w14:textId="77777777" w:rsidR="00176C93" w:rsidRDefault="00176C93" w:rsidP="00201E17">
      <w:r>
        <w:continuationSeparator/>
      </w:r>
    </w:p>
  </w:endnote>
  <w:endnote w:type="continuationNotice" w:id="1">
    <w:p w14:paraId="54696407" w14:textId="77777777" w:rsidR="00176C93" w:rsidRDefault="00176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IXGeneral-Regular">
    <w:panose1 w:val="00000000000000000000"/>
    <w:charset w:val="00"/>
    <w:family w:val="auto"/>
    <w:notTrueType/>
    <w:pitch w:val="variable"/>
    <w:sig w:usb0="A00002FF" w:usb1="4203FDFF" w:usb2="02000020" w:usb3="00000000" w:csb0="8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E5120" w14:textId="77777777" w:rsidR="00176C93" w:rsidRDefault="00176C93" w:rsidP="00201E17">
      <w:r>
        <w:separator/>
      </w:r>
    </w:p>
  </w:footnote>
  <w:footnote w:type="continuationSeparator" w:id="0">
    <w:p w14:paraId="655A09A9" w14:textId="77777777" w:rsidR="00176C93" w:rsidRDefault="00176C93" w:rsidP="00201E17">
      <w:r>
        <w:continuationSeparator/>
      </w:r>
    </w:p>
  </w:footnote>
  <w:footnote w:type="continuationNotice" w:id="1">
    <w:p w14:paraId="68EF1753" w14:textId="77777777" w:rsidR="00176C93" w:rsidRDefault="00176C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B1669"/>
    <w:multiLevelType w:val="hybridMultilevel"/>
    <w:tmpl w:val="96163D7E"/>
    <w:lvl w:ilvl="0" w:tplc="0F92CC0C">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F91552"/>
    <w:multiLevelType w:val="hybridMultilevel"/>
    <w:tmpl w:val="AA1808CA"/>
    <w:lvl w:ilvl="0" w:tplc="68784E78">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C5A26E"/>
    <w:multiLevelType w:val="hybridMultilevel"/>
    <w:tmpl w:val="FFFFFFFF"/>
    <w:lvl w:ilvl="0" w:tplc="DC52F092">
      <w:start w:val="1"/>
      <w:numFmt w:val="decimal"/>
      <w:lvlText w:val="%1."/>
      <w:lvlJc w:val="left"/>
      <w:pPr>
        <w:ind w:left="720" w:hanging="360"/>
      </w:pPr>
    </w:lvl>
    <w:lvl w:ilvl="1" w:tplc="DAC207AC">
      <w:start w:val="1"/>
      <w:numFmt w:val="lowerLetter"/>
      <w:lvlText w:val="%2."/>
      <w:lvlJc w:val="left"/>
      <w:pPr>
        <w:ind w:left="1440" w:hanging="360"/>
      </w:pPr>
    </w:lvl>
    <w:lvl w:ilvl="2" w:tplc="C1B4B28A">
      <w:start w:val="1"/>
      <w:numFmt w:val="lowerRoman"/>
      <w:lvlText w:val="%3."/>
      <w:lvlJc w:val="right"/>
      <w:pPr>
        <w:ind w:left="2160" w:hanging="180"/>
      </w:pPr>
    </w:lvl>
    <w:lvl w:ilvl="3" w:tplc="0BE6CFF4">
      <w:start w:val="1"/>
      <w:numFmt w:val="decimal"/>
      <w:lvlText w:val="%4."/>
      <w:lvlJc w:val="left"/>
      <w:pPr>
        <w:ind w:left="2880" w:hanging="360"/>
      </w:pPr>
    </w:lvl>
    <w:lvl w:ilvl="4" w:tplc="4168821C">
      <w:start w:val="1"/>
      <w:numFmt w:val="lowerLetter"/>
      <w:lvlText w:val="%5."/>
      <w:lvlJc w:val="left"/>
      <w:pPr>
        <w:ind w:left="3600" w:hanging="360"/>
      </w:pPr>
    </w:lvl>
    <w:lvl w:ilvl="5" w:tplc="EE3C333A">
      <w:start w:val="1"/>
      <w:numFmt w:val="lowerRoman"/>
      <w:lvlText w:val="%6."/>
      <w:lvlJc w:val="right"/>
      <w:pPr>
        <w:ind w:left="4320" w:hanging="180"/>
      </w:pPr>
    </w:lvl>
    <w:lvl w:ilvl="6" w:tplc="B4D4C6E2">
      <w:start w:val="1"/>
      <w:numFmt w:val="decimal"/>
      <w:lvlText w:val="%7."/>
      <w:lvlJc w:val="left"/>
      <w:pPr>
        <w:ind w:left="5040" w:hanging="360"/>
      </w:pPr>
    </w:lvl>
    <w:lvl w:ilvl="7" w:tplc="6BD4358E">
      <w:start w:val="1"/>
      <w:numFmt w:val="lowerLetter"/>
      <w:lvlText w:val="%8."/>
      <w:lvlJc w:val="left"/>
      <w:pPr>
        <w:ind w:left="5760" w:hanging="360"/>
      </w:pPr>
    </w:lvl>
    <w:lvl w:ilvl="8" w:tplc="FFD40F24">
      <w:start w:val="1"/>
      <w:numFmt w:val="lowerRoman"/>
      <w:lvlText w:val="%9."/>
      <w:lvlJc w:val="right"/>
      <w:pPr>
        <w:ind w:left="6480" w:hanging="180"/>
      </w:pPr>
    </w:lvl>
  </w:abstractNum>
  <w:num w:numId="1" w16cid:durableId="1344287203">
    <w:abstractNumId w:val="2"/>
  </w:num>
  <w:num w:numId="2" w16cid:durableId="1784955762">
    <w:abstractNumId w:val="1"/>
  </w:num>
  <w:num w:numId="3" w16cid:durableId="1783958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956"/>
    <w:rsid w:val="000007E6"/>
    <w:rsid w:val="00000A7D"/>
    <w:rsid w:val="00017A45"/>
    <w:rsid w:val="00041F3C"/>
    <w:rsid w:val="0004511A"/>
    <w:rsid w:val="00052D56"/>
    <w:rsid w:val="000604B0"/>
    <w:rsid w:val="00063831"/>
    <w:rsid w:val="000B72F2"/>
    <w:rsid w:val="000C0613"/>
    <w:rsid w:val="000C57EF"/>
    <w:rsid w:val="000E4E4E"/>
    <w:rsid w:val="00102AFE"/>
    <w:rsid w:val="00111D91"/>
    <w:rsid w:val="00114E47"/>
    <w:rsid w:val="00120AEC"/>
    <w:rsid w:val="0013388F"/>
    <w:rsid w:val="00141554"/>
    <w:rsid w:val="00150E1A"/>
    <w:rsid w:val="00176C93"/>
    <w:rsid w:val="00176E0B"/>
    <w:rsid w:val="00180487"/>
    <w:rsid w:val="00181CCE"/>
    <w:rsid w:val="00183DF8"/>
    <w:rsid w:val="001959CB"/>
    <w:rsid w:val="001A154F"/>
    <w:rsid w:val="001B4314"/>
    <w:rsid w:val="001D5032"/>
    <w:rsid w:val="00201E17"/>
    <w:rsid w:val="00207190"/>
    <w:rsid w:val="002103C4"/>
    <w:rsid w:val="00214956"/>
    <w:rsid w:val="00214E0B"/>
    <w:rsid w:val="0022072F"/>
    <w:rsid w:val="00226B24"/>
    <w:rsid w:val="00232D48"/>
    <w:rsid w:val="00235290"/>
    <w:rsid w:val="0023618C"/>
    <w:rsid w:val="002438D6"/>
    <w:rsid w:val="00253C0B"/>
    <w:rsid w:val="002749B6"/>
    <w:rsid w:val="00291D34"/>
    <w:rsid w:val="002B0B64"/>
    <w:rsid w:val="002C5101"/>
    <w:rsid w:val="002F0454"/>
    <w:rsid w:val="00300FA7"/>
    <w:rsid w:val="00313A0E"/>
    <w:rsid w:val="003141CE"/>
    <w:rsid w:val="00323426"/>
    <w:rsid w:val="0036072B"/>
    <w:rsid w:val="00361B95"/>
    <w:rsid w:val="00361ECE"/>
    <w:rsid w:val="00377BA0"/>
    <w:rsid w:val="00380D6A"/>
    <w:rsid w:val="00384521"/>
    <w:rsid w:val="00386333"/>
    <w:rsid w:val="00394928"/>
    <w:rsid w:val="003A48AA"/>
    <w:rsid w:val="003A76D3"/>
    <w:rsid w:val="003D1919"/>
    <w:rsid w:val="003D6A0D"/>
    <w:rsid w:val="004162CF"/>
    <w:rsid w:val="0042141D"/>
    <w:rsid w:val="00423ABC"/>
    <w:rsid w:val="0047781C"/>
    <w:rsid w:val="004825B9"/>
    <w:rsid w:val="00486AC1"/>
    <w:rsid w:val="00495749"/>
    <w:rsid w:val="004A446C"/>
    <w:rsid w:val="004B08AA"/>
    <w:rsid w:val="004E0942"/>
    <w:rsid w:val="004E22A7"/>
    <w:rsid w:val="004F4A20"/>
    <w:rsid w:val="00510B2D"/>
    <w:rsid w:val="005141CB"/>
    <w:rsid w:val="0054178F"/>
    <w:rsid w:val="005501A7"/>
    <w:rsid w:val="00554037"/>
    <w:rsid w:val="00561206"/>
    <w:rsid w:val="00562509"/>
    <w:rsid w:val="00581D43"/>
    <w:rsid w:val="005A6DF6"/>
    <w:rsid w:val="005B39B8"/>
    <w:rsid w:val="005E1CE5"/>
    <w:rsid w:val="005E416B"/>
    <w:rsid w:val="005E9A7E"/>
    <w:rsid w:val="005F2AA7"/>
    <w:rsid w:val="006114A3"/>
    <w:rsid w:val="00611B52"/>
    <w:rsid w:val="00685A3E"/>
    <w:rsid w:val="00697509"/>
    <w:rsid w:val="006B11B9"/>
    <w:rsid w:val="006D1041"/>
    <w:rsid w:val="006D3F8E"/>
    <w:rsid w:val="006E1AD2"/>
    <w:rsid w:val="006F09BD"/>
    <w:rsid w:val="00704639"/>
    <w:rsid w:val="00715E0F"/>
    <w:rsid w:val="007244B3"/>
    <w:rsid w:val="007457B4"/>
    <w:rsid w:val="007626A5"/>
    <w:rsid w:val="00767B66"/>
    <w:rsid w:val="00776795"/>
    <w:rsid w:val="007823A0"/>
    <w:rsid w:val="0079553C"/>
    <w:rsid w:val="007A469B"/>
    <w:rsid w:val="007B07B5"/>
    <w:rsid w:val="007D4864"/>
    <w:rsid w:val="008039E2"/>
    <w:rsid w:val="00812CCB"/>
    <w:rsid w:val="00827701"/>
    <w:rsid w:val="00836FB4"/>
    <w:rsid w:val="008460D8"/>
    <w:rsid w:val="008537CF"/>
    <w:rsid w:val="008543DB"/>
    <w:rsid w:val="008550D1"/>
    <w:rsid w:val="00857ECF"/>
    <w:rsid w:val="00865BEB"/>
    <w:rsid w:val="008957A9"/>
    <w:rsid w:val="008B1F9C"/>
    <w:rsid w:val="008B5B61"/>
    <w:rsid w:val="008E17B9"/>
    <w:rsid w:val="008F6950"/>
    <w:rsid w:val="00933378"/>
    <w:rsid w:val="009465B8"/>
    <w:rsid w:val="00946940"/>
    <w:rsid w:val="00946B0B"/>
    <w:rsid w:val="00947480"/>
    <w:rsid w:val="009503A9"/>
    <w:rsid w:val="00957436"/>
    <w:rsid w:val="009B15CD"/>
    <w:rsid w:val="009C64A8"/>
    <w:rsid w:val="009F2F40"/>
    <w:rsid w:val="00A06935"/>
    <w:rsid w:val="00A2177E"/>
    <w:rsid w:val="00A21B8B"/>
    <w:rsid w:val="00A3108D"/>
    <w:rsid w:val="00A33AEA"/>
    <w:rsid w:val="00A3764E"/>
    <w:rsid w:val="00A46260"/>
    <w:rsid w:val="00A723B6"/>
    <w:rsid w:val="00AA2432"/>
    <w:rsid w:val="00AD7746"/>
    <w:rsid w:val="00AE0309"/>
    <w:rsid w:val="00AF18D2"/>
    <w:rsid w:val="00AF2684"/>
    <w:rsid w:val="00AF4BBD"/>
    <w:rsid w:val="00B178BC"/>
    <w:rsid w:val="00B2457F"/>
    <w:rsid w:val="00B25CE4"/>
    <w:rsid w:val="00B34841"/>
    <w:rsid w:val="00B55EFD"/>
    <w:rsid w:val="00B57D30"/>
    <w:rsid w:val="00B60555"/>
    <w:rsid w:val="00B72885"/>
    <w:rsid w:val="00B74F3B"/>
    <w:rsid w:val="00B9593D"/>
    <w:rsid w:val="00BA5AE6"/>
    <w:rsid w:val="00BA7F3A"/>
    <w:rsid w:val="00BC38EB"/>
    <w:rsid w:val="00BC4A71"/>
    <w:rsid w:val="00BD0781"/>
    <w:rsid w:val="00BD41AF"/>
    <w:rsid w:val="00BF6063"/>
    <w:rsid w:val="00C40C92"/>
    <w:rsid w:val="00C4413C"/>
    <w:rsid w:val="00C4639E"/>
    <w:rsid w:val="00C51B72"/>
    <w:rsid w:val="00C554EB"/>
    <w:rsid w:val="00C77B8B"/>
    <w:rsid w:val="00C86EE4"/>
    <w:rsid w:val="00C952FD"/>
    <w:rsid w:val="00C97108"/>
    <w:rsid w:val="00CA39EC"/>
    <w:rsid w:val="00CC4C1B"/>
    <w:rsid w:val="00CC5A48"/>
    <w:rsid w:val="00CC6EEA"/>
    <w:rsid w:val="00CF1865"/>
    <w:rsid w:val="00CF77A2"/>
    <w:rsid w:val="00D1522E"/>
    <w:rsid w:val="00D555B4"/>
    <w:rsid w:val="00D6369D"/>
    <w:rsid w:val="00DA162A"/>
    <w:rsid w:val="00DB21BA"/>
    <w:rsid w:val="00DB6F50"/>
    <w:rsid w:val="00DD0E66"/>
    <w:rsid w:val="00DD2FBC"/>
    <w:rsid w:val="00DE5C5D"/>
    <w:rsid w:val="00E14768"/>
    <w:rsid w:val="00E20C9A"/>
    <w:rsid w:val="00E55E07"/>
    <w:rsid w:val="00E75C97"/>
    <w:rsid w:val="00E77DB3"/>
    <w:rsid w:val="00E84747"/>
    <w:rsid w:val="00E874E3"/>
    <w:rsid w:val="00E961FC"/>
    <w:rsid w:val="00E97806"/>
    <w:rsid w:val="00EB575E"/>
    <w:rsid w:val="00ED0BF7"/>
    <w:rsid w:val="00ED25B2"/>
    <w:rsid w:val="00F176C7"/>
    <w:rsid w:val="00F3228A"/>
    <w:rsid w:val="00F361D6"/>
    <w:rsid w:val="00F71897"/>
    <w:rsid w:val="00F7772C"/>
    <w:rsid w:val="00F92856"/>
    <w:rsid w:val="00F930A3"/>
    <w:rsid w:val="00F95973"/>
    <w:rsid w:val="00FA2AFA"/>
    <w:rsid w:val="00FB2CA3"/>
    <w:rsid w:val="00FB5D05"/>
    <w:rsid w:val="00FC122C"/>
    <w:rsid w:val="00FC2E42"/>
    <w:rsid w:val="00FC5FB0"/>
    <w:rsid w:val="00FE6BEE"/>
    <w:rsid w:val="0188A346"/>
    <w:rsid w:val="04CBA875"/>
    <w:rsid w:val="04DB9E3F"/>
    <w:rsid w:val="077B9863"/>
    <w:rsid w:val="0882B35E"/>
    <w:rsid w:val="0B1007EA"/>
    <w:rsid w:val="0C030518"/>
    <w:rsid w:val="0F1A286A"/>
    <w:rsid w:val="0FF29A00"/>
    <w:rsid w:val="1977FFDC"/>
    <w:rsid w:val="1A7B3686"/>
    <w:rsid w:val="1BF1A7BD"/>
    <w:rsid w:val="1D20FA1F"/>
    <w:rsid w:val="1E704559"/>
    <w:rsid w:val="1E81B301"/>
    <w:rsid w:val="20574C74"/>
    <w:rsid w:val="22235BA9"/>
    <w:rsid w:val="22459A07"/>
    <w:rsid w:val="23682D09"/>
    <w:rsid w:val="2506BBD1"/>
    <w:rsid w:val="25BBA66F"/>
    <w:rsid w:val="30BF36B2"/>
    <w:rsid w:val="31078E9C"/>
    <w:rsid w:val="3A1535F6"/>
    <w:rsid w:val="3A4C193C"/>
    <w:rsid w:val="3E24C641"/>
    <w:rsid w:val="3EA1AA9A"/>
    <w:rsid w:val="45A1C916"/>
    <w:rsid w:val="48AE2B1B"/>
    <w:rsid w:val="4F794AAF"/>
    <w:rsid w:val="542A451F"/>
    <w:rsid w:val="5698D345"/>
    <w:rsid w:val="5808E239"/>
    <w:rsid w:val="5B04B62B"/>
    <w:rsid w:val="62567279"/>
    <w:rsid w:val="6396F367"/>
    <w:rsid w:val="6486ED1C"/>
    <w:rsid w:val="699ACC3F"/>
    <w:rsid w:val="6A646CB0"/>
    <w:rsid w:val="6E0090CD"/>
    <w:rsid w:val="7014EFA6"/>
    <w:rsid w:val="77983C3E"/>
    <w:rsid w:val="782E4805"/>
    <w:rsid w:val="78A300C1"/>
    <w:rsid w:val="7A167DB0"/>
    <w:rsid w:val="7AC100BF"/>
    <w:rsid w:val="7D57C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3C30"/>
  <w15:chartTrackingRefBased/>
  <w15:docId w15:val="{3F838DCF-D2CD-EA4B-8314-F4DE2137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9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49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49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49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49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49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9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9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9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4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49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4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4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4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956"/>
    <w:rPr>
      <w:rFonts w:eastAsiaTheme="majorEastAsia" w:cstheme="majorBidi"/>
      <w:color w:val="272727" w:themeColor="text1" w:themeTint="D8"/>
    </w:rPr>
  </w:style>
  <w:style w:type="paragraph" w:styleId="Title">
    <w:name w:val="Title"/>
    <w:basedOn w:val="Normal"/>
    <w:next w:val="Normal"/>
    <w:link w:val="TitleChar"/>
    <w:uiPriority w:val="10"/>
    <w:qFormat/>
    <w:rsid w:val="002149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9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9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4956"/>
    <w:rPr>
      <w:i/>
      <w:iCs/>
      <w:color w:val="404040" w:themeColor="text1" w:themeTint="BF"/>
    </w:rPr>
  </w:style>
  <w:style w:type="paragraph" w:styleId="ListParagraph">
    <w:name w:val="List Paragraph"/>
    <w:basedOn w:val="Normal"/>
    <w:uiPriority w:val="34"/>
    <w:qFormat/>
    <w:rsid w:val="00214956"/>
    <w:pPr>
      <w:ind w:left="720"/>
      <w:contextualSpacing/>
    </w:pPr>
  </w:style>
  <w:style w:type="character" w:styleId="IntenseEmphasis">
    <w:name w:val="Intense Emphasis"/>
    <w:basedOn w:val="DefaultParagraphFont"/>
    <w:uiPriority w:val="21"/>
    <w:qFormat/>
    <w:rsid w:val="00214956"/>
    <w:rPr>
      <w:i/>
      <w:iCs/>
      <w:color w:val="0F4761" w:themeColor="accent1" w:themeShade="BF"/>
    </w:rPr>
  </w:style>
  <w:style w:type="paragraph" w:styleId="IntenseQuote">
    <w:name w:val="Intense Quote"/>
    <w:basedOn w:val="Normal"/>
    <w:next w:val="Normal"/>
    <w:link w:val="IntenseQuoteChar"/>
    <w:uiPriority w:val="30"/>
    <w:qFormat/>
    <w:rsid w:val="00214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4956"/>
    <w:rPr>
      <w:i/>
      <w:iCs/>
      <w:color w:val="0F4761" w:themeColor="accent1" w:themeShade="BF"/>
    </w:rPr>
  </w:style>
  <w:style w:type="character" w:styleId="IntenseReference">
    <w:name w:val="Intense Reference"/>
    <w:basedOn w:val="DefaultParagraphFont"/>
    <w:uiPriority w:val="32"/>
    <w:qFormat/>
    <w:rsid w:val="00214956"/>
    <w:rPr>
      <w:b/>
      <w:bCs/>
      <w:smallCaps/>
      <w:color w:val="0F4761" w:themeColor="accent1" w:themeShade="BF"/>
      <w:spacing w:val="5"/>
    </w:rPr>
  </w:style>
  <w:style w:type="table" w:styleId="TableGrid">
    <w:name w:val="Table Grid"/>
    <w:basedOn w:val="TableNormal"/>
    <w:uiPriority w:val="59"/>
    <w:rsid w:val="00E55E07"/>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B9593D"/>
    <w:rPr>
      <w:sz w:val="16"/>
      <w:szCs w:val="16"/>
    </w:rPr>
  </w:style>
  <w:style w:type="paragraph" w:styleId="CommentText">
    <w:name w:val="annotation text"/>
    <w:basedOn w:val="Normal"/>
    <w:link w:val="CommentTextChar"/>
    <w:uiPriority w:val="99"/>
    <w:unhideWhenUsed/>
    <w:rsid w:val="00B9593D"/>
    <w:rPr>
      <w:sz w:val="20"/>
      <w:szCs w:val="20"/>
    </w:rPr>
  </w:style>
  <w:style w:type="character" w:customStyle="1" w:styleId="CommentTextChar">
    <w:name w:val="Comment Text Char"/>
    <w:basedOn w:val="DefaultParagraphFont"/>
    <w:link w:val="CommentText"/>
    <w:uiPriority w:val="99"/>
    <w:rsid w:val="00B9593D"/>
    <w:rPr>
      <w:sz w:val="20"/>
      <w:szCs w:val="20"/>
    </w:rPr>
  </w:style>
  <w:style w:type="paragraph" w:styleId="CommentSubject">
    <w:name w:val="annotation subject"/>
    <w:basedOn w:val="CommentText"/>
    <w:next w:val="CommentText"/>
    <w:link w:val="CommentSubjectChar"/>
    <w:uiPriority w:val="99"/>
    <w:semiHidden/>
    <w:unhideWhenUsed/>
    <w:rsid w:val="00B9593D"/>
    <w:rPr>
      <w:b/>
      <w:bCs/>
    </w:rPr>
  </w:style>
  <w:style w:type="character" w:customStyle="1" w:styleId="CommentSubjectChar">
    <w:name w:val="Comment Subject Char"/>
    <w:basedOn w:val="CommentTextChar"/>
    <w:link w:val="CommentSubject"/>
    <w:uiPriority w:val="99"/>
    <w:semiHidden/>
    <w:rsid w:val="00B9593D"/>
    <w:rPr>
      <w:b/>
      <w:bCs/>
      <w:sz w:val="20"/>
      <w:szCs w:val="20"/>
    </w:rPr>
  </w:style>
  <w:style w:type="character" w:styleId="Mention">
    <w:name w:val="Mention"/>
    <w:basedOn w:val="DefaultParagraphFont"/>
    <w:uiPriority w:val="99"/>
    <w:unhideWhenUsed/>
    <w:rsid w:val="00B9593D"/>
    <w:rPr>
      <w:color w:val="2B579A"/>
      <w:shd w:val="clear" w:color="auto" w:fill="E1DFDD"/>
    </w:rPr>
  </w:style>
  <w:style w:type="paragraph" w:styleId="FootnoteText">
    <w:name w:val="footnote text"/>
    <w:basedOn w:val="Normal"/>
    <w:link w:val="FootnoteTextChar"/>
    <w:uiPriority w:val="99"/>
    <w:semiHidden/>
    <w:unhideWhenUsed/>
    <w:rsid w:val="00201E17"/>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201E17"/>
    <w:rPr>
      <w:rFonts w:ascii="Calibri" w:eastAsia="Calibri" w:hAnsi="Calibri" w:cs="Calibri"/>
      <w:sz w:val="20"/>
      <w:szCs w:val="20"/>
    </w:rPr>
  </w:style>
  <w:style w:type="character" w:styleId="FootnoteReference">
    <w:name w:val="footnote reference"/>
    <w:basedOn w:val="DefaultParagraphFont"/>
    <w:uiPriority w:val="99"/>
    <w:semiHidden/>
    <w:unhideWhenUsed/>
    <w:rsid w:val="00201E17"/>
    <w:rPr>
      <w:vertAlign w:val="superscript"/>
    </w:rPr>
  </w:style>
  <w:style w:type="table" w:customStyle="1" w:styleId="8">
    <w:name w:val="8"/>
    <w:basedOn w:val="TableNormal"/>
    <w:rsid w:val="007244B3"/>
    <w:pPr>
      <w:spacing w:after="160" w:line="259" w:lineRule="auto"/>
    </w:pPr>
    <w:rPr>
      <w:rFonts w:ascii="Calibri" w:eastAsia="Calibri" w:hAnsi="Calibri" w:cs="Calibri"/>
      <w:sz w:val="22"/>
      <w:szCs w:val="22"/>
    </w:rPr>
    <w:tblPr>
      <w:tblStyleRowBandSize w:val="1"/>
      <w:tblStyleColBandSize w:val="1"/>
      <w:tblCellMar>
        <w:left w:w="115" w:type="dxa"/>
        <w:right w:w="115" w:type="dxa"/>
      </w:tblCellMar>
    </w:tblPr>
  </w:style>
  <w:style w:type="paragraph" w:styleId="Revision">
    <w:name w:val="Revision"/>
    <w:hidden/>
    <w:uiPriority w:val="99"/>
    <w:semiHidden/>
    <w:rsid w:val="000E4E4E"/>
  </w:style>
  <w:style w:type="paragraph" w:styleId="Header">
    <w:name w:val="header"/>
    <w:basedOn w:val="Normal"/>
    <w:link w:val="HeaderChar"/>
    <w:uiPriority w:val="99"/>
    <w:semiHidden/>
    <w:unhideWhenUsed/>
    <w:rsid w:val="00F7772C"/>
    <w:pPr>
      <w:tabs>
        <w:tab w:val="center" w:pos="4680"/>
        <w:tab w:val="right" w:pos="9360"/>
      </w:tabs>
    </w:pPr>
  </w:style>
  <w:style w:type="character" w:customStyle="1" w:styleId="HeaderChar">
    <w:name w:val="Header Char"/>
    <w:basedOn w:val="DefaultParagraphFont"/>
    <w:link w:val="Header"/>
    <w:uiPriority w:val="99"/>
    <w:semiHidden/>
    <w:rsid w:val="00F7772C"/>
  </w:style>
  <w:style w:type="paragraph" w:styleId="Footer">
    <w:name w:val="footer"/>
    <w:basedOn w:val="Normal"/>
    <w:link w:val="FooterChar"/>
    <w:uiPriority w:val="99"/>
    <w:semiHidden/>
    <w:unhideWhenUsed/>
    <w:rsid w:val="00F7772C"/>
    <w:pPr>
      <w:tabs>
        <w:tab w:val="center" w:pos="4680"/>
        <w:tab w:val="right" w:pos="9360"/>
      </w:tabs>
    </w:pPr>
  </w:style>
  <w:style w:type="character" w:customStyle="1" w:styleId="FooterChar">
    <w:name w:val="Footer Char"/>
    <w:basedOn w:val="DefaultParagraphFont"/>
    <w:link w:val="Footer"/>
    <w:uiPriority w:val="99"/>
    <w:semiHidden/>
    <w:rsid w:val="00F7772C"/>
  </w:style>
  <w:style w:type="table" w:customStyle="1" w:styleId="10">
    <w:name w:val="10"/>
    <w:basedOn w:val="TableNormal"/>
    <w:rsid w:val="002B0B64"/>
    <w:pPr>
      <w:spacing w:after="160" w:line="259" w:lineRule="auto"/>
    </w:pPr>
    <w:rPr>
      <w:rFonts w:ascii="Calibri" w:eastAsia="Calibri" w:hAnsi="Calibri" w:cs="Calibri"/>
      <w:sz w:val="22"/>
      <w:szCs w:val="22"/>
    </w:rPr>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0604B0"/>
    <w:rPr>
      <w:color w:val="666666"/>
    </w:rPr>
  </w:style>
  <w:style w:type="character" w:customStyle="1" w:styleId="normaltextrun">
    <w:name w:val="normaltextrun"/>
    <w:basedOn w:val="DefaultParagraphFont"/>
    <w:rsid w:val="007626A5"/>
  </w:style>
  <w:style w:type="character" w:customStyle="1" w:styleId="mathspan">
    <w:name w:val="mathspan"/>
    <w:basedOn w:val="DefaultParagraphFont"/>
    <w:rsid w:val="007626A5"/>
  </w:style>
  <w:style w:type="character" w:customStyle="1" w:styleId="mo">
    <w:name w:val="mo"/>
    <w:basedOn w:val="DefaultParagraphFont"/>
    <w:rsid w:val="007626A5"/>
  </w:style>
  <w:style w:type="character" w:customStyle="1" w:styleId="mn">
    <w:name w:val="mn"/>
    <w:basedOn w:val="DefaultParagraphFont"/>
    <w:rsid w:val="007626A5"/>
  </w:style>
  <w:style w:type="character" w:customStyle="1" w:styleId="mjxassistivemathml">
    <w:name w:val="mjx_assistive_mathml"/>
    <w:basedOn w:val="DefaultParagraphFont"/>
    <w:rsid w:val="007626A5"/>
  </w:style>
  <w:style w:type="character" w:customStyle="1" w:styleId="eop">
    <w:name w:val="eop"/>
    <w:basedOn w:val="DefaultParagraphFont"/>
    <w:rsid w:val="007626A5"/>
  </w:style>
  <w:style w:type="paragraph" w:customStyle="1" w:styleId="paragraph">
    <w:name w:val="paragraph"/>
    <w:basedOn w:val="Normal"/>
    <w:rsid w:val="00BD41A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92678">
      <w:bodyDiv w:val="1"/>
      <w:marLeft w:val="0"/>
      <w:marRight w:val="0"/>
      <w:marTop w:val="0"/>
      <w:marBottom w:val="0"/>
      <w:divBdr>
        <w:top w:val="none" w:sz="0" w:space="0" w:color="auto"/>
        <w:left w:val="none" w:sz="0" w:space="0" w:color="auto"/>
        <w:bottom w:val="none" w:sz="0" w:space="0" w:color="auto"/>
        <w:right w:val="none" w:sz="0" w:space="0" w:color="auto"/>
      </w:divBdr>
    </w:div>
    <w:div w:id="2146970968">
      <w:bodyDiv w:val="1"/>
      <w:marLeft w:val="0"/>
      <w:marRight w:val="0"/>
      <w:marTop w:val="0"/>
      <w:marBottom w:val="0"/>
      <w:divBdr>
        <w:top w:val="none" w:sz="0" w:space="0" w:color="auto"/>
        <w:left w:val="none" w:sz="0" w:space="0" w:color="auto"/>
        <w:bottom w:val="none" w:sz="0" w:space="0" w:color="auto"/>
        <w:right w:val="none" w:sz="0" w:space="0" w:color="auto"/>
      </w:divBdr>
      <w:divsChild>
        <w:div w:id="471023528">
          <w:marLeft w:val="0"/>
          <w:marRight w:val="0"/>
          <w:marTop w:val="0"/>
          <w:marBottom w:val="0"/>
          <w:divBdr>
            <w:top w:val="none" w:sz="0" w:space="0" w:color="auto"/>
            <w:left w:val="none" w:sz="0" w:space="0" w:color="auto"/>
            <w:bottom w:val="none" w:sz="0" w:space="0" w:color="auto"/>
            <w:right w:val="none" w:sz="0" w:space="0" w:color="auto"/>
          </w:divBdr>
        </w:div>
        <w:div w:id="61278856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B14427-5A44-4645-AFD7-D921A149A84A}">
  <we:reference id="wa104382081" version="1.55.1.0" store="en-US" storeType="OMEX"/>
  <we:alternateReferences>
    <we:reference id="WA104382081" version="1.55.1.0" store="" storeType="OMEX"/>
  </we:alternateReferences>
  <we:properties>
    <we:property name="MENDELEY_CITATIONS" value="[{&quot;citationID&quot;:&quot;MENDELEY_CITATION_b8c73074-0e4a-4cbc-aa75-a033b04e13f5&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&quot;,&quot;citationItems&quot;:[{&quot;id&quot;:&quot;24eb9f32-a06f-3738-b350-f32554a22fa7&quot;,&quot;itemData&quot;:{&quot;type&quot;:&quot;article-journal&quot;,&quot;id&quot;:&quot;24eb9f32-a06f-3738-b350-f32554a22fa7&quot;,&quot;title&quot;:&quot;Topical 5-Fluorouracil for Women With High-Grade Vaginal Intraepithelial Neoplasia&quot;,&quot;author&quot;:[{&quot;family&quot;:&quot;Fiascone&quot;,&quot;given&quot;:&quot;Stephen&quot;,&quot;parse-names&quot;:false,&quot;dropping-particle&quot;:&quot;&quot;,&quot;non-dropping-particle&quot;:&quot;&quot;},{&quot;family&quot;:&quot;Vitonis&quot;,&quot;given&quot;:&quot;Allison F.&quot;,&quot;parse-names&quot;:false,&quot;dropping-particle&quot;:&quot;&quot;,&quot;non-dropping-particle&quot;:&quot;&quot;},{&quot;family&quot;:&quot;Feldman&quot;,&quot;given&quot;:&quot;Sarah&quot;,&quot;parse-names&quot;:false,&quot;dropping-particle&quot;:&quot;&quot;,&quot;non-dropping-particle&quot;:&quot;&quot;}],&quot;container-title&quot;:&quot;Obstetrics and gynecology&quot;,&quot;accessed&quot;:{&quot;date-parts&quot;:[[2023,11,6]]},&quot;DOI&quot;:&quot;10.1097/AOG.0000000000002311&quot;,&quot;ISSN&quot;:&quot;1873-233X&quot;,&quot;PMID&quot;:&quot;29112645&quot;,&quot;URL&quot;:&quot;https://pubmed.ncbi.nlm.nih.gov/29112645/&quot;,&quot;issued&quot;:{&quot;date-parts&quot;:[[2017]]},&quot;page&quot;:&quot;1237-1243&quot;,&quot;abstract&quot;:&quot;OBJECTIVE: To examine success rates of 5-fluorouracil, excision, and laser ablation as the initial and secondary management strategies for women with high-grade vaginal intraepithelial neoplasia. METHODS: We conducted a retrospective case series of women referred to a single center for management of biopsy-proven, high-grade vaginal intraepithelial neoplasia between April 1994 and May 2016. Data including demographic characteristics, human papillomavirus risk factors, antecedent Pap cytology, concurrent or prior cervical and vulvar dysplasia, and treatment outcome including follow-up Pap cytology were recorded. All women were counseled on options of excision, laser ablation, or 5-fluorouracil, which was administered intravaginally according to a standardized regimen. Recurrence was defined as a biopsy showing any vaginal intraepithelial neoplasia diagnosis after primary treatment. RESULTS: Forty-seven patients were treated initially with 5-fluorouracil, 35 were treated with excision, and 22 were treated with laser ablation. Demographics were similar between groups. No recurrence was noted in 35 women treated with 5-fluorouracil (74%; 95% CI 62- 87%), 20 treated with excision (57%; 95% CI 41-74%), and nine treated with laser ablation (41%; 95% CI 20-61%). Among 13 patients treated with 5-fluorouracil for recurrence, eight (62%) did not experience a second recurrence. Nine of 58 (16%) patients ever treated with 5-fluorouracil reported a side effect, most commonly irritation and dyspareunia. CONCLUSION: 5-fluorouracil was associated with a 74% success rate as the initial treatment modality for high-grade vaginal dysplasia. There is also a role for 5- fluorouracil in the management of recurrent or persistent high-grade vaginal intraepithelial neoplasia.&quot;,&quot;publisher&quot;:&quot;Obstet Gynecol&quot;,&quot;issue&quot;:&quot;6&quot;,&quot;volume&quot;:&quot;130&quot;,&quot;container-title-short&quot;:&quot;&quot;},&quot;isTemporar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001C0-9C2B-1946-ACE6-7E2D64BA0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Mungo, Chemtai</dc:creator>
  <cp:keywords/>
  <dc:description/>
  <cp:lastModifiedBy>Annum Sadana</cp:lastModifiedBy>
  <cp:revision>2</cp:revision>
  <dcterms:created xsi:type="dcterms:W3CDTF">2026-03-16T17:57:00Z</dcterms:created>
  <dcterms:modified xsi:type="dcterms:W3CDTF">2026-03-16T17:57:00Z</dcterms:modified>
</cp:coreProperties>
</file>