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5C05" w14:textId="2E8D1217" w:rsidR="00202F67" w:rsidRPr="00386CB8" w:rsidRDefault="00202F67" w:rsidP="00202F67">
      <w:pPr>
        <w:rPr>
          <w:rFonts w:ascii="Times New Roman" w:hAnsi="Times New Roman" w:cs="Times New Roman"/>
          <w:b/>
          <w:bCs/>
          <w:sz w:val="24"/>
          <w:szCs w:val="28"/>
        </w:rPr>
      </w:pPr>
      <w:r w:rsidRPr="00386CB8">
        <w:rPr>
          <w:rFonts w:ascii="Times New Roman" w:hAnsi="Times New Roman" w:cs="Times New Roman"/>
          <w:b/>
          <w:bCs/>
          <w:sz w:val="24"/>
          <w:szCs w:val="28"/>
        </w:rPr>
        <w:t xml:space="preserve">Appendix </w:t>
      </w:r>
      <w:r w:rsidR="00305DBF" w:rsidRPr="00386CB8">
        <w:rPr>
          <w:rFonts w:ascii="Times New Roman" w:hAnsi="Times New Roman" w:cs="Times New Roman"/>
          <w:b/>
          <w:bCs/>
          <w:sz w:val="24"/>
          <w:szCs w:val="28"/>
        </w:rPr>
        <w:t>A</w:t>
      </w:r>
      <w:r w:rsidRPr="00386CB8">
        <w:rPr>
          <w:rFonts w:ascii="Times New Roman" w:hAnsi="Times New Roman" w:cs="Times New Roman"/>
          <w:b/>
          <w:bCs/>
          <w:sz w:val="24"/>
          <w:szCs w:val="28"/>
        </w:rPr>
        <w:t>: Covariate Adequacy Testing for Unanchored MAIC</w:t>
      </w:r>
    </w:p>
    <w:p w14:paraId="2135F5FF" w14:textId="77777777" w:rsidR="00202F67" w:rsidRPr="00386CB8" w:rsidRDefault="00202F67" w:rsidP="00CB7FEC">
      <w:pPr>
        <w:spacing w:line="276" w:lineRule="auto"/>
        <w:rPr>
          <w:rFonts w:ascii="Times New Roman" w:hAnsi="Times New Roman" w:cs="Times New Roman"/>
          <w:sz w:val="24"/>
          <w:szCs w:val="28"/>
        </w:rPr>
      </w:pPr>
    </w:p>
    <w:p w14:paraId="2309355F" w14:textId="292418DC" w:rsidR="00202F67" w:rsidRPr="00386CB8" w:rsidRDefault="00D67F43" w:rsidP="00CB7FEC">
      <w:pPr>
        <w:spacing w:line="276" w:lineRule="auto"/>
        <w:rPr>
          <w:rFonts w:ascii="Times New Roman" w:hAnsi="Times New Roman" w:cs="Times New Roman"/>
          <w:sz w:val="24"/>
          <w:szCs w:val="28"/>
        </w:rPr>
      </w:pPr>
      <w:r w:rsidRPr="00386CB8">
        <w:rPr>
          <w:rFonts w:ascii="Times New Roman" w:hAnsi="Times New Roman" w:cs="Times New Roman"/>
          <w:sz w:val="24"/>
          <w:szCs w:val="28"/>
        </w:rPr>
        <w:tab/>
      </w:r>
      <w:r w:rsidR="00202F67" w:rsidRPr="00386CB8">
        <w:rPr>
          <w:rFonts w:ascii="Times New Roman" w:hAnsi="Times New Roman" w:cs="Times New Roman"/>
          <w:sz w:val="24"/>
          <w:szCs w:val="28"/>
        </w:rPr>
        <w:t xml:space="preserve">Unanchored matching-adjusted indirect comparisons rely critically on the assumption that all prognostic factors and effect modifiers are measured and balanced between studies. To evaluate whether our selected nine baseline covariates meet this "no unmeasured confounding" requirement, we conducted </w:t>
      </w:r>
      <w:r w:rsidR="00C86798" w:rsidRPr="00386CB8">
        <w:rPr>
          <w:rFonts w:ascii="Times New Roman" w:hAnsi="Times New Roman" w:cs="Times New Roman"/>
          <w:sz w:val="24"/>
          <w:szCs w:val="28"/>
        </w:rPr>
        <w:t>the Yi-Jiang</w:t>
      </w:r>
      <w:r w:rsidR="00202F67" w:rsidRPr="00386CB8">
        <w:rPr>
          <w:rFonts w:ascii="Times New Roman" w:hAnsi="Times New Roman" w:cs="Times New Roman"/>
          <w:sz w:val="24"/>
          <w:szCs w:val="28"/>
        </w:rPr>
        <w:t xml:space="preserve"> prognostic factor validation test</w:t>
      </w:r>
      <w:r w:rsidR="00FD709D">
        <w:rPr>
          <w:rFonts w:ascii="Times New Roman" w:hAnsi="Times New Roman" w:cs="Times New Roman" w:hint="eastAsia"/>
          <w:sz w:val="24"/>
          <w:szCs w:val="28"/>
        </w:rPr>
        <w:t xml:space="preserve"> [1]</w:t>
      </w:r>
      <w:r w:rsidR="00202F67" w:rsidRPr="00386CB8">
        <w:rPr>
          <w:rFonts w:ascii="Times New Roman" w:hAnsi="Times New Roman" w:cs="Times New Roman"/>
          <w:sz w:val="24"/>
          <w:szCs w:val="28"/>
        </w:rPr>
        <w:t>.</w:t>
      </w:r>
      <w:r w:rsidR="00CB7FEC">
        <w:rPr>
          <w:rFonts w:ascii="Times New Roman" w:hAnsi="Times New Roman" w:cs="Times New Roman" w:hint="eastAsia"/>
          <w:sz w:val="24"/>
          <w:szCs w:val="28"/>
        </w:rPr>
        <w:t xml:space="preserve"> </w:t>
      </w:r>
      <w:r w:rsidR="00202F67" w:rsidRPr="00386CB8">
        <w:rPr>
          <w:rFonts w:ascii="Times New Roman" w:hAnsi="Times New Roman" w:cs="Times New Roman"/>
          <w:sz w:val="24"/>
          <w:szCs w:val="28"/>
        </w:rPr>
        <w:t>The validation proceeded in five sequential steps:</w:t>
      </w:r>
    </w:p>
    <w:p w14:paraId="515A7755" w14:textId="6E7A339C" w:rsidR="00202F67" w:rsidRPr="00386CB8" w:rsidRDefault="00202F67" w:rsidP="00CB7FEC">
      <w:pPr>
        <w:spacing w:line="276" w:lineRule="auto"/>
        <w:rPr>
          <w:rFonts w:ascii="Times New Roman" w:hAnsi="Times New Roman" w:cs="Times New Roman"/>
          <w:sz w:val="24"/>
          <w:szCs w:val="28"/>
        </w:rPr>
      </w:pPr>
      <w:r w:rsidRPr="00CB7FEC">
        <w:rPr>
          <w:rFonts w:ascii="Times New Roman" w:hAnsi="Times New Roman" w:cs="Times New Roman"/>
          <w:b/>
          <w:bCs/>
          <w:sz w:val="24"/>
          <w:szCs w:val="28"/>
        </w:rPr>
        <w:t>1. Risk Score Derivation</w:t>
      </w:r>
      <w:r w:rsidRPr="00386CB8">
        <w:rPr>
          <w:rFonts w:ascii="Times New Roman" w:hAnsi="Times New Roman" w:cs="Times New Roman"/>
          <w:sz w:val="24"/>
          <w:szCs w:val="28"/>
        </w:rPr>
        <w:t xml:space="preserve">: A multivariable Cox proportional hazards model was fitted to the </w:t>
      </w:r>
      <w:proofErr w:type="spellStart"/>
      <w:r w:rsidR="00BD3554">
        <w:rPr>
          <w:rFonts w:ascii="Times New Roman" w:hAnsi="Times New Roman" w:cs="Times New Roman" w:hint="eastAsia"/>
          <w:sz w:val="24"/>
          <w:szCs w:val="28"/>
        </w:rPr>
        <w:t>e</w:t>
      </w:r>
      <w:r w:rsidRPr="00386CB8">
        <w:rPr>
          <w:rFonts w:ascii="Times New Roman" w:hAnsi="Times New Roman" w:cs="Times New Roman"/>
          <w:sz w:val="24"/>
          <w:szCs w:val="28"/>
        </w:rPr>
        <w:t>nlonstobart</w:t>
      </w:r>
      <w:proofErr w:type="spellEnd"/>
      <w:r w:rsidRPr="00386CB8">
        <w:rPr>
          <w:rFonts w:ascii="Times New Roman" w:hAnsi="Times New Roman" w:cs="Times New Roman"/>
          <w:sz w:val="24"/>
          <w:szCs w:val="28"/>
        </w:rPr>
        <w:t xml:space="preserve"> IPD using all nine covariates, generating individual risk scores that capture each patient's baseline prognostic profile.</w:t>
      </w:r>
    </w:p>
    <w:p w14:paraId="35FE6A76" w14:textId="33D3DF0B" w:rsidR="00202F67" w:rsidRPr="00386CB8" w:rsidRDefault="00202F67" w:rsidP="00CB7FEC">
      <w:pPr>
        <w:spacing w:line="276" w:lineRule="auto"/>
        <w:rPr>
          <w:rFonts w:ascii="Times New Roman" w:hAnsi="Times New Roman" w:cs="Times New Roman"/>
          <w:sz w:val="24"/>
          <w:szCs w:val="28"/>
        </w:rPr>
      </w:pPr>
      <w:r w:rsidRPr="00CB7FEC">
        <w:rPr>
          <w:rFonts w:ascii="Times New Roman" w:hAnsi="Times New Roman" w:cs="Times New Roman"/>
          <w:b/>
          <w:bCs/>
          <w:sz w:val="24"/>
          <w:szCs w:val="28"/>
        </w:rPr>
        <w:t>2. Artificial Group Creation</w:t>
      </w:r>
      <w:r w:rsidRPr="00386CB8">
        <w:rPr>
          <w:rFonts w:ascii="Times New Roman" w:hAnsi="Times New Roman" w:cs="Times New Roman"/>
          <w:sz w:val="24"/>
          <w:szCs w:val="28"/>
        </w:rPr>
        <w:t>: Patients were initially stratified into quartiles based on risk scores, then allocated to "high-risk" (quartiles 1+3) versus "low-risk" (quartiles 2+4) artificial treatment groups to create meaningful prognostic separation.</w:t>
      </w:r>
    </w:p>
    <w:p w14:paraId="49D7B16E" w14:textId="437ABF9B" w:rsidR="00202F67" w:rsidRPr="00386CB8" w:rsidRDefault="00202F67" w:rsidP="00CB7FEC">
      <w:pPr>
        <w:spacing w:line="276" w:lineRule="auto"/>
        <w:rPr>
          <w:rFonts w:ascii="Times New Roman" w:hAnsi="Times New Roman" w:cs="Times New Roman"/>
          <w:sz w:val="24"/>
          <w:szCs w:val="28"/>
        </w:rPr>
      </w:pPr>
      <w:r w:rsidRPr="00CB7FEC">
        <w:rPr>
          <w:rFonts w:ascii="Times New Roman" w:hAnsi="Times New Roman" w:cs="Times New Roman"/>
          <w:b/>
          <w:bCs/>
          <w:sz w:val="24"/>
          <w:szCs w:val="28"/>
        </w:rPr>
        <w:t>3. Target Hazard Ratio Calibration</w:t>
      </w:r>
      <w:r w:rsidRPr="00386CB8">
        <w:rPr>
          <w:rFonts w:ascii="Times New Roman" w:hAnsi="Times New Roman" w:cs="Times New Roman"/>
          <w:sz w:val="24"/>
          <w:szCs w:val="28"/>
        </w:rPr>
        <w:t>: Through iterative patient reassignment between artificial groups, we calibrated the unadjusted hazard ratio to approximate the inverse of our primary MAIC findings (target HR = 1.9 for OS, corresponding to 1/0.53).</w:t>
      </w:r>
      <w:r w:rsidR="00D67F43" w:rsidRPr="00386CB8">
        <w:rPr>
          <w:rFonts w:ascii="Times New Roman" w:hAnsi="Times New Roman" w:cs="Times New Roman" w:hint="eastAsia"/>
          <w:sz w:val="24"/>
          <w:szCs w:val="28"/>
        </w:rPr>
        <w:t xml:space="preserve"> This approach deviates slightly from the original methodology, which typically uses the unadjusted hazard ratio between the investigational drug and comparator as the target. However, given that the unadjusted survival differences between </w:t>
      </w:r>
      <w:proofErr w:type="spellStart"/>
      <w:r w:rsidR="00BD3554">
        <w:rPr>
          <w:rFonts w:ascii="Times New Roman" w:hAnsi="Times New Roman" w:cs="Times New Roman" w:hint="eastAsia"/>
          <w:sz w:val="24"/>
          <w:szCs w:val="28"/>
        </w:rPr>
        <w:t>e</w:t>
      </w:r>
      <w:r w:rsidR="00D67F43" w:rsidRPr="00386CB8">
        <w:rPr>
          <w:rFonts w:ascii="Times New Roman" w:hAnsi="Times New Roman" w:cs="Times New Roman" w:hint="eastAsia"/>
          <w:sz w:val="24"/>
          <w:szCs w:val="28"/>
        </w:rPr>
        <w:t>nlonstobart</w:t>
      </w:r>
      <w:proofErr w:type="spellEnd"/>
      <w:r w:rsidR="00D67F43" w:rsidRPr="00386CB8">
        <w:rPr>
          <w:rFonts w:ascii="Times New Roman" w:hAnsi="Times New Roman" w:cs="Times New Roman" w:hint="eastAsia"/>
          <w:sz w:val="24"/>
          <w:szCs w:val="28"/>
        </w:rPr>
        <w:t xml:space="preserve"> and </w:t>
      </w:r>
      <w:proofErr w:type="spellStart"/>
      <w:r w:rsidR="00BD3554">
        <w:rPr>
          <w:rFonts w:ascii="Times New Roman" w:hAnsi="Times New Roman" w:cs="Times New Roman" w:hint="eastAsia"/>
          <w:sz w:val="24"/>
          <w:szCs w:val="28"/>
        </w:rPr>
        <w:t>c</w:t>
      </w:r>
      <w:r w:rsidR="00D67F43" w:rsidRPr="00386CB8">
        <w:rPr>
          <w:rFonts w:ascii="Times New Roman" w:hAnsi="Times New Roman" w:cs="Times New Roman" w:hint="eastAsia"/>
          <w:sz w:val="24"/>
          <w:szCs w:val="28"/>
        </w:rPr>
        <w:t>amrelizumab</w:t>
      </w:r>
      <w:proofErr w:type="spellEnd"/>
      <w:r w:rsidR="00D67F43" w:rsidRPr="00386CB8">
        <w:rPr>
          <w:rFonts w:ascii="Times New Roman" w:hAnsi="Times New Roman" w:cs="Times New Roman" w:hint="eastAsia"/>
          <w:sz w:val="24"/>
          <w:szCs w:val="28"/>
        </w:rPr>
        <w:t xml:space="preserve"> were relatively small in the original trial data, we instead calibrated to the inverse of the strongest treatment effect observed in our MAIC analysis (HR = 0.53 for OS) to ensure sufficient signal strength for meaningful validation of covariate sufficiency.</w:t>
      </w:r>
      <w:r w:rsidR="00B57647" w:rsidRPr="00386CB8">
        <w:rPr>
          <w:rFonts w:ascii="Times New Roman" w:hAnsi="Times New Roman" w:cs="Times New Roman" w:hint="eastAsia"/>
          <w:sz w:val="24"/>
          <w:szCs w:val="28"/>
        </w:rPr>
        <w:t xml:space="preserve"> </w:t>
      </w:r>
      <w:r w:rsidR="00A0279F" w:rsidRPr="00386CB8">
        <w:rPr>
          <w:rFonts w:ascii="Times New Roman" w:hAnsi="Times New Roman" w:cs="Times New Roman" w:hint="eastAsia"/>
          <w:sz w:val="24"/>
          <w:szCs w:val="28"/>
        </w:rPr>
        <w:t>Testing against this more challenging target provides robust evidence of covariate adequacy, as successful validation under stricter criteria naturally supersedes adequacy under less demanding conditions.</w:t>
      </w:r>
    </w:p>
    <w:p w14:paraId="15F9E9D6" w14:textId="6C6A5D33" w:rsidR="00202F67" w:rsidRPr="00386CB8" w:rsidRDefault="00202F67" w:rsidP="00CB7FEC">
      <w:pPr>
        <w:spacing w:line="276" w:lineRule="auto"/>
        <w:rPr>
          <w:rFonts w:ascii="Times New Roman" w:hAnsi="Times New Roman" w:cs="Times New Roman"/>
          <w:sz w:val="24"/>
          <w:szCs w:val="28"/>
        </w:rPr>
      </w:pPr>
      <w:r w:rsidRPr="00CB7FEC">
        <w:rPr>
          <w:rFonts w:ascii="Times New Roman" w:hAnsi="Times New Roman" w:cs="Times New Roman"/>
          <w:b/>
          <w:bCs/>
          <w:sz w:val="24"/>
          <w:szCs w:val="28"/>
        </w:rPr>
        <w:t>4. Propensity Score Adjustment</w:t>
      </w:r>
      <w:r w:rsidRPr="00386CB8">
        <w:rPr>
          <w:rFonts w:ascii="Times New Roman" w:hAnsi="Times New Roman" w:cs="Times New Roman"/>
          <w:sz w:val="24"/>
          <w:szCs w:val="28"/>
        </w:rPr>
        <w:t>: A logistic regression model was fitted with artificial group membership as the outcome and the nine MAIC covariates as predictors. Inverse probability weighting was applied using the predicted propensity scores.</w:t>
      </w:r>
    </w:p>
    <w:p w14:paraId="2F8C85CB" w14:textId="299C4E08" w:rsidR="00202F67" w:rsidRPr="00386CB8" w:rsidRDefault="00202F67" w:rsidP="00CB7FEC">
      <w:pPr>
        <w:spacing w:line="276" w:lineRule="auto"/>
        <w:rPr>
          <w:rFonts w:ascii="Times New Roman" w:hAnsi="Times New Roman" w:cs="Times New Roman"/>
          <w:sz w:val="24"/>
          <w:szCs w:val="28"/>
        </w:rPr>
      </w:pPr>
      <w:r w:rsidRPr="00CB7FEC">
        <w:rPr>
          <w:rFonts w:ascii="Times New Roman" w:hAnsi="Times New Roman" w:cs="Times New Roman"/>
          <w:b/>
          <w:bCs/>
          <w:sz w:val="24"/>
          <w:szCs w:val="28"/>
        </w:rPr>
        <w:t>5. Adequacy Assessment</w:t>
      </w:r>
      <w:r w:rsidRPr="00386CB8">
        <w:rPr>
          <w:rFonts w:ascii="Times New Roman" w:hAnsi="Times New Roman" w:cs="Times New Roman"/>
          <w:sz w:val="24"/>
          <w:szCs w:val="28"/>
        </w:rPr>
        <w:t>: A weighted Cox regression tested whether covariate adjustment could eliminate the artificial treatment effect. Non-significance (p &gt; 0.05) indicates that the selected covariates adequately capture prognostic heterogeneity.</w:t>
      </w:r>
    </w:p>
    <w:p w14:paraId="3CF5886D" w14:textId="77777777" w:rsidR="00202F67" w:rsidRPr="00386CB8" w:rsidRDefault="00202F67" w:rsidP="00CB7FEC">
      <w:pPr>
        <w:spacing w:line="276" w:lineRule="auto"/>
        <w:rPr>
          <w:rFonts w:ascii="Times New Roman" w:hAnsi="Times New Roman" w:cs="Times New Roman"/>
          <w:sz w:val="24"/>
          <w:szCs w:val="28"/>
        </w:rPr>
      </w:pPr>
    </w:p>
    <w:p w14:paraId="51F324EC" w14:textId="46E60A77" w:rsidR="00DD25C0" w:rsidRPr="00386CB8" w:rsidRDefault="00DD25C0" w:rsidP="00DD25C0">
      <w:pPr>
        <w:spacing w:line="276" w:lineRule="auto"/>
        <w:rPr>
          <w:rFonts w:ascii="Times New Roman" w:hAnsi="Times New Roman" w:cs="Times New Roman"/>
          <w:b/>
          <w:bCs/>
          <w:sz w:val="24"/>
          <w:szCs w:val="24"/>
        </w:rPr>
      </w:pPr>
      <w:r w:rsidRPr="00386CB8">
        <w:rPr>
          <w:rFonts w:ascii="Times New Roman" w:hAnsi="Times New Roman" w:cs="Times New Roman"/>
          <w:b/>
          <w:bCs/>
          <w:sz w:val="24"/>
          <w:szCs w:val="24"/>
        </w:rPr>
        <w:t>Appendix B</w:t>
      </w:r>
      <w:r w:rsidRPr="00386CB8">
        <w:rPr>
          <w:rFonts w:ascii="Times New Roman" w:hAnsi="Times New Roman" w:cs="Times New Roman" w:hint="eastAsia"/>
          <w:b/>
          <w:bCs/>
          <w:sz w:val="24"/>
          <w:szCs w:val="24"/>
        </w:rPr>
        <w:t>: Unanchored Simulated Treatment Comparison (STC)</w:t>
      </w:r>
    </w:p>
    <w:p w14:paraId="77DC4461" w14:textId="77777777" w:rsidR="00DD25C0" w:rsidRPr="00386CB8" w:rsidRDefault="00DD25C0" w:rsidP="00DD25C0">
      <w:pPr>
        <w:spacing w:line="276" w:lineRule="auto"/>
        <w:rPr>
          <w:rFonts w:ascii="Times New Roman" w:hAnsi="Times New Roman" w:cs="Times New Roman"/>
          <w:sz w:val="24"/>
          <w:szCs w:val="24"/>
        </w:rPr>
      </w:pPr>
    </w:p>
    <w:p w14:paraId="5838247D" w14:textId="3E9304DC" w:rsidR="00DD25C0" w:rsidRPr="00386CB8" w:rsidRDefault="00DD25C0" w:rsidP="00DD25C0">
      <w:pPr>
        <w:spacing w:line="276" w:lineRule="auto"/>
        <w:rPr>
          <w:rFonts w:ascii="Times New Roman" w:hAnsi="Times New Roman" w:cs="Times New Roman"/>
          <w:sz w:val="24"/>
          <w:szCs w:val="24"/>
        </w:rPr>
      </w:pPr>
      <w:r w:rsidRPr="00386CB8">
        <w:rPr>
          <w:rFonts w:ascii="Times New Roman" w:hAnsi="Times New Roman" w:cs="Times New Roman"/>
          <w:sz w:val="24"/>
          <w:szCs w:val="24"/>
        </w:rPr>
        <w:tab/>
        <w:t xml:space="preserve">After the unanchored MAIC of </w:t>
      </w:r>
      <w:proofErr w:type="spellStart"/>
      <w:r w:rsidR="00E31D66">
        <w:rPr>
          <w:rFonts w:ascii="Times New Roman" w:hAnsi="Times New Roman" w:cs="Times New Roman" w:hint="eastAsia"/>
          <w:sz w:val="24"/>
          <w:szCs w:val="24"/>
        </w:rPr>
        <w:t>e</w:t>
      </w:r>
      <w:r w:rsidRPr="00386CB8">
        <w:rPr>
          <w:rFonts w:ascii="Times New Roman" w:hAnsi="Times New Roman" w:cs="Times New Roman"/>
          <w:sz w:val="24"/>
          <w:szCs w:val="24"/>
        </w:rPr>
        <w:t>nlonstobart</w:t>
      </w:r>
      <w:proofErr w:type="spellEnd"/>
      <w:r w:rsidRPr="00386CB8">
        <w:rPr>
          <w:rFonts w:ascii="Times New Roman" w:hAnsi="Times New Roman" w:cs="Times New Roman"/>
          <w:sz w:val="24"/>
          <w:szCs w:val="24"/>
        </w:rPr>
        <w:t xml:space="preserve"> and </w:t>
      </w:r>
      <w:proofErr w:type="spellStart"/>
      <w:r w:rsidR="00E31D66">
        <w:rPr>
          <w:rFonts w:ascii="Times New Roman" w:hAnsi="Times New Roman" w:cs="Times New Roman" w:hint="eastAsia"/>
          <w:sz w:val="24"/>
          <w:szCs w:val="24"/>
        </w:rPr>
        <w:t>c</w:t>
      </w:r>
      <w:r w:rsidRPr="00386CB8">
        <w:rPr>
          <w:rFonts w:ascii="Times New Roman" w:hAnsi="Times New Roman" w:cs="Times New Roman"/>
          <w:sz w:val="24"/>
          <w:szCs w:val="24"/>
        </w:rPr>
        <w:t>amrelizumab</w:t>
      </w:r>
      <w:proofErr w:type="spellEnd"/>
      <w:r w:rsidRPr="00386CB8">
        <w:rPr>
          <w:rFonts w:ascii="Times New Roman" w:hAnsi="Times New Roman" w:cs="Times New Roman"/>
          <w:sz w:val="24"/>
          <w:szCs w:val="24"/>
        </w:rPr>
        <w:t xml:space="preserve"> in patients with recurrent or metastatic cervical cancer, we carried out a fully parametric simulated-treatment comparison implemented through single imputation (STC-SI) to evaluate the robustness of the MAIC findings</w:t>
      </w:r>
      <w:r w:rsidR="00E31D66">
        <w:rPr>
          <w:rFonts w:ascii="Times New Roman" w:hAnsi="Times New Roman" w:cs="Times New Roman" w:hint="eastAsia"/>
          <w:sz w:val="24"/>
          <w:szCs w:val="24"/>
        </w:rPr>
        <w:t xml:space="preserve"> [2]</w:t>
      </w:r>
      <w:r w:rsidRPr="00386CB8">
        <w:rPr>
          <w:rFonts w:ascii="Times New Roman" w:hAnsi="Times New Roman" w:cs="Times New Roman"/>
          <w:sz w:val="24"/>
          <w:szCs w:val="24"/>
        </w:rPr>
        <w:t>. The analysis involved a Gaussian-copula resampling step that retains higher-order covariate dependencies.</w:t>
      </w:r>
    </w:p>
    <w:p w14:paraId="7CDCB4EF" w14:textId="77777777" w:rsidR="00DD25C0" w:rsidRPr="00386CB8" w:rsidRDefault="00DD25C0" w:rsidP="00DD25C0">
      <w:pPr>
        <w:spacing w:line="276" w:lineRule="auto"/>
        <w:rPr>
          <w:rFonts w:ascii="Times New Roman" w:hAnsi="Times New Roman" w:cs="Times New Roman"/>
          <w:sz w:val="24"/>
          <w:szCs w:val="24"/>
        </w:rPr>
      </w:pPr>
    </w:p>
    <w:p w14:paraId="0F13BCCB" w14:textId="60C392E0" w:rsidR="003D6C5C" w:rsidRPr="00386CB8" w:rsidRDefault="00DD25C0" w:rsidP="00933F3B">
      <w:pPr>
        <w:spacing w:line="276" w:lineRule="auto"/>
        <w:rPr>
          <w:rFonts w:ascii="Times New Roman" w:hAnsi="Times New Roman" w:cs="Times New Roman"/>
          <w:sz w:val="24"/>
          <w:szCs w:val="28"/>
        </w:rPr>
      </w:pPr>
      <w:r w:rsidRPr="00386CB8">
        <w:rPr>
          <w:rFonts w:ascii="Times New Roman" w:hAnsi="Times New Roman" w:cs="Times New Roman"/>
          <w:sz w:val="24"/>
          <w:szCs w:val="24"/>
        </w:rPr>
        <w:t xml:space="preserve">Generation of an imputed </w:t>
      </w:r>
      <w:proofErr w:type="spellStart"/>
      <w:r w:rsidR="00E31D66">
        <w:rPr>
          <w:rFonts w:ascii="Times New Roman" w:hAnsi="Times New Roman" w:cs="Times New Roman" w:hint="eastAsia"/>
          <w:sz w:val="24"/>
          <w:szCs w:val="24"/>
        </w:rPr>
        <w:t>c</w:t>
      </w:r>
      <w:r w:rsidRPr="00386CB8">
        <w:rPr>
          <w:rFonts w:ascii="Times New Roman" w:hAnsi="Times New Roman" w:cs="Times New Roman"/>
          <w:sz w:val="24"/>
          <w:szCs w:val="24"/>
        </w:rPr>
        <w:t>amrelizumab</w:t>
      </w:r>
      <w:proofErr w:type="spellEnd"/>
      <w:r w:rsidRPr="00386CB8">
        <w:rPr>
          <w:rFonts w:ascii="Times New Roman" w:hAnsi="Times New Roman" w:cs="Times New Roman"/>
          <w:sz w:val="24"/>
          <w:szCs w:val="24"/>
        </w:rPr>
        <w:t>-like cohort</w:t>
      </w:r>
      <w:r w:rsidRPr="00386CB8">
        <w:rPr>
          <w:rFonts w:ascii="Times New Roman" w:hAnsi="Times New Roman" w:cs="Times New Roman"/>
          <w:sz w:val="24"/>
          <w:szCs w:val="24"/>
        </w:rPr>
        <w:br/>
      </w:r>
      <w:r w:rsidRPr="00386CB8">
        <w:rPr>
          <w:rFonts w:ascii="Times New Roman" w:hAnsi="Times New Roman" w:cs="Times New Roman"/>
          <w:sz w:val="24"/>
          <w:szCs w:val="24"/>
        </w:rPr>
        <w:tab/>
        <w:t xml:space="preserve">Let </w:t>
      </w:r>
      <m:oMath>
        <m:r>
          <m:rPr>
            <m:sty m:val="b"/>
          </m:rPr>
          <w:rPr>
            <w:rFonts w:ascii="Cambria Math" w:hAnsi="Cambria Math" w:cs="Times New Roman"/>
            <w:sz w:val="24"/>
            <w:szCs w:val="28"/>
          </w:rPr>
          <m:t>X</m:t>
        </m:r>
      </m:oMath>
      <w:r w:rsidRPr="00386CB8">
        <w:rPr>
          <w:rFonts w:ascii="Times New Roman" w:hAnsi="Times New Roman" w:cs="Times New Roman"/>
          <w:sz w:val="24"/>
          <w:szCs w:val="24"/>
        </w:rPr>
        <w:t xml:space="preserve"> be the </w:t>
      </w:r>
      <m:oMath>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nor/>
                  </m:rPr>
                  <w:rPr>
                    <w:rFonts w:ascii="Times New Roman" w:hAnsi="Times New Roman" w:cs="Times New Roman"/>
                    <w:sz w:val="24"/>
                    <w:szCs w:val="24"/>
                  </w:rPr>
                  <m:t>Enlon</m:t>
                </m:r>
              </m:sub>
            </m:sSub>
            <m:r>
              <m:rPr>
                <m:sty m:val="p"/>
              </m:rPr>
              <w:rPr>
                <w:rFonts w:ascii="Cambria Math" w:hAnsi="Cambria Math" w:cs="Times New Roman"/>
                <w:sz w:val="24"/>
                <w:szCs w:val="24"/>
              </w:rPr>
              <m:t>×p</m:t>
            </m:r>
          </m:e>
        </m:d>
      </m:oMath>
      <w:r w:rsidRPr="00386CB8">
        <w:rPr>
          <w:rFonts w:ascii="Times New Roman" w:hAnsi="Times New Roman" w:cs="Times New Roman"/>
          <w:sz w:val="24"/>
          <w:szCs w:val="24"/>
        </w:rPr>
        <w:t xml:space="preserve"> matrix of binary baseline characteristics observed in the Enlonstobart individual-patient data (IPD). </w:t>
      </w:r>
      <w:r w:rsidR="00713544" w:rsidRPr="00386CB8">
        <w:rPr>
          <w:rFonts w:ascii="Times New Roman" w:hAnsi="Times New Roman" w:cs="Times New Roman" w:hint="eastAsia"/>
          <w:sz w:val="24"/>
          <w:szCs w:val="24"/>
        </w:rPr>
        <w:t xml:space="preserve">To generate a pseudo-IPD dataset that preserves the dependence structure among covariates observed in </w:t>
      </w:r>
      <w:proofErr w:type="spellStart"/>
      <w:r w:rsidR="00E31D66">
        <w:rPr>
          <w:rFonts w:ascii="Times New Roman" w:hAnsi="Times New Roman" w:cs="Times New Roman" w:hint="eastAsia"/>
          <w:sz w:val="24"/>
          <w:szCs w:val="24"/>
        </w:rPr>
        <w:t>e</w:t>
      </w:r>
      <w:r w:rsidR="00713544" w:rsidRPr="00386CB8">
        <w:rPr>
          <w:rFonts w:ascii="Times New Roman" w:hAnsi="Times New Roman" w:cs="Times New Roman" w:hint="eastAsia"/>
          <w:sz w:val="24"/>
          <w:szCs w:val="24"/>
        </w:rPr>
        <w:t>nlonstobart</w:t>
      </w:r>
      <w:proofErr w:type="spellEnd"/>
      <w:r w:rsidR="00713544" w:rsidRPr="00386CB8">
        <w:rPr>
          <w:rFonts w:ascii="Times New Roman" w:hAnsi="Times New Roman" w:cs="Times New Roman" w:hint="eastAsia"/>
          <w:sz w:val="24"/>
          <w:szCs w:val="24"/>
        </w:rPr>
        <w:t xml:space="preserve"> while matching the marginal prevalences reported for </w:t>
      </w:r>
      <w:proofErr w:type="spellStart"/>
      <w:r w:rsidR="00E31D66">
        <w:rPr>
          <w:rFonts w:ascii="Times New Roman" w:hAnsi="Times New Roman" w:cs="Times New Roman" w:hint="eastAsia"/>
          <w:sz w:val="24"/>
          <w:szCs w:val="24"/>
        </w:rPr>
        <w:t>c</w:t>
      </w:r>
      <w:r w:rsidR="00713544" w:rsidRPr="00386CB8">
        <w:rPr>
          <w:rFonts w:ascii="Times New Roman" w:hAnsi="Times New Roman" w:cs="Times New Roman" w:hint="eastAsia"/>
          <w:sz w:val="24"/>
          <w:szCs w:val="24"/>
        </w:rPr>
        <w:t>amrelizumab</w:t>
      </w:r>
      <w:proofErr w:type="spellEnd"/>
      <w:r w:rsidR="00713544" w:rsidRPr="00386CB8">
        <w:rPr>
          <w:rFonts w:ascii="Times New Roman" w:hAnsi="Times New Roman" w:cs="Times New Roman" w:hint="eastAsia"/>
          <w:sz w:val="24"/>
          <w:szCs w:val="24"/>
        </w:rPr>
        <w:t xml:space="preserve">, we employed a two-stage approach. First, we fitted a Gaussian multivariate copula directly to the binary covariate matrix X using maximum likelihood estimation, which is the primary method of data reproduction. The Gaussian copula automatically captures the underlying dependence structure while appropriately handling discrete marginal distributions. From the fitted copula, we generated 54 synthetic covariate vectors that preserve the estimated correlation structure while allowing flexible marginal transformations. Second, we employed a fallback method using an enhanced multivariate normal approach when copula fitting encountered numerical difficulties. </w:t>
      </w:r>
      <w:r w:rsidR="003D6C5C" w:rsidRPr="00386CB8">
        <w:rPr>
          <w:rFonts w:ascii="Times New Roman" w:hAnsi="Times New Roman" w:cs="Times New Roman"/>
          <w:sz w:val="24"/>
          <w:szCs w:val="28"/>
        </w:rPr>
        <w:t xml:space="preserve">We computed the Spearman rank correlation matrix </w:t>
      </w:r>
      <m:oMath>
        <m:acc>
          <m:accPr>
            <m:ctrlPr>
              <w:rPr>
                <w:rFonts w:ascii="Cambria Math" w:hAnsi="Cambria Math" w:cs="Times New Roman"/>
                <w:sz w:val="24"/>
                <w:szCs w:val="28"/>
              </w:rPr>
            </m:ctrlPr>
          </m:accPr>
          <m:e>
            <m:sSub>
              <m:sSubPr>
                <m:ctrlPr>
                  <w:rPr>
                    <w:rFonts w:ascii="Cambria Math" w:hAnsi="Cambria Math" w:cs="Times New Roman"/>
                    <w:sz w:val="24"/>
                    <w:szCs w:val="28"/>
                  </w:rPr>
                </m:ctrlPr>
              </m:sSubPr>
              <m:e>
                <m:r>
                  <m:rPr>
                    <m:sty m:val="p"/>
                  </m:rPr>
                  <w:rPr>
                    <w:rFonts w:ascii="Cambria Math" w:hAnsi="Cambria Math" w:cs="Times New Roman"/>
                    <w:sz w:val="24"/>
                    <w:szCs w:val="28"/>
                  </w:rPr>
                  <m:t>Σ</m:t>
                </m:r>
              </m:e>
              <m:sub>
                <m:r>
                  <m:rPr>
                    <m:sty m:val="p"/>
                  </m:rPr>
                  <w:rPr>
                    <w:rFonts w:ascii="Cambria Math" w:hAnsi="Cambria Math" w:cs="Times New Roman"/>
                    <w:sz w:val="24"/>
                    <w:szCs w:val="28"/>
                  </w:rPr>
                  <m:t>S</m:t>
                </m:r>
              </m:sub>
            </m:sSub>
          </m:e>
        </m:acc>
      </m:oMath>
      <w:r w:rsidR="003D6C5C" w:rsidRPr="00386CB8">
        <w:rPr>
          <w:rFonts w:ascii="Times New Roman" w:hAnsi="Times New Roman" w:cs="Times New Roman"/>
          <w:sz w:val="24"/>
          <w:szCs w:val="28"/>
        </w:rPr>
        <w:t xml:space="preserve"> of </w:t>
      </w:r>
      <m:oMath>
        <m:r>
          <m:rPr>
            <m:sty m:val="b"/>
          </m:rPr>
          <w:rPr>
            <w:rFonts w:ascii="Cambria Math" w:hAnsi="Cambria Math" w:cs="Times New Roman"/>
            <w:sz w:val="24"/>
            <w:szCs w:val="28"/>
          </w:rPr>
          <m:t>X</m:t>
        </m:r>
      </m:oMath>
      <w:r w:rsidR="003D6C5C" w:rsidRPr="00386CB8">
        <w:rPr>
          <w:rFonts w:ascii="Times New Roman" w:hAnsi="Times New Roman" w:cs="Times New Roman"/>
          <w:sz w:val="24"/>
          <w:szCs w:val="28"/>
        </w:rPr>
        <w:t>, then ensured positive definiteness through eigenvalue decomposition and truncation:</w:t>
      </w:r>
    </w:p>
    <w:p w14:paraId="033E7AF6" w14:textId="0F395860" w:rsidR="003D6C5C" w:rsidRPr="00386CB8" w:rsidRDefault="00000000" w:rsidP="00933F3B">
      <w:pPr>
        <w:spacing w:line="276" w:lineRule="auto"/>
        <w:rPr>
          <w:rFonts w:ascii="Times New Roman" w:hAnsi="Times New Roman" w:cs="Times New Roman"/>
          <w:sz w:val="24"/>
          <w:szCs w:val="28"/>
        </w:rPr>
      </w:pPr>
      <m:oMathPara>
        <m:oMath>
          <m:acc>
            <m:accPr>
              <m:ctrlPr>
                <w:rPr>
                  <w:rFonts w:ascii="Cambria Math" w:hAnsi="Cambria Math" w:cs="Times New Roman"/>
                  <w:sz w:val="24"/>
                  <w:szCs w:val="28"/>
                </w:rPr>
              </m:ctrlPr>
            </m:accPr>
            <m:e>
              <m:sSub>
                <m:sSubPr>
                  <m:ctrlPr>
                    <w:rPr>
                      <w:rFonts w:ascii="Cambria Math" w:hAnsi="Cambria Math" w:cs="Times New Roman"/>
                      <w:sz w:val="24"/>
                      <w:szCs w:val="28"/>
                    </w:rPr>
                  </m:ctrlPr>
                </m:sSubPr>
                <m:e>
                  <m:r>
                    <m:rPr>
                      <m:sty m:val="p"/>
                    </m:rPr>
                    <w:rPr>
                      <w:rFonts w:ascii="Cambria Math" w:hAnsi="Cambria Math" w:cs="Times New Roman"/>
                      <w:sz w:val="24"/>
                      <w:szCs w:val="28"/>
                    </w:rPr>
                    <m:t>Σ</m:t>
                  </m:r>
                </m:e>
                <m:sub>
                  <m:r>
                    <m:rPr>
                      <m:sty m:val="p"/>
                    </m:rPr>
                    <w:rPr>
                      <w:rFonts w:ascii="Cambria Math" w:hAnsi="Cambria Math" w:cs="Times New Roman"/>
                      <w:sz w:val="24"/>
                      <w:szCs w:val="28"/>
                    </w:rPr>
                    <m:t>S</m:t>
                  </m:r>
                </m:sub>
              </m:sSub>
            </m:e>
          </m:acc>
          <m:r>
            <m:rPr>
              <m:sty m:val="p"/>
            </m:rPr>
            <w:rPr>
              <w:rFonts w:ascii="Cambria Math" w:hAnsi="Cambria Math" w:cs="Times New Roman"/>
              <w:sz w:val="24"/>
              <w:szCs w:val="28"/>
            </w:rPr>
            <m:t>=</m:t>
          </m:r>
          <m:r>
            <m:rPr>
              <m:sty m:val="b"/>
            </m:rPr>
            <w:rPr>
              <w:rFonts w:ascii="Cambria Math" w:hAnsi="Cambria Math" w:cs="Times New Roman"/>
              <w:sz w:val="24"/>
              <w:szCs w:val="28"/>
            </w:rPr>
            <m:t>VΛ</m:t>
          </m:r>
          <m:sSup>
            <m:sSupPr>
              <m:ctrlPr>
                <w:rPr>
                  <w:rFonts w:ascii="Cambria Math" w:hAnsi="Cambria Math" w:cs="Times New Roman"/>
                  <w:sz w:val="24"/>
                  <w:szCs w:val="28"/>
                </w:rPr>
              </m:ctrlPr>
            </m:sSupPr>
            <m:e>
              <m:r>
                <m:rPr>
                  <m:sty m:val="b"/>
                </m:rPr>
                <w:rPr>
                  <w:rFonts w:ascii="Cambria Math" w:hAnsi="Cambria Math" w:cs="Times New Roman"/>
                  <w:sz w:val="24"/>
                  <w:szCs w:val="28"/>
                </w:rPr>
                <m:t>V</m:t>
              </m:r>
            </m:e>
            <m:sup>
              <m:r>
                <m:rPr>
                  <m:sty m:val="b"/>
                </m:rPr>
                <w:rPr>
                  <w:rFonts w:ascii="Cambria Math" w:hAnsi="Cambria Math" w:cs="Times New Roman"/>
                  <w:sz w:val="24"/>
                  <w:szCs w:val="28"/>
                </w:rPr>
                <m:t>T</m:t>
              </m:r>
            </m:sup>
          </m:sSup>
        </m:oMath>
      </m:oMathPara>
    </w:p>
    <w:p w14:paraId="0EFFE039" w14:textId="77777777" w:rsidR="003D6C5C" w:rsidRPr="00386CB8" w:rsidRDefault="003D6C5C" w:rsidP="00933F3B">
      <w:pPr>
        <w:spacing w:line="276" w:lineRule="auto"/>
        <w:rPr>
          <w:rFonts w:ascii="Times New Roman" w:hAnsi="Times New Roman" w:cs="Times New Roman"/>
          <w:sz w:val="24"/>
          <w:szCs w:val="28"/>
        </w:rPr>
      </w:pPr>
    </w:p>
    <w:p w14:paraId="0949AEAC" w14:textId="1C297980" w:rsidR="003D6C5C" w:rsidRPr="00386CB8" w:rsidRDefault="003D6C5C" w:rsidP="00933F3B">
      <w:pPr>
        <w:spacing w:line="276" w:lineRule="auto"/>
        <w:rPr>
          <w:rFonts w:ascii="Times New Roman" w:hAnsi="Times New Roman" w:cs="Times New Roman"/>
          <w:sz w:val="24"/>
          <w:szCs w:val="28"/>
        </w:rPr>
      </w:pPr>
      <w:r w:rsidRPr="00386CB8">
        <w:rPr>
          <w:rFonts w:ascii="Times New Roman" w:hAnsi="Times New Roman" w:cs="Times New Roman"/>
          <w:sz w:val="24"/>
          <w:szCs w:val="28"/>
        </w:rPr>
        <w:t xml:space="preserve">where </w:t>
      </w:r>
      <m:oMath>
        <m:r>
          <m:rPr>
            <m:sty m:val="b"/>
          </m:rPr>
          <w:rPr>
            <w:rFonts w:ascii="Cambria Math" w:hAnsi="Cambria Math" w:cs="Times New Roman"/>
            <w:sz w:val="24"/>
            <w:szCs w:val="28"/>
          </w:rPr>
          <m:t>V</m:t>
        </m:r>
      </m:oMath>
      <w:r w:rsidRPr="00386CB8">
        <w:rPr>
          <w:rFonts w:ascii="Times New Roman" w:hAnsi="Times New Roman" w:cs="Times New Roman"/>
          <w:sz w:val="24"/>
          <w:szCs w:val="28"/>
        </w:rPr>
        <w:t xml:space="preserve"> contains the eigenvectors and </w:t>
      </w:r>
      <m:oMath>
        <m:r>
          <m:rPr>
            <m:sty m:val="b"/>
          </m:rPr>
          <w:rPr>
            <w:rFonts w:ascii="Cambria Math" w:hAnsi="Cambria Math" w:cs="Times New Roman"/>
            <w:sz w:val="24"/>
            <w:szCs w:val="28"/>
          </w:rPr>
          <m:t>Λ</m:t>
        </m:r>
      </m:oMath>
      <w:r w:rsidRPr="00386CB8">
        <w:rPr>
          <w:rFonts w:ascii="Times New Roman" w:hAnsi="Times New Roman" w:cs="Times New Roman"/>
          <w:sz w:val="24"/>
          <w:szCs w:val="28"/>
        </w:rPr>
        <w:t xml:space="preserve"> is the diagonal matrix of eigenvalues. To ensure positive definiteness, we constructed:</w:t>
      </w:r>
    </w:p>
    <w:p w14:paraId="6ABEBD4C" w14:textId="7CF7C243" w:rsidR="003D6C5C" w:rsidRPr="00386CB8" w:rsidRDefault="00000000" w:rsidP="00933F3B">
      <w:pPr>
        <w:spacing w:line="276" w:lineRule="auto"/>
        <w:rPr>
          <w:rFonts w:ascii="Cambria Math" w:hAnsi="Cambria Math" w:cs="Times New Roman"/>
          <w:sz w:val="24"/>
          <w:szCs w:val="28"/>
        </w:rPr>
      </w:pPr>
      <m:oMathPara>
        <m:oMath>
          <m:sSub>
            <m:sSubPr>
              <m:ctrlPr>
                <w:rPr>
                  <w:rFonts w:ascii="Cambria Math" w:hAnsi="Cambria Math" w:cs="Times New Roman"/>
                  <w:sz w:val="24"/>
                  <w:szCs w:val="28"/>
                </w:rPr>
              </m:ctrlPr>
            </m:sSubPr>
            <m:e>
              <m:acc>
                <m:accPr>
                  <m:ctrlPr>
                    <w:rPr>
                      <w:rFonts w:ascii="Cambria Math" w:hAnsi="Cambria Math" w:cs="Times New Roman"/>
                      <w:sz w:val="24"/>
                      <w:szCs w:val="28"/>
                    </w:rPr>
                  </m:ctrlPr>
                </m:accPr>
                <m:e>
                  <m:r>
                    <m:rPr>
                      <m:sty m:val="p"/>
                    </m:rPr>
                    <w:rPr>
                      <w:rFonts w:ascii="Cambria Math" w:hAnsi="Cambria Math" w:cs="Times New Roman"/>
                      <w:sz w:val="24"/>
                      <w:szCs w:val="28"/>
                    </w:rPr>
                    <m:t>Σ</m:t>
                  </m:r>
                </m:e>
              </m:acc>
            </m:e>
            <m:sub>
              <m:r>
                <m:rPr>
                  <m:sty m:val="p"/>
                </m:rPr>
                <w:rPr>
                  <w:rFonts w:ascii="Cambria Math" w:hAnsi="Cambria Math" w:cs="Times New Roman"/>
                  <w:sz w:val="24"/>
                  <w:szCs w:val="28"/>
                </w:rPr>
                <m:t>S,</m:t>
              </m:r>
              <m:r>
                <m:rPr>
                  <m:nor/>
                </m:rPr>
                <w:rPr>
                  <w:rFonts w:ascii="Cambria Math" w:hAnsi="Cambria Math" w:cs="Times New Roman"/>
                  <w:sz w:val="24"/>
                  <w:szCs w:val="28"/>
                </w:rPr>
                <m:t>fixed</m:t>
              </m:r>
            </m:sub>
          </m:sSub>
          <m:r>
            <m:rPr>
              <m:sty m:val="p"/>
            </m:rPr>
            <w:rPr>
              <w:rFonts w:ascii="Cambria Math" w:hAnsi="Cambria Math" w:cs="Times New Roman"/>
              <w:sz w:val="24"/>
              <w:szCs w:val="28"/>
            </w:rPr>
            <m:t>=</m:t>
          </m:r>
          <m:r>
            <m:rPr>
              <m:sty m:val="b"/>
            </m:rPr>
            <w:rPr>
              <w:rFonts w:ascii="Cambria Math" w:hAnsi="Cambria Math" w:cs="Times New Roman"/>
              <w:sz w:val="24"/>
              <w:szCs w:val="28"/>
            </w:rPr>
            <m:t>V</m:t>
          </m:r>
          <m:sSub>
            <m:sSubPr>
              <m:ctrlPr>
                <w:rPr>
                  <w:rFonts w:ascii="Cambria Math" w:hAnsi="Cambria Math" w:cs="Times New Roman"/>
                  <w:b/>
                  <w:bCs/>
                  <w:sz w:val="24"/>
                  <w:szCs w:val="28"/>
                </w:rPr>
              </m:ctrlPr>
            </m:sSubPr>
            <m:e>
              <m:r>
                <m:rPr>
                  <m:sty m:val="b"/>
                </m:rPr>
                <w:rPr>
                  <w:rFonts w:ascii="Cambria Math" w:hAnsi="Cambria Math" w:cs="Times New Roman"/>
                  <w:sz w:val="24"/>
                  <w:szCs w:val="28"/>
                </w:rPr>
                <m:t>Λ</m:t>
              </m:r>
            </m:e>
            <m:sub>
              <m:r>
                <m:rPr>
                  <m:nor/>
                </m:rPr>
                <w:rPr>
                  <w:rFonts w:ascii="Cambria Math" w:hAnsi="Cambria Math" w:cs="Times New Roman"/>
                  <w:sz w:val="24"/>
                  <w:szCs w:val="28"/>
                </w:rPr>
                <m:t>fixed</m:t>
              </m:r>
            </m:sub>
          </m:sSub>
          <m:sSup>
            <m:sSupPr>
              <m:ctrlPr>
                <w:rPr>
                  <w:rFonts w:ascii="Cambria Math" w:hAnsi="Cambria Math" w:cs="Times New Roman"/>
                  <w:sz w:val="24"/>
                  <w:szCs w:val="28"/>
                </w:rPr>
              </m:ctrlPr>
            </m:sSupPr>
            <m:e>
              <m:r>
                <m:rPr>
                  <m:sty m:val="b"/>
                </m:rPr>
                <w:rPr>
                  <w:rFonts w:ascii="Cambria Math" w:hAnsi="Cambria Math" w:cs="Times New Roman"/>
                  <w:sz w:val="24"/>
                  <w:szCs w:val="28"/>
                </w:rPr>
                <m:t>V</m:t>
              </m:r>
            </m:e>
            <m:sup>
              <m:r>
                <m:rPr>
                  <m:sty m:val="b"/>
                </m:rPr>
                <w:rPr>
                  <w:rFonts w:ascii="Cambria Math" w:hAnsi="Cambria Math" w:cs="Times New Roman"/>
                  <w:sz w:val="24"/>
                  <w:szCs w:val="28"/>
                </w:rPr>
                <m:t>T</m:t>
              </m:r>
            </m:sup>
          </m:sSup>
        </m:oMath>
      </m:oMathPara>
    </w:p>
    <w:p w14:paraId="3270EB05" w14:textId="7065C885" w:rsidR="003D6C5C" w:rsidRPr="00386CB8" w:rsidRDefault="003D6C5C" w:rsidP="00933F3B">
      <w:pPr>
        <w:spacing w:line="276" w:lineRule="auto"/>
        <w:rPr>
          <w:rFonts w:ascii="Times New Roman" w:hAnsi="Times New Roman" w:cs="Times New Roman"/>
          <w:sz w:val="24"/>
          <w:szCs w:val="28"/>
        </w:rPr>
      </w:pPr>
      <w:r w:rsidRPr="00386CB8">
        <w:rPr>
          <w:rFonts w:ascii="Times New Roman" w:hAnsi="Times New Roman" w:cs="Times New Roman"/>
          <w:sz w:val="24"/>
          <w:szCs w:val="28"/>
        </w:rPr>
        <w:t xml:space="preserve">where </w:t>
      </w:r>
      <m:oMath>
        <m:sSub>
          <m:sSubPr>
            <m:ctrlPr>
              <w:rPr>
                <w:rFonts w:ascii="Cambria Math" w:hAnsi="Cambria Math" w:cs="Times New Roman"/>
                <w:b/>
                <w:bCs/>
                <w:sz w:val="24"/>
                <w:szCs w:val="28"/>
              </w:rPr>
            </m:ctrlPr>
          </m:sSubPr>
          <m:e>
            <m:r>
              <m:rPr>
                <m:sty m:val="b"/>
              </m:rPr>
              <w:rPr>
                <w:rFonts w:ascii="Cambria Math" w:hAnsi="Cambria Math" w:cs="Times New Roman"/>
                <w:sz w:val="24"/>
                <w:szCs w:val="28"/>
              </w:rPr>
              <m:t>Λ</m:t>
            </m:r>
          </m:e>
          <m:sub>
            <m:r>
              <m:rPr>
                <m:nor/>
              </m:rPr>
              <w:rPr>
                <w:rFonts w:ascii="Cambria Math" w:hAnsi="Cambria Math" w:cs="Times New Roman"/>
                <w:sz w:val="24"/>
                <w:szCs w:val="28"/>
              </w:rPr>
              <m:t>fixed</m:t>
            </m:r>
          </m:sub>
        </m:sSub>
        <m:r>
          <m:rPr>
            <m:sty m:val="p"/>
          </m:rPr>
          <w:rPr>
            <w:rFonts w:ascii="Cambria Math" w:hAnsi="Cambria Math" w:cs="Times New Roman"/>
            <w:sz w:val="24"/>
            <w:szCs w:val="28"/>
          </w:rPr>
          <m:t>=</m:t>
        </m:r>
        <m:func>
          <m:funcPr>
            <m:ctrlPr>
              <w:rPr>
                <w:rFonts w:ascii="Cambria Math" w:hAnsi="Cambria Math" w:cs="Times New Roman"/>
                <w:sz w:val="24"/>
                <w:szCs w:val="28"/>
              </w:rPr>
            </m:ctrlPr>
          </m:funcPr>
          <m:fName>
            <m:r>
              <m:rPr>
                <m:sty m:val="p"/>
              </m:rPr>
              <w:rPr>
                <w:rFonts w:ascii="Cambria Math" w:hAnsi="Cambria Math" w:cs="Times New Roman"/>
                <w:sz w:val="24"/>
                <w:szCs w:val="28"/>
              </w:rPr>
              <m:t>max</m:t>
            </m:r>
          </m:fName>
          <m:e>
            <m:d>
              <m:dPr>
                <m:ctrlPr>
                  <w:rPr>
                    <w:rFonts w:ascii="Cambria Math" w:hAnsi="Cambria Math" w:cs="Times New Roman"/>
                    <w:sz w:val="24"/>
                    <w:szCs w:val="28"/>
                  </w:rPr>
                </m:ctrlPr>
              </m:dPr>
              <m:e>
                <m:r>
                  <m:rPr>
                    <m:sty m:val="p"/>
                  </m:rPr>
                  <w:rPr>
                    <w:rFonts w:ascii="Cambria Math" w:hAnsi="Cambria Math" w:cs="Times New Roman"/>
                    <w:sz w:val="24"/>
                    <w:szCs w:val="28"/>
                  </w:rPr>
                  <m:t>Λ,εI</m:t>
                </m:r>
              </m:e>
            </m:d>
          </m:e>
        </m:func>
        <m:r>
          <m:rPr>
            <m:sty m:val="p"/>
          </m:rPr>
          <w:rPr>
            <w:rFonts w:ascii="Cambria Math" w:hAnsi="Cambria Math" w:cs="Times New Roman"/>
            <w:sz w:val="24"/>
            <w:szCs w:val="28"/>
          </w:rPr>
          <m:t>with ε=</m:t>
        </m:r>
        <m:sSup>
          <m:sSupPr>
            <m:ctrlPr>
              <w:rPr>
                <w:rFonts w:ascii="Cambria Math" w:hAnsi="Cambria Math" w:cs="Times New Roman"/>
                <w:sz w:val="24"/>
                <w:szCs w:val="28"/>
              </w:rPr>
            </m:ctrlPr>
          </m:sSupPr>
          <m:e>
            <m:r>
              <m:rPr>
                <m:sty m:val="p"/>
              </m:rPr>
              <w:rPr>
                <w:rFonts w:ascii="Cambria Math" w:hAnsi="Cambria Math" w:cs="Times New Roman"/>
                <w:sz w:val="24"/>
                <w:szCs w:val="28"/>
              </w:rPr>
              <m:t>10</m:t>
            </m:r>
          </m:e>
          <m:sup>
            <m:r>
              <m:rPr>
                <m:sty m:val="p"/>
              </m:rPr>
              <w:rPr>
                <w:rFonts w:ascii="Cambria Math" w:hAnsi="Cambria Math" w:cs="Times New Roman"/>
                <w:sz w:val="24"/>
                <w:szCs w:val="28"/>
              </w:rPr>
              <m:t>-8</m:t>
            </m:r>
          </m:sup>
        </m:sSup>
      </m:oMath>
      <w:r w:rsidRPr="00386CB8">
        <w:rPr>
          <w:rFonts w:ascii="Times New Roman" w:hAnsi="Times New Roman" w:cs="Times New Roman"/>
          <w:sz w:val="24"/>
          <w:szCs w:val="28"/>
        </w:rPr>
        <w:t>.</w:t>
      </w:r>
    </w:p>
    <w:p w14:paraId="6B2BA63A" w14:textId="04076DBE" w:rsidR="00713544" w:rsidRPr="00386CB8" w:rsidRDefault="00933F3B" w:rsidP="00933F3B">
      <w:pPr>
        <w:widowControl/>
        <w:spacing w:line="276" w:lineRule="auto"/>
        <w:jc w:val="left"/>
        <w:rPr>
          <w:rFonts w:ascii="Times New Roman" w:hAnsi="Times New Roman" w:cs="Times New Roman"/>
          <w:sz w:val="24"/>
          <w:szCs w:val="24"/>
        </w:rPr>
      </w:pPr>
      <w:r w:rsidRPr="00386CB8">
        <w:rPr>
          <w:rFonts w:ascii="Times New Roman" w:hAnsi="Times New Roman" w:cs="Times New Roman"/>
          <w:sz w:val="24"/>
          <w:szCs w:val="24"/>
        </w:rPr>
        <w:tab/>
      </w:r>
      <w:r w:rsidRPr="00386CB8">
        <w:rPr>
          <w:rFonts w:ascii="Times New Roman" w:hAnsi="Times New Roman" w:cs="Times New Roman" w:hint="eastAsia"/>
          <w:sz w:val="24"/>
          <w:szCs w:val="24"/>
        </w:rPr>
        <w:t xml:space="preserve">Both approaches preserve the monotonic rank-order relationships among covariates (ensuring correlation structure preservation) while achieving exact marginal prevalence matching through the probability integral transformation. The 54 synthetic patients constitute a single imputed dataset representing the </w:t>
      </w:r>
      <w:proofErr w:type="spellStart"/>
      <w:r w:rsidR="00E31D66">
        <w:rPr>
          <w:rFonts w:ascii="Times New Roman" w:hAnsi="Times New Roman" w:cs="Times New Roman" w:hint="eastAsia"/>
          <w:sz w:val="24"/>
          <w:szCs w:val="24"/>
        </w:rPr>
        <w:t>c</w:t>
      </w:r>
      <w:r w:rsidRPr="00386CB8">
        <w:rPr>
          <w:rFonts w:ascii="Times New Roman" w:hAnsi="Times New Roman" w:cs="Times New Roman" w:hint="eastAsia"/>
          <w:sz w:val="24"/>
          <w:szCs w:val="24"/>
        </w:rPr>
        <w:t>amrelizumab</w:t>
      </w:r>
      <w:proofErr w:type="spellEnd"/>
      <w:r w:rsidRPr="00386CB8">
        <w:rPr>
          <w:rFonts w:ascii="Times New Roman" w:hAnsi="Times New Roman" w:cs="Times New Roman" w:hint="eastAsia"/>
          <w:sz w:val="24"/>
          <w:szCs w:val="24"/>
        </w:rPr>
        <w:t xml:space="preserve"> population under the working assumption that baseline covariate correlations observed in </w:t>
      </w:r>
      <w:proofErr w:type="spellStart"/>
      <w:r w:rsidR="00E31D66">
        <w:rPr>
          <w:rFonts w:ascii="Times New Roman" w:hAnsi="Times New Roman" w:cs="Times New Roman" w:hint="eastAsia"/>
          <w:sz w:val="24"/>
          <w:szCs w:val="24"/>
        </w:rPr>
        <w:t>e</w:t>
      </w:r>
      <w:r w:rsidRPr="00386CB8">
        <w:rPr>
          <w:rFonts w:ascii="Times New Roman" w:hAnsi="Times New Roman" w:cs="Times New Roman" w:hint="eastAsia"/>
          <w:sz w:val="24"/>
          <w:szCs w:val="24"/>
        </w:rPr>
        <w:t>nlonstobart</w:t>
      </w:r>
      <w:proofErr w:type="spellEnd"/>
      <w:r w:rsidRPr="00386CB8">
        <w:rPr>
          <w:rFonts w:ascii="Times New Roman" w:hAnsi="Times New Roman" w:cs="Times New Roman" w:hint="eastAsia"/>
          <w:sz w:val="24"/>
          <w:szCs w:val="24"/>
        </w:rPr>
        <w:t xml:space="preserve"> also characterize the </w:t>
      </w:r>
      <w:proofErr w:type="spellStart"/>
      <w:r w:rsidR="00E31D66">
        <w:rPr>
          <w:rFonts w:ascii="Times New Roman" w:hAnsi="Times New Roman" w:cs="Times New Roman" w:hint="eastAsia"/>
          <w:sz w:val="24"/>
          <w:szCs w:val="24"/>
        </w:rPr>
        <w:t>c</w:t>
      </w:r>
      <w:r w:rsidRPr="00386CB8">
        <w:rPr>
          <w:rFonts w:ascii="Times New Roman" w:hAnsi="Times New Roman" w:cs="Times New Roman" w:hint="eastAsia"/>
          <w:sz w:val="24"/>
          <w:szCs w:val="24"/>
        </w:rPr>
        <w:t>amrelizumab</w:t>
      </w:r>
      <w:proofErr w:type="spellEnd"/>
      <w:r w:rsidRPr="00386CB8">
        <w:rPr>
          <w:rFonts w:ascii="Times New Roman" w:hAnsi="Times New Roman" w:cs="Times New Roman" w:hint="eastAsia"/>
          <w:sz w:val="24"/>
          <w:szCs w:val="24"/>
        </w:rPr>
        <w:t xml:space="preserve"> trial population.</w:t>
      </w:r>
    </w:p>
    <w:p w14:paraId="01B23739" w14:textId="77777777" w:rsidR="00DD25C0" w:rsidRPr="00386CB8" w:rsidRDefault="00DD25C0" w:rsidP="00DD25C0">
      <w:pPr>
        <w:spacing w:line="276" w:lineRule="auto"/>
        <w:rPr>
          <w:rFonts w:ascii="Times New Roman" w:hAnsi="Times New Roman" w:cs="Times New Roman"/>
          <w:sz w:val="24"/>
          <w:szCs w:val="24"/>
        </w:rPr>
      </w:pPr>
    </w:p>
    <w:p w14:paraId="2CFD2939" w14:textId="234DB843" w:rsidR="00DD25C0" w:rsidRPr="00386CB8" w:rsidRDefault="00DD25C0" w:rsidP="00DD25C0">
      <w:pPr>
        <w:spacing w:line="276" w:lineRule="auto"/>
        <w:rPr>
          <w:rFonts w:ascii="Times New Roman" w:hAnsi="Times New Roman" w:cs="Times New Roman"/>
          <w:sz w:val="24"/>
          <w:szCs w:val="24"/>
        </w:rPr>
      </w:pPr>
      <w:r w:rsidRPr="00386CB8">
        <w:rPr>
          <w:rFonts w:ascii="Times New Roman" w:hAnsi="Times New Roman" w:cs="Times New Roman"/>
          <w:sz w:val="24"/>
          <w:szCs w:val="24"/>
        </w:rPr>
        <w:t xml:space="preserve">Parametric modelling of survival for </w:t>
      </w:r>
      <w:proofErr w:type="spellStart"/>
      <w:r w:rsidR="00E31D66">
        <w:rPr>
          <w:rFonts w:ascii="Times New Roman" w:hAnsi="Times New Roman" w:cs="Times New Roman" w:hint="eastAsia"/>
          <w:sz w:val="24"/>
          <w:szCs w:val="24"/>
        </w:rPr>
        <w:t>e</w:t>
      </w:r>
      <w:r w:rsidRPr="00386CB8">
        <w:rPr>
          <w:rFonts w:ascii="Times New Roman" w:hAnsi="Times New Roman" w:cs="Times New Roman"/>
          <w:sz w:val="24"/>
          <w:szCs w:val="24"/>
        </w:rPr>
        <w:t>nlonstobart</w:t>
      </w:r>
      <w:proofErr w:type="spellEnd"/>
      <w:r w:rsidRPr="00386CB8">
        <w:rPr>
          <w:rFonts w:ascii="Times New Roman" w:hAnsi="Times New Roman" w:cs="Times New Roman"/>
          <w:sz w:val="24"/>
          <w:szCs w:val="24"/>
        </w:rPr>
        <w:t xml:space="preserve"> and </w:t>
      </w:r>
      <w:proofErr w:type="spellStart"/>
      <w:r w:rsidR="00E31D66">
        <w:rPr>
          <w:rFonts w:ascii="Times New Roman" w:hAnsi="Times New Roman" w:cs="Times New Roman" w:hint="eastAsia"/>
          <w:sz w:val="24"/>
          <w:szCs w:val="24"/>
        </w:rPr>
        <w:t>c</w:t>
      </w:r>
      <w:r w:rsidRPr="00386CB8">
        <w:rPr>
          <w:rFonts w:ascii="Times New Roman" w:hAnsi="Times New Roman" w:cs="Times New Roman"/>
          <w:sz w:val="24"/>
          <w:szCs w:val="24"/>
        </w:rPr>
        <w:t>amrelizumab</w:t>
      </w:r>
      <w:proofErr w:type="spellEnd"/>
      <w:r w:rsidRPr="00386CB8">
        <w:rPr>
          <w:rFonts w:ascii="Times New Roman" w:hAnsi="Times New Roman" w:cs="Times New Roman"/>
          <w:sz w:val="24"/>
          <w:szCs w:val="24"/>
        </w:rPr>
        <w:br/>
      </w:r>
      <w:r w:rsidRPr="00386CB8">
        <w:rPr>
          <w:rFonts w:ascii="Times New Roman" w:hAnsi="Times New Roman" w:cs="Times New Roman"/>
          <w:sz w:val="24"/>
          <w:szCs w:val="24"/>
        </w:rPr>
        <w:tab/>
        <w:t xml:space="preserve">Progression-free survival (PFS) and overall survival (OS) in the </w:t>
      </w:r>
      <w:proofErr w:type="spellStart"/>
      <w:r w:rsidR="00E31D66">
        <w:rPr>
          <w:rFonts w:ascii="Times New Roman" w:hAnsi="Times New Roman" w:cs="Times New Roman" w:hint="eastAsia"/>
          <w:sz w:val="24"/>
          <w:szCs w:val="24"/>
        </w:rPr>
        <w:t>e</w:t>
      </w:r>
      <w:r w:rsidRPr="00386CB8">
        <w:rPr>
          <w:rFonts w:ascii="Times New Roman" w:hAnsi="Times New Roman" w:cs="Times New Roman"/>
          <w:sz w:val="24"/>
          <w:szCs w:val="24"/>
        </w:rPr>
        <w:t>nlonstobart</w:t>
      </w:r>
      <w:proofErr w:type="spellEnd"/>
      <w:r w:rsidRPr="00386CB8">
        <w:rPr>
          <w:rFonts w:ascii="Times New Roman" w:hAnsi="Times New Roman" w:cs="Times New Roman"/>
          <w:sz w:val="24"/>
          <w:szCs w:val="24"/>
        </w:rPr>
        <w:t xml:space="preserve"> IPD were each fitted with a Weibull accelerated-failure-time (AFT) model,</w:t>
      </w:r>
      <w:r w:rsidRPr="00386CB8">
        <w:rPr>
          <w:rFonts w:ascii="Times New Roman" w:hAnsi="Times New Roman" w:cs="Times New Roman"/>
          <w:sz w:val="24"/>
          <w:szCs w:val="24"/>
        </w:rPr>
        <w:br/>
      </w:r>
      <m:oMathPara>
        <m:oMath>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T</m:t>
              </m:r>
            </m:e>
          </m:func>
          <m:r>
            <m:rPr>
              <m:sty m:val="p"/>
            </m:rPr>
            <w:rPr>
              <w:rFonts w:ascii="Cambria Math" w:hAnsi="Cambria Math" w:cs="Times New Roman"/>
              <w:sz w:val="24"/>
              <w:szCs w:val="24"/>
            </w:rPr>
            <m:t>=μ+</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β+σW,</m:t>
          </m:r>
          <m:r>
            <m:rPr>
              <m:sty m:val="p"/>
            </m:rPr>
            <w:rPr>
              <w:rFonts w:ascii="Cambria Math" w:hAnsi="Cambria Math" w:cs="Times New Roman"/>
              <w:sz w:val="24"/>
              <w:szCs w:val="24"/>
            </w:rPr>
            <w:br/>
          </m:r>
        </m:oMath>
      </m:oMathPara>
      <w:r w:rsidRPr="00386CB8">
        <w:rPr>
          <w:rFonts w:ascii="Times New Roman" w:hAnsi="Times New Roman" w:cs="Times New Roman"/>
          <w:sz w:val="24"/>
          <w:szCs w:val="24"/>
        </w:rPr>
        <w:t xml:space="preserve">where </w:t>
      </w:r>
      <m:oMath>
        <m:r>
          <m:rPr>
            <m:sty m:val="p"/>
          </m:rPr>
          <w:rPr>
            <w:rFonts w:ascii="Cambria Math" w:hAnsi="Cambria Math" w:cs="Times New Roman"/>
            <w:sz w:val="24"/>
            <w:szCs w:val="24"/>
          </w:rPr>
          <m:t>W</m:t>
        </m:r>
      </m:oMath>
      <w:r w:rsidRPr="00386CB8">
        <w:rPr>
          <w:rFonts w:ascii="Times New Roman" w:hAnsi="Times New Roman" w:cs="Times New Roman"/>
          <w:sz w:val="24"/>
          <w:szCs w:val="24"/>
        </w:rPr>
        <w:t xml:space="preserve"> is a standard Gumbel variate. The AFT parameters were algebraically converted to the proportional-hazards (PH) representation</w:t>
      </w:r>
      <w:r w:rsidRPr="00386CB8">
        <w:rPr>
          <w:rFonts w:ascii="Times New Roman" w:hAnsi="Times New Roman" w:cs="Times New Roman"/>
          <w:sz w:val="24"/>
          <w:szCs w:val="24"/>
        </w:rPr>
        <w:br/>
      </w: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Enlon</m:t>
              </m:r>
            </m:sub>
          </m:sSub>
          <m:d>
            <m:dPr>
              <m:ctrlPr>
                <w:rPr>
                  <w:rFonts w:ascii="Cambria Math" w:hAnsi="Cambria Math" w:cs="Times New Roman"/>
                  <w:sz w:val="24"/>
                  <w:szCs w:val="24"/>
                </w:rPr>
              </m:ctrlPr>
            </m:dPr>
            <m:e>
              <m:r>
                <m:rPr>
                  <m:sty m:val="p"/>
                </m:rPr>
                <w:rPr>
                  <w:rFonts w:ascii="Cambria Math" w:hAnsi="Cambria Math" w:cs="Times New Roman"/>
                  <w:sz w:val="24"/>
                  <w:szCs w:val="24"/>
                </w:rPr>
                <m:t>t∣x</m:t>
              </m:r>
            </m:e>
          </m:d>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ρ</m:t>
              </m:r>
            </m:sup>
          </m:sSup>
          <m:r>
            <m:rPr>
              <m:sty m:val="p"/>
            </m:rPr>
            <w:rPr>
              <w:rFonts w:ascii="Cambria Math" w:hAnsi="Cambria Math" w:cs="Times New Roman"/>
              <w:sz w:val="24"/>
              <w:szCs w:val="24"/>
            </w:rPr>
            <m:t>exp</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γ</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γ</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x</m:t>
              </m:r>
            </m:e>
          </m:d>
          <m:r>
            <m:rPr>
              <m:sty m:val="p"/>
            </m:rPr>
            <w:rPr>
              <w:rFonts w:ascii="Cambria Math" w:hAnsi="Cambria Math" w:cs="Times New Roman"/>
              <w:sz w:val="24"/>
              <w:szCs w:val="24"/>
            </w:rPr>
            <m:t>,</m:t>
          </m:r>
        </m:oMath>
      </m:oMathPara>
    </w:p>
    <w:p w14:paraId="07234D4C" w14:textId="13038C02" w:rsidR="00DD25C0" w:rsidRPr="00386CB8" w:rsidRDefault="00386CB8" w:rsidP="00DD25C0">
      <w:pPr>
        <w:spacing w:line="276" w:lineRule="auto"/>
        <w:rPr>
          <w:rFonts w:ascii="Times New Roman" w:hAnsi="Times New Roman" w:cs="Times New Roman"/>
          <w:sz w:val="24"/>
          <w:szCs w:val="24"/>
        </w:rPr>
      </w:pPr>
      <m:oMathPara>
        <m:oMath>
          <m:r>
            <m:rPr>
              <m:sty m:val="p"/>
            </m:rPr>
            <w:rPr>
              <w:rFonts w:ascii="Cambria Math" w:hAnsi="Cambria Math" w:cs="Times New Roman"/>
              <w:sz w:val="24"/>
              <w:szCs w:val="24"/>
            </w:rPr>
            <m:t>ρ=1/σ,γ=-ρβ,</m:t>
          </m:r>
          <m:sSub>
            <m:sSubPr>
              <m:ctrlPr>
                <w:rPr>
                  <w:rFonts w:ascii="Cambria Math" w:hAnsi="Cambria Math" w:cs="Times New Roman"/>
                  <w:sz w:val="24"/>
                  <w:szCs w:val="24"/>
                </w:rPr>
              </m:ctrlPr>
            </m:sSubPr>
            <m:e>
              <m:r>
                <m:rPr>
                  <m:sty m:val="p"/>
                </m:rPr>
                <w:rPr>
                  <w:rFonts w:ascii="Cambria Math" w:hAnsi="Cambria Math" w:cs="Times New Roman"/>
                  <w:sz w:val="24"/>
                  <w:szCs w:val="24"/>
                </w:rPr>
                <m:t>γ</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=-ρμ,</m:t>
          </m:r>
        </m:oMath>
      </m:oMathPara>
    </w:p>
    <w:p w14:paraId="70592211" w14:textId="78F9ED0C" w:rsidR="00DD25C0" w:rsidRPr="00386CB8" w:rsidRDefault="00DD25C0" w:rsidP="00DD25C0">
      <w:pPr>
        <w:spacing w:line="276" w:lineRule="auto"/>
        <w:rPr>
          <w:rFonts w:ascii="Times New Roman" w:hAnsi="Times New Roman" w:cs="Times New Roman"/>
          <w:sz w:val="24"/>
          <w:szCs w:val="24"/>
        </w:rPr>
      </w:pPr>
      <w:r w:rsidRPr="00386CB8">
        <w:rPr>
          <w:rFonts w:ascii="Times New Roman" w:hAnsi="Times New Roman" w:cs="Times New Roman"/>
          <w:sz w:val="24"/>
          <w:szCs w:val="24"/>
        </w:rPr>
        <w:t xml:space="preserve">with hazard </w:t>
      </w:r>
      <m:oMath>
        <m:r>
          <m:rPr>
            <m:sty m:val="p"/>
          </m:rPr>
          <w:rPr>
            <w:rFonts w:ascii="Cambria Math" w:hAnsi="Cambria Math" w:cs="Times New Roman"/>
            <w:sz w:val="24"/>
            <w:szCs w:val="24"/>
          </w:rPr>
          <m:t>h</m:t>
        </m:r>
        <m:d>
          <m:dPr>
            <m:sepChr m:val="∣"/>
            <m:ctrlPr>
              <w:rPr>
                <w:rFonts w:ascii="Cambria Math" w:hAnsi="Cambria Math" w:cs="Times New Roman"/>
                <w:sz w:val="24"/>
                <w:szCs w:val="24"/>
              </w:rPr>
            </m:ctrlPr>
          </m:dPr>
          <m:e>
            <m:r>
              <m:rPr>
                <m:sty m:val="p"/>
              </m:rPr>
              <w:rPr>
                <w:rFonts w:ascii="Cambria Math" w:hAnsi="Cambria Math" w:cs="Times New Roman"/>
                <w:sz w:val="24"/>
                <w:szCs w:val="24"/>
              </w:rPr>
              <m:t>t</m:t>
            </m:r>
          </m:e>
          <m:e>
            <m:r>
              <m:rPr>
                <m:sty m:val="p"/>
              </m:rPr>
              <w:rPr>
                <w:rFonts w:ascii="Cambria Math" w:hAnsi="Cambria Math" w:cs="Times New Roman"/>
                <w:sz w:val="24"/>
                <w:szCs w:val="24"/>
              </w:rPr>
              <m:t>x</m:t>
            </m:r>
          </m:e>
        </m:d>
        <m:r>
          <m:rPr>
            <m:sty m:val="p"/>
          </m:rPr>
          <w:rPr>
            <w:rFonts w:ascii="Cambria Math" w:hAnsi="Cambria Math" w:cs="Times New Roman"/>
            <w:sz w:val="24"/>
            <w:szCs w:val="24"/>
          </w:rPr>
          <m:t>=∂H</m:t>
        </m:r>
        <m:r>
          <m:rPr>
            <m:lit/>
            <m:sty m:val="p"/>
          </m:rPr>
          <w:rPr>
            <w:rFonts w:ascii="Cambria Math" w:hAnsi="Cambria Math" w:cs="Times New Roman"/>
            <w:sz w:val="24"/>
            <w:szCs w:val="24"/>
          </w:rPr>
          <m:t>/</m:t>
        </m:r>
        <m:r>
          <m:rPr>
            <m:sty m:val="p"/>
          </m:rPr>
          <w:rPr>
            <w:rFonts w:ascii="Cambria Math" w:hAnsi="Cambria Math" w:cs="Times New Roman"/>
            <w:sz w:val="24"/>
            <w:szCs w:val="24"/>
          </w:rPr>
          <m:t>∂t</m:t>
        </m:r>
      </m:oMath>
      <w:r w:rsidRPr="00386CB8">
        <w:rPr>
          <w:rFonts w:ascii="Times New Roman" w:hAnsi="Times New Roman" w:cs="Times New Roman"/>
          <w:sz w:val="24"/>
          <w:szCs w:val="24"/>
        </w:rPr>
        <w:t xml:space="preserve"> and survivor function </w:t>
      </w:r>
      <m:oMath>
        <m:r>
          <m:rPr>
            <m:sty m:val="p"/>
          </m:rPr>
          <w:rPr>
            <w:rFonts w:ascii="Cambria Math" w:hAnsi="Cambria Math" w:cs="Times New Roman"/>
            <w:sz w:val="24"/>
            <w:szCs w:val="24"/>
          </w:rPr>
          <m:t>S</m:t>
        </m:r>
        <m:d>
          <m:dPr>
            <m:sepChr m:val="∣"/>
            <m:ctrlPr>
              <w:rPr>
                <w:rFonts w:ascii="Cambria Math" w:hAnsi="Cambria Math" w:cs="Times New Roman"/>
                <w:sz w:val="24"/>
                <w:szCs w:val="24"/>
              </w:rPr>
            </m:ctrlPr>
          </m:dPr>
          <m:e>
            <m:r>
              <m:rPr>
                <m:sty m:val="p"/>
              </m:rPr>
              <w:rPr>
                <w:rFonts w:ascii="Cambria Math" w:hAnsi="Cambria Math" w:cs="Times New Roman"/>
                <w:sz w:val="24"/>
                <w:szCs w:val="24"/>
              </w:rPr>
              <m:t>t</m:t>
            </m:r>
          </m:e>
          <m:e>
            <m:r>
              <m:rPr>
                <m:sty m:val="p"/>
              </m:rPr>
              <w:rPr>
                <w:rFonts w:ascii="Cambria Math" w:hAnsi="Cambria Math" w:cs="Times New Roman"/>
                <w:sz w:val="24"/>
                <w:szCs w:val="24"/>
              </w:rPr>
              <m:t>x</m:t>
            </m:r>
          </m:e>
        </m:d>
        <m:r>
          <m:rPr>
            <m:sty m:val="p"/>
          </m:rP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-H</m:t>
                </m:r>
                <m:d>
                  <m:dPr>
                    <m:sepChr m:val="∣"/>
                    <m:ctrlPr>
                      <w:rPr>
                        <w:rFonts w:ascii="Cambria Math" w:hAnsi="Cambria Math" w:cs="Times New Roman"/>
                        <w:sz w:val="24"/>
                        <w:szCs w:val="24"/>
                      </w:rPr>
                    </m:ctrlPr>
                  </m:dPr>
                  <m:e>
                    <m:r>
                      <m:rPr>
                        <m:sty m:val="p"/>
                      </m:rPr>
                      <w:rPr>
                        <w:rFonts w:ascii="Cambria Math" w:hAnsi="Cambria Math" w:cs="Times New Roman"/>
                        <w:sz w:val="24"/>
                        <w:szCs w:val="24"/>
                      </w:rPr>
                      <m:t>t</m:t>
                    </m:r>
                  </m:e>
                  <m:e>
                    <m:r>
                      <m:rPr>
                        <m:sty m:val="p"/>
                      </m:rPr>
                      <w:rPr>
                        <w:rFonts w:ascii="Cambria Math" w:hAnsi="Cambria Math" w:cs="Times New Roman"/>
                        <w:sz w:val="24"/>
                        <w:szCs w:val="24"/>
                      </w:rPr>
                      <m:t>x</m:t>
                    </m:r>
                  </m:e>
                </m:d>
              </m:e>
            </m:d>
          </m:e>
        </m:func>
      </m:oMath>
      <w:r w:rsidRPr="00386CB8">
        <w:rPr>
          <w:rFonts w:ascii="Times New Roman" w:hAnsi="Times New Roman" w:cs="Times New Roman"/>
          <w:sz w:val="24"/>
          <w:szCs w:val="24"/>
        </w:rPr>
        <w:t xml:space="preserve">. </w:t>
      </w:r>
      <w:r w:rsidRPr="00386CB8">
        <w:rPr>
          <w:rFonts w:ascii="Times New Roman" w:hAnsi="Times New Roman" w:cs="Times New Roman"/>
          <w:sz w:val="24"/>
          <w:szCs w:val="24"/>
        </w:rPr>
        <w:lastRenderedPageBreak/>
        <w:t xml:space="preserve">For Camrelizumab, digitized Kaplan–Meier points were smoothed with monotone splines and converted to cumulative hazards through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nor/>
              </m:rPr>
              <w:rPr>
                <w:rFonts w:ascii="Times New Roman" w:hAnsi="Times New Roman" w:cs="Times New Roman"/>
                <w:sz w:val="24"/>
                <w:szCs w:val="24"/>
              </w:rPr>
              <m:t>Cam</m:t>
            </m:r>
          </m:sub>
        </m:sSub>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nor/>
                  </m:rPr>
                  <w:rPr>
                    <w:rFonts w:ascii="Times New Roman" w:hAnsi="Times New Roman" w:cs="Times New Roman"/>
                    <w:sz w:val="24"/>
                    <w:szCs w:val="24"/>
                  </w:rPr>
                  <m:t>Cam</m:t>
                </m:r>
              </m:sub>
            </m:sSub>
          </m:e>
        </m:func>
        <m:d>
          <m:dPr>
            <m:ctrlPr>
              <w:rPr>
                <w:rFonts w:ascii="Cambria Math" w:hAnsi="Cambria Math" w:cs="Times New Roman"/>
                <w:sz w:val="24"/>
                <w:szCs w:val="24"/>
              </w:rPr>
            </m:ctrlPr>
          </m:dPr>
          <m:e>
            <m:r>
              <m:rPr>
                <m:sty m:val="p"/>
              </m:rPr>
              <w:rPr>
                <w:rFonts w:ascii="Cambria Math" w:hAnsi="Cambria Math" w:cs="Times New Roman"/>
                <w:sz w:val="24"/>
                <w:szCs w:val="24"/>
              </w:rPr>
              <m:t>t</m:t>
            </m:r>
          </m:e>
        </m:d>
      </m:oMath>
      <w:r w:rsidRPr="00386CB8">
        <w:rPr>
          <w:rFonts w:ascii="Times New Roman" w:hAnsi="Times New Roman" w:cs="Times New Roman"/>
          <w:sz w:val="24"/>
          <w:szCs w:val="24"/>
        </w:rPr>
        <w:t>.</w:t>
      </w:r>
    </w:p>
    <w:p w14:paraId="267CCEA1" w14:textId="77777777" w:rsidR="00DD25C0" w:rsidRPr="00386CB8" w:rsidRDefault="00DD25C0" w:rsidP="00DD25C0">
      <w:pPr>
        <w:spacing w:line="276" w:lineRule="auto"/>
        <w:rPr>
          <w:rFonts w:ascii="Times New Roman" w:hAnsi="Times New Roman" w:cs="Times New Roman"/>
          <w:sz w:val="24"/>
          <w:szCs w:val="24"/>
        </w:rPr>
      </w:pPr>
    </w:p>
    <w:p w14:paraId="1D0FB20F" w14:textId="08902E3D" w:rsidR="00DD25C0" w:rsidRPr="00386CB8" w:rsidRDefault="00DD25C0" w:rsidP="003C12A2">
      <w:pPr>
        <w:spacing w:line="276" w:lineRule="auto"/>
        <w:rPr>
          <w:rFonts w:ascii="Times New Roman" w:hAnsi="Times New Roman" w:cs="Times New Roman"/>
          <w:sz w:val="24"/>
          <w:szCs w:val="24"/>
        </w:rPr>
      </w:pPr>
      <w:r w:rsidRPr="00386CB8">
        <w:rPr>
          <w:rFonts w:ascii="Times New Roman" w:hAnsi="Times New Roman" w:cs="Times New Roman"/>
          <w:sz w:val="24"/>
          <w:szCs w:val="24"/>
        </w:rPr>
        <w:t>Point-wise cumulative-hazard averaging</w:t>
      </w:r>
      <w:r w:rsidRPr="00386CB8">
        <w:rPr>
          <w:rFonts w:ascii="Times New Roman" w:hAnsi="Times New Roman" w:cs="Times New Roman"/>
          <w:sz w:val="24"/>
          <w:szCs w:val="24"/>
        </w:rPr>
        <w:br/>
      </w:r>
      <w:r w:rsidRPr="00386CB8">
        <w:rPr>
          <w:rFonts w:ascii="Times New Roman" w:hAnsi="Times New Roman" w:cs="Times New Roman"/>
          <w:sz w:val="24"/>
          <w:szCs w:val="24"/>
        </w:rPr>
        <w:tab/>
        <w:t xml:space="preserve">The two cumulative-hazard curves overlap on the interval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min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max</m:t>
                </m:r>
              </m:sub>
            </m:sSub>
          </m:e>
        </m:d>
      </m:oMath>
      <w:r w:rsidRPr="00386CB8">
        <w:rPr>
          <w:rFonts w:ascii="Times New Roman" w:hAnsi="Times New Roman" w:cs="Times New Roman"/>
          <w:sz w:val="24"/>
          <w:szCs w:val="24"/>
        </w:rPr>
        <w:t xml:space="preserve">. We selected thirty equidistant grid points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30</m:t>
            </m:r>
          </m:sub>
        </m:sSub>
      </m:oMath>
      <w:r w:rsidRPr="00386CB8">
        <w:rPr>
          <w:rFonts w:ascii="Times New Roman" w:hAnsi="Times New Roman" w:cs="Times New Roman"/>
          <w:sz w:val="24"/>
          <w:szCs w:val="24"/>
        </w:rPr>
        <w:t xml:space="preserve"> on that interval; a fixed dense grid, rather than the Camrelizumab event times, avoids overweighting early follow-up periods and ensures that information from the sparsely populated tail of the curve contributes proportionally. For every imputed patient </w:t>
      </w:r>
      <m:oMath>
        <m:r>
          <m:rPr>
            <m:sty m:val="p"/>
          </m:rPr>
          <w:rPr>
            <w:rFonts w:ascii="Cambria Math" w:hAnsi="Cambria Math" w:cs="Times New Roman"/>
            <w:sz w:val="24"/>
            <w:szCs w:val="24"/>
          </w:rPr>
          <m:t>i</m:t>
        </m:r>
        <m:d>
          <m:dPr>
            <m:ctrlPr>
              <w:rPr>
                <w:rFonts w:ascii="Cambria Math" w:hAnsi="Cambria Math" w:cs="Times New Roman"/>
                <w:sz w:val="24"/>
                <w:szCs w:val="24"/>
              </w:rPr>
            </m:ctrlPr>
          </m:dPr>
          <m:e>
            <m:r>
              <m:rPr>
                <m:sty m:val="p"/>
              </m:rPr>
              <w:rPr>
                <w:rFonts w:ascii="Cambria Math" w:hAnsi="Cambria Math" w:cs="Times New Roman"/>
                <w:sz w:val="24"/>
                <w:szCs w:val="24"/>
              </w:rPr>
              <m:t>i=1,…,54</m:t>
            </m:r>
          </m:e>
        </m:d>
      </m:oMath>
      <w:r w:rsidRPr="00386CB8">
        <w:rPr>
          <w:rFonts w:ascii="Times New Roman" w:hAnsi="Times New Roman" w:cs="Times New Roman"/>
          <w:sz w:val="24"/>
          <w:szCs w:val="24"/>
        </w:rPr>
        <w:t xml:space="preserve"> and time point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j</m:t>
            </m:r>
          </m:sub>
        </m:sSub>
      </m:oMath>
      <w:r w:rsidRPr="00386CB8">
        <w:rPr>
          <w:rFonts w:ascii="Times New Roman" w:hAnsi="Times New Roman" w:cs="Times New Roman"/>
          <w:sz w:val="24"/>
          <w:szCs w:val="24"/>
        </w:rPr>
        <w:t xml:space="preserve"> we computed the ratio</w:t>
      </w:r>
      <w:r w:rsidRPr="00386CB8">
        <w:rPr>
          <w:rFonts w:ascii="Times New Roman" w:hAnsi="Times New Roman" w:cs="Times New Roman"/>
          <w:sz w:val="24"/>
          <w:szCs w:val="24"/>
        </w:rPr>
        <w:br/>
      </w: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nor/>
                </m:rPr>
                <w:rPr>
                  <w:rFonts w:ascii="Times New Roman" w:hAnsi="Times New Roman" w:cs="Times New Roman"/>
                  <w:sz w:val="24"/>
                  <w:szCs w:val="24"/>
                </w:rPr>
                <m:t>Enlon</m:t>
              </m:r>
            </m:sub>
          </m:sSub>
          <m:d>
            <m:dPr>
              <m:sep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j</m:t>
                  </m:r>
                </m:sub>
              </m:sSub>
            </m:e>
            <m:e>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i</m:t>
                  </m:r>
                </m:sub>
              </m:sSub>
            </m:e>
          </m:d>
          <m:r>
            <m:rPr>
              <m:lit/>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nor/>
                </m:rPr>
                <w:rPr>
                  <w:rFonts w:ascii="Times New Roman" w:hAnsi="Times New Roman" w:cs="Times New Roman"/>
                  <w:sz w:val="24"/>
                  <w:szCs w:val="24"/>
                </w:rPr>
                <m:t>Cam</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j</m:t>
                  </m:r>
                </m:sub>
              </m:sSub>
            </m:e>
          </m:d>
          <m:r>
            <m:rPr>
              <m:sty m:val="p"/>
            </m:rPr>
            <w:rPr>
              <w:rFonts w:ascii="Cambria Math" w:hAnsi="Cambria Math" w:cs="Times New Roman"/>
              <w:sz w:val="24"/>
              <w:szCs w:val="24"/>
            </w:rPr>
            <m:t>.</m:t>
          </m:r>
          <m:r>
            <m:rPr>
              <m:sty m:val="p"/>
            </m:rPr>
            <w:rPr>
              <w:rFonts w:ascii="Cambria Math" w:hAnsi="Cambria Math" w:cs="Times New Roman"/>
              <w:sz w:val="24"/>
              <w:szCs w:val="24"/>
            </w:rPr>
            <w:br/>
          </m:r>
        </m:oMath>
      </m:oMathPara>
      <w:r w:rsidRPr="00386CB8">
        <w:rPr>
          <w:rFonts w:ascii="Times New Roman" w:hAnsi="Times New Roman" w:cs="Times New Roman"/>
          <w:sz w:val="24"/>
          <w:szCs w:val="24"/>
        </w:rPr>
        <w:t xml:space="preserve">Averaging over patients yields </w:t>
      </w:r>
      <m:oMath>
        <m:acc>
          <m:accPr>
            <m:chr m:val="̅"/>
            <m:ctrlPr>
              <w:rPr>
                <w:rFonts w:ascii="Cambria Math" w:hAnsi="Cambria Math" w:cs="Times New Roman"/>
                <w:sz w:val="24"/>
                <w:szCs w:val="24"/>
              </w:rPr>
            </m:ctrlPr>
          </m:accPr>
          <m:e>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j</m:t>
                </m:r>
              </m:sub>
            </m:sSub>
          </m:e>
        </m:acc>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m:t>
            </m:r>
            <m:r>
              <m:rPr>
                <m:lit/>
                <m:sty m:val="p"/>
              </m:rPr>
              <w:rPr>
                <w:rFonts w:ascii="Cambria Math" w:hAnsi="Cambria Math" w:cs="Times New Roman"/>
                <w:sz w:val="24"/>
                <w:szCs w:val="24"/>
              </w:rPr>
              <m:t>/</m:t>
            </m:r>
            <m:r>
              <m:rPr>
                <m:sty m:val="p"/>
              </m:rPr>
              <w:rPr>
                <w:rFonts w:ascii="Cambria Math" w:hAnsi="Cambria Math" w:cs="Times New Roman"/>
                <w:sz w:val="24"/>
                <w:szCs w:val="24"/>
              </w:rPr>
              <m:t>54</m:t>
            </m:r>
          </m:e>
        </m:d>
        <m:nary>
          <m:naryPr>
            <m:chr m:val="∑"/>
            <m:supHide m:val="1"/>
            <m:ctrlPr>
              <w:rPr>
                <w:rFonts w:ascii="Cambria Math" w:hAnsi="Cambria Math" w:cs="Times New Roman"/>
                <w:sz w:val="24"/>
                <w:szCs w:val="24"/>
              </w:rPr>
            </m:ctrlPr>
          </m:naryPr>
          <m:sub>
            <m:r>
              <m:rPr>
                <m:sty m:val="p"/>
              </m:rPr>
              <w:rPr>
                <w:rFonts w:ascii="Cambria Math" w:hAnsi="Cambria Math" w:cs="Times New Roman"/>
                <w:sz w:val="24"/>
                <w:szCs w:val="24"/>
              </w:rPr>
              <m:t>i</m:t>
            </m:r>
          </m:sub>
          <m:sup/>
          <m:e>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ij</m:t>
                </m:r>
              </m:sub>
            </m:sSub>
          </m:e>
        </m:nary>
      </m:oMath>
      <w:r w:rsidRPr="00386CB8">
        <w:rPr>
          <w:rFonts w:ascii="Times New Roman" w:hAnsi="Times New Roman" w:cs="Times New Roman"/>
          <w:sz w:val="24"/>
          <w:szCs w:val="24"/>
        </w:rPr>
        <w:t xml:space="preserve">; the study-level hazard ratio is the grand mean </w:t>
      </w:r>
      <m:oMath>
        <m:acc>
          <m:accPr>
            <m:ctrlPr>
              <w:rPr>
                <w:rFonts w:ascii="Cambria Math" w:hAnsi="Cambria Math" w:cs="Times New Roman"/>
                <w:sz w:val="24"/>
                <w:szCs w:val="24"/>
              </w:rPr>
            </m:ctrlPr>
          </m:accPr>
          <m:e>
            <m:r>
              <m:rPr>
                <m:nor/>
              </m:rPr>
              <w:rPr>
                <w:rFonts w:ascii="Times New Roman" w:hAnsi="Times New Roman" w:cs="Times New Roman"/>
                <w:sz w:val="24"/>
                <w:szCs w:val="24"/>
              </w:rPr>
              <m:t>HR</m:t>
            </m:r>
          </m:e>
        </m:acc>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m:t>
            </m:r>
            <m:r>
              <m:rPr>
                <m:lit/>
                <m:sty m:val="p"/>
              </m:rPr>
              <w:rPr>
                <w:rFonts w:ascii="Cambria Math" w:hAnsi="Cambria Math" w:cs="Times New Roman"/>
                <w:sz w:val="24"/>
                <w:szCs w:val="24"/>
              </w:rPr>
              <m:t>/</m:t>
            </m:r>
            <m:r>
              <m:rPr>
                <m:sty m:val="p"/>
              </m:rPr>
              <w:rPr>
                <w:rFonts w:ascii="Cambria Math" w:hAnsi="Cambria Math" w:cs="Times New Roman"/>
                <w:sz w:val="24"/>
                <w:szCs w:val="24"/>
              </w:rPr>
              <m:t>30</m:t>
            </m:r>
          </m:e>
        </m:d>
        <m:nary>
          <m:naryPr>
            <m:chr m:val="∑"/>
            <m:supHide m:val="1"/>
            <m:ctrlPr>
              <w:rPr>
                <w:rFonts w:ascii="Cambria Math" w:hAnsi="Cambria Math" w:cs="Times New Roman"/>
                <w:sz w:val="24"/>
                <w:szCs w:val="24"/>
              </w:rPr>
            </m:ctrlPr>
          </m:naryPr>
          <m:sub>
            <m:r>
              <m:rPr>
                <m:sty m:val="p"/>
              </m:rPr>
              <w:rPr>
                <w:rFonts w:ascii="Cambria Math" w:hAnsi="Cambria Math" w:cs="Times New Roman"/>
                <w:sz w:val="24"/>
                <w:szCs w:val="24"/>
              </w:rPr>
              <m:t>j</m:t>
            </m:r>
          </m:sub>
          <m:sup/>
          <m:e>
            <m:acc>
              <m:accPr>
                <m:chr m:val="̅"/>
                <m:ctrlPr>
                  <w:rPr>
                    <w:rFonts w:ascii="Cambria Math" w:hAnsi="Cambria Math" w:cs="Times New Roman"/>
                    <w:sz w:val="24"/>
                    <w:szCs w:val="24"/>
                  </w:rPr>
                </m:ctrlPr>
              </m:accPr>
              <m:e>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j</m:t>
                    </m:r>
                  </m:sub>
                </m:sSub>
              </m:e>
            </m:acc>
          </m:e>
        </m:nary>
      </m:oMath>
      <w:r w:rsidRPr="00386CB8">
        <w:rPr>
          <w:rFonts w:ascii="Times New Roman" w:hAnsi="Times New Roman" w:cs="Times New Roman"/>
          <w:sz w:val="24"/>
          <w:szCs w:val="24"/>
        </w:rPr>
        <w:t xml:space="preserve">. Because the proportional-hazards assumption implies that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ij</m:t>
            </m:r>
          </m:sub>
        </m:sSub>
      </m:oMath>
      <w:r w:rsidRPr="00386CB8">
        <w:rPr>
          <w:rFonts w:ascii="Times New Roman" w:hAnsi="Times New Roman" w:cs="Times New Roman"/>
          <w:sz w:val="24"/>
          <w:szCs w:val="24"/>
        </w:rPr>
        <w:t xml:space="preserve"> is constant in </w:t>
      </w:r>
      <m:oMath>
        <m:r>
          <m:rPr>
            <m:sty m:val="p"/>
          </m:rPr>
          <w:rPr>
            <w:rFonts w:ascii="Cambria Math" w:hAnsi="Cambria Math" w:cs="Times New Roman"/>
            <w:sz w:val="24"/>
            <w:szCs w:val="24"/>
          </w:rPr>
          <m:t>t</m:t>
        </m:r>
      </m:oMath>
      <w:r w:rsidRPr="00386CB8">
        <w:rPr>
          <w:rFonts w:ascii="Times New Roman" w:hAnsi="Times New Roman" w:cs="Times New Roman"/>
          <w:sz w:val="24"/>
          <w:szCs w:val="24"/>
        </w:rPr>
        <w:t xml:space="preserve">, the average is unbiased for the true HR. Its standard error was estimated as the sample standard deviation of the thirty </w:t>
      </w:r>
      <m:oMath>
        <m:acc>
          <m:accPr>
            <m:chr m:val="̅"/>
            <m:ctrlPr>
              <w:rPr>
                <w:rFonts w:ascii="Cambria Math" w:hAnsi="Cambria Math" w:cs="Times New Roman"/>
                <w:sz w:val="24"/>
                <w:szCs w:val="24"/>
              </w:rPr>
            </m:ctrlPr>
          </m:accPr>
          <m:e>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j</m:t>
                </m:r>
              </m:sub>
            </m:sSub>
          </m:e>
        </m:acc>
      </m:oMath>
      <w:r w:rsidRPr="00386CB8">
        <w:rPr>
          <w:rFonts w:ascii="Times New Roman" w:hAnsi="Times New Roman" w:cs="Times New Roman"/>
          <w:sz w:val="24"/>
          <w:szCs w:val="24"/>
        </w:rPr>
        <w:t xml:space="preserve"> divided by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30</m:t>
            </m:r>
          </m:e>
        </m:rad>
      </m:oMath>
      <w:r w:rsidRPr="00386CB8">
        <w:rPr>
          <w:rFonts w:ascii="Times New Roman" w:hAnsi="Times New Roman" w:cs="Times New Roman"/>
          <w:sz w:val="24"/>
          <w:szCs w:val="24"/>
        </w:rPr>
        <w:t>, and 95 % confidence intervals were formed with the normal approximation. The procedure rests on two assumptions: proportional hazards between treatments and sufficient accuracy of the imputed Camrelizumab covariate distribution.</w:t>
      </w:r>
    </w:p>
    <w:p w14:paraId="7E2EAC6F" w14:textId="77777777" w:rsidR="00DD25C0" w:rsidRPr="00386CB8" w:rsidRDefault="00DD25C0" w:rsidP="00DD25C0">
      <w:pPr>
        <w:spacing w:line="276" w:lineRule="auto"/>
        <w:rPr>
          <w:rFonts w:ascii="Times New Roman" w:hAnsi="Times New Roman" w:cs="Times New Roman"/>
          <w:sz w:val="24"/>
          <w:szCs w:val="24"/>
        </w:rPr>
      </w:pPr>
    </w:p>
    <w:p w14:paraId="5F9A06FF" w14:textId="382E4CFD" w:rsidR="00DD25C0" w:rsidRPr="00386CB8" w:rsidRDefault="00DD25C0" w:rsidP="00DD25C0">
      <w:pPr>
        <w:spacing w:line="276" w:lineRule="auto"/>
        <w:rPr>
          <w:rFonts w:ascii="Times New Roman" w:hAnsi="Times New Roman" w:cs="Times New Roman"/>
          <w:sz w:val="24"/>
          <w:szCs w:val="24"/>
        </w:rPr>
      </w:pPr>
      <w:r w:rsidRPr="00386CB8">
        <w:rPr>
          <w:rFonts w:ascii="Times New Roman" w:hAnsi="Times New Roman" w:cs="Times New Roman"/>
          <w:sz w:val="24"/>
          <w:szCs w:val="24"/>
        </w:rPr>
        <w:t>Diagnostic assessment of the imputed cohort</w:t>
      </w:r>
      <w:r w:rsidRPr="00386CB8">
        <w:rPr>
          <w:rFonts w:ascii="Times New Roman" w:hAnsi="Times New Roman" w:cs="Times New Roman"/>
          <w:sz w:val="24"/>
          <w:szCs w:val="24"/>
        </w:rPr>
        <w:br/>
      </w:r>
      <w:r w:rsidRPr="00386CB8">
        <w:rPr>
          <w:rFonts w:ascii="Times New Roman" w:hAnsi="Times New Roman" w:cs="Times New Roman"/>
          <w:sz w:val="24"/>
          <w:szCs w:val="24"/>
        </w:rPr>
        <w:tab/>
        <w:t>Quality of the imputation was assessed by comparing (</w:t>
      </w:r>
      <w:proofErr w:type="spellStart"/>
      <w:r w:rsidRPr="00386CB8">
        <w:rPr>
          <w:rFonts w:ascii="Times New Roman" w:hAnsi="Times New Roman" w:cs="Times New Roman"/>
          <w:sz w:val="24"/>
          <w:szCs w:val="24"/>
        </w:rPr>
        <w:t>i</w:t>
      </w:r>
      <w:proofErr w:type="spellEnd"/>
      <w:r w:rsidRPr="00386CB8">
        <w:rPr>
          <w:rFonts w:ascii="Times New Roman" w:hAnsi="Times New Roman" w:cs="Times New Roman"/>
          <w:sz w:val="24"/>
          <w:szCs w:val="24"/>
        </w:rPr>
        <w:t xml:space="preserve">) target versus generated marginal prevalences and (ii) preservation of pairwise correlations relative to the original </w:t>
      </w:r>
      <w:proofErr w:type="spellStart"/>
      <w:r w:rsidR="00E31D66">
        <w:rPr>
          <w:rFonts w:ascii="Times New Roman" w:hAnsi="Times New Roman" w:cs="Times New Roman" w:hint="eastAsia"/>
          <w:sz w:val="24"/>
          <w:szCs w:val="24"/>
        </w:rPr>
        <w:t>e</w:t>
      </w:r>
      <w:r w:rsidRPr="00386CB8">
        <w:rPr>
          <w:rFonts w:ascii="Times New Roman" w:hAnsi="Times New Roman" w:cs="Times New Roman"/>
          <w:sz w:val="24"/>
          <w:szCs w:val="24"/>
        </w:rPr>
        <w:t>nlonstobart</w:t>
      </w:r>
      <w:proofErr w:type="spellEnd"/>
      <w:r w:rsidRPr="00386CB8">
        <w:rPr>
          <w:rFonts w:ascii="Times New Roman" w:hAnsi="Times New Roman" w:cs="Times New Roman"/>
          <w:sz w:val="24"/>
          <w:szCs w:val="24"/>
        </w:rPr>
        <w:t xml:space="preserve"> IPD. Figure 2 displays bar plots of marginal means, absolute marginal errors, and heat maps of correlation matrices and their element-wise differences. We summarized performance by the mean and maximum marginal deviations and by the mean and maximum absolute correlation differences.</w:t>
      </w:r>
    </w:p>
    <w:p w14:paraId="330B5B66" w14:textId="77777777" w:rsidR="00DD25C0" w:rsidRPr="00386CB8" w:rsidRDefault="00DD25C0" w:rsidP="00DD25C0">
      <w:pPr>
        <w:spacing w:line="276" w:lineRule="auto"/>
        <w:rPr>
          <w:rFonts w:ascii="Times New Roman" w:hAnsi="Times New Roman" w:cs="Times New Roman"/>
          <w:sz w:val="24"/>
          <w:szCs w:val="24"/>
        </w:rPr>
      </w:pPr>
    </w:p>
    <w:p w14:paraId="55BE2E12" w14:textId="02D727E0" w:rsidR="00DD25C0" w:rsidRPr="00386CB8" w:rsidRDefault="00DD25C0" w:rsidP="00DD25C0">
      <w:pPr>
        <w:spacing w:line="276" w:lineRule="auto"/>
        <w:rPr>
          <w:rFonts w:ascii="Times New Roman" w:hAnsi="Times New Roman" w:cs="Times New Roman"/>
          <w:sz w:val="24"/>
          <w:szCs w:val="24"/>
        </w:rPr>
      </w:pPr>
      <w:r w:rsidRPr="00386CB8">
        <w:rPr>
          <w:rFonts w:ascii="Times New Roman" w:hAnsi="Times New Roman" w:cs="Times New Roman"/>
          <w:sz w:val="24"/>
          <w:szCs w:val="24"/>
        </w:rPr>
        <w:t>Results—Performance of the simulated cohort and hazard-ratio estimates</w:t>
      </w:r>
      <w:r w:rsidRPr="00386CB8">
        <w:rPr>
          <w:rFonts w:ascii="Times New Roman" w:hAnsi="Times New Roman" w:cs="Times New Roman"/>
          <w:sz w:val="24"/>
          <w:szCs w:val="24"/>
        </w:rPr>
        <w:br/>
      </w:r>
      <w:r w:rsidRPr="00386CB8">
        <w:rPr>
          <w:rFonts w:ascii="Times New Roman" w:hAnsi="Times New Roman" w:cs="Times New Roman"/>
          <w:sz w:val="24"/>
          <w:szCs w:val="24"/>
        </w:rPr>
        <w:tab/>
      </w:r>
      <w:r w:rsidRPr="00386CB8">
        <w:rPr>
          <w:rFonts w:ascii="Times New Roman" w:hAnsi="Times New Roman" w:cs="Times New Roman" w:hint="eastAsia"/>
          <w:sz w:val="24"/>
          <w:szCs w:val="24"/>
        </w:rPr>
        <w:t xml:space="preserve">We generated a 54-patient pseudo-IPD for </w:t>
      </w:r>
      <w:proofErr w:type="spellStart"/>
      <w:r w:rsidR="00E31D66">
        <w:rPr>
          <w:rFonts w:ascii="Times New Roman" w:hAnsi="Times New Roman" w:cs="Times New Roman" w:hint="eastAsia"/>
          <w:sz w:val="24"/>
          <w:szCs w:val="24"/>
        </w:rPr>
        <w:t>c</w:t>
      </w:r>
      <w:r w:rsidRPr="00386CB8">
        <w:rPr>
          <w:rFonts w:ascii="Times New Roman" w:hAnsi="Times New Roman" w:cs="Times New Roman" w:hint="eastAsia"/>
          <w:sz w:val="24"/>
          <w:szCs w:val="24"/>
        </w:rPr>
        <w:t>amrelizumab</w:t>
      </w:r>
      <w:proofErr w:type="spellEnd"/>
      <w:r w:rsidRPr="00386CB8">
        <w:rPr>
          <w:rFonts w:ascii="Times New Roman" w:hAnsi="Times New Roman" w:cs="Times New Roman" w:hint="eastAsia"/>
          <w:sz w:val="24"/>
          <w:szCs w:val="24"/>
        </w:rPr>
        <w:t xml:space="preserve"> using nine baseline covariates also used in the unanchored MAIC analysis. The synthetic cohort achieved close alignment with the published trial baseline characteristics, as shown in Appendix Table 1. The absolute difference between target and achieved proportions was </w:t>
      </w:r>
      <w:r w:rsidR="00473A8D" w:rsidRPr="00386CB8">
        <w:rPr>
          <w:rFonts w:ascii="Times New Roman" w:hAnsi="Times New Roman" w:cs="Times New Roman" w:hint="eastAsia"/>
          <w:sz w:val="24"/>
          <w:szCs w:val="24"/>
        </w:rPr>
        <w:t>numerical small for all variables</w:t>
      </w:r>
      <w:r w:rsidRPr="00386CB8">
        <w:rPr>
          <w:rFonts w:ascii="Times New Roman" w:hAnsi="Times New Roman" w:cs="Times New Roman" w:hint="eastAsia"/>
          <w:sz w:val="24"/>
          <w:szCs w:val="24"/>
        </w:rPr>
        <w:t>.</w:t>
      </w:r>
    </w:p>
    <w:p w14:paraId="7BFA5675" w14:textId="77777777" w:rsidR="00DD25C0" w:rsidRPr="00386CB8" w:rsidRDefault="00DD25C0" w:rsidP="00DD25C0">
      <w:pPr>
        <w:spacing w:line="276" w:lineRule="auto"/>
        <w:rPr>
          <w:rFonts w:ascii="Times New Roman" w:hAnsi="Times New Roman" w:cs="Times New Roman"/>
          <w:sz w:val="24"/>
          <w:szCs w:val="24"/>
        </w:rPr>
      </w:pPr>
    </w:p>
    <w:p w14:paraId="4DD3B240" w14:textId="77777777" w:rsidR="00DD25C0" w:rsidRPr="00386CB8" w:rsidRDefault="00DD25C0" w:rsidP="00DD25C0">
      <w:pPr>
        <w:spacing w:line="276" w:lineRule="auto"/>
        <w:rPr>
          <w:rFonts w:ascii="Times New Roman" w:hAnsi="Times New Roman" w:cs="Times New Roman"/>
          <w:sz w:val="24"/>
          <w:szCs w:val="24"/>
        </w:rPr>
      </w:pPr>
      <w:r w:rsidRPr="00386CB8">
        <w:rPr>
          <w:rFonts w:ascii="Times New Roman" w:hAnsi="Times New Roman" w:cs="Times New Roman" w:hint="eastAsia"/>
          <w:sz w:val="24"/>
          <w:szCs w:val="24"/>
        </w:rPr>
        <w:lastRenderedPageBreak/>
        <w:t xml:space="preserve">Appendix Table 1. Baseline Covariate Target vs. Achieved Proportions in Pseudo-IPD Generation for </w:t>
      </w:r>
      <w:proofErr w:type="spellStart"/>
      <w:r w:rsidRPr="00386CB8">
        <w:rPr>
          <w:rFonts w:ascii="Times New Roman" w:hAnsi="Times New Roman" w:cs="Times New Roman" w:hint="eastAsia"/>
          <w:sz w:val="24"/>
          <w:szCs w:val="24"/>
        </w:rPr>
        <w:t>Camrelizumab</w:t>
      </w:r>
      <w:proofErr w:type="spellEnd"/>
      <w:r w:rsidRPr="00386CB8">
        <w:rPr>
          <w:rFonts w:ascii="Times New Roman" w:hAnsi="Times New Roman" w:cs="Times New Roman" w:hint="eastAsia"/>
          <w:sz w:val="24"/>
          <w:szCs w:val="24"/>
        </w:rPr>
        <w:t xml:space="preserve"> Population</w:t>
      </w:r>
    </w:p>
    <w:tbl>
      <w:tblPr>
        <w:tblStyle w:val="61"/>
        <w:tblW w:w="0" w:type="auto"/>
        <w:tblLook w:val="04A0" w:firstRow="1" w:lastRow="0" w:firstColumn="1" w:lastColumn="0" w:noHBand="0" w:noVBand="1"/>
      </w:tblPr>
      <w:tblGrid>
        <w:gridCol w:w="3828"/>
        <w:gridCol w:w="1327"/>
        <w:gridCol w:w="1136"/>
      </w:tblGrid>
      <w:tr w:rsidR="00933F3B" w:rsidRPr="00386CB8" w14:paraId="4C950BB9" w14:textId="77777777" w:rsidTr="007E3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14:paraId="4D6A22E2" w14:textId="77777777" w:rsidR="00933F3B" w:rsidRPr="00386CB8" w:rsidRDefault="00933F3B" w:rsidP="004B7CDA">
            <w:pPr>
              <w:spacing w:line="276" w:lineRule="auto"/>
              <w:jc w:val="left"/>
              <w:rPr>
                <w:rFonts w:ascii="Times New Roman" w:hAnsi="Times New Roman" w:cs="Times New Roman"/>
                <w:b w:val="0"/>
                <w:bCs w:val="0"/>
                <w:sz w:val="24"/>
                <w:szCs w:val="24"/>
              </w:rPr>
            </w:pPr>
            <w:r w:rsidRPr="00386CB8">
              <w:rPr>
                <w:rFonts w:ascii="Times New Roman" w:hAnsi="Times New Roman" w:cs="Times New Roman"/>
                <w:b w:val="0"/>
                <w:bCs w:val="0"/>
                <w:sz w:val="24"/>
                <w:szCs w:val="24"/>
              </w:rPr>
              <w:t>Covariate</w:t>
            </w:r>
          </w:p>
        </w:tc>
        <w:tc>
          <w:tcPr>
            <w:tcW w:w="1327" w:type="dxa"/>
            <w:hideMark/>
          </w:tcPr>
          <w:p w14:paraId="7BC90593" w14:textId="77777777" w:rsidR="00933F3B" w:rsidRPr="00386CB8" w:rsidRDefault="00933F3B" w:rsidP="004B7CD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86CB8">
              <w:rPr>
                <w:rFonts w:ascii="Times New Roman" w:hAnsi="Times New Roman" w:cs="Times New Roman"/>
                <w:b w:val="0"/>
                <w:bCs w:val="0"/>
                <w:sz w:val="24"/>
                <w:szCs w:val="24"/>
              </w:rPr>
              <w:t>Target</w:t>
            </w:r>
          </w:p>
        </w:tc>
        <w:tc>
          <w:tcPr>
            <w:tcW w:w="0" w:type="auto"/>
            <w:hideMark/>
          </w:tcPr>
          <w:p w14:paraId="69E7D18F" w14:textId="77777777" w:rsidR="00933F3B" w:rsidRPr="00386CB8" w:rsidRDefault="00933F3B" w:rsidP="004B7CD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86CB8">
              <w:rPr>
                <w:rFonts w:ascii="Times New Roman" w:hAnsi="Times New Roman" w:cs="Times New Roman"/>
                <w:b w:val="0"/>
                <w:bCs w:val="0"/>
                <w:sz w:val="24"/>
                <w:szCs w:val="24"/>
              </w:rPr>
              <w:t>Achieved</w:t>
            </w:r>
          </w:p>
        </w:tc>
      </w:tr>
      <w:tr w:rsidR="00933F3B" w:rsidRPr="00386CB8" w14:paraId="21A00881" w14:textId="77777777" w:rsidTr="007E3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hideMark/>
          </w:tcPr>
          <w:p w14:paraId="0CEF8576" w14:textId="77777777" w:rsidR="00933F3B" w:rsidRPr="00386CB8" w:rsidRDefault="00933F3B" w:rsidP="004B7CDA">
            <w:pPr>
              <w:spacing w:line="276" w:lineRule="auto"/>
              <w:jc w:val="left"/>
              <w:rPr>
                <w:rFonts w:ascii="Times New Roman" w:hAnsi="Times New Roman" w:cs="Times New Roman"/>
                <w:b w:val="0"/>
                <w:bCs w:val="0"/>
                <w:sz w:val="24"/>
                <w:szCs w:val="24"/>
              </w:rPr>
            </w:pPr>
            <w:r w:rsidRPr="00386CB8">
              <w:rPr>
                <w:rFonts w:ascii="Times New Roman" w:hAnsi="Times New Roman" w:cs="Times New Roman"/>
                <w:b w:val="0"/>
                <w:bCs w:val="0"/>
                <w:sz w:val="24"/>
                <w:szCs w:val="24"/>
              </w:rPr>
              <w:t>ECOG PS (1 vs 0)</w:t>
            </w:r>
          </w:p>
        </w:tc>
        <w:tc>
          <w:tcPr>
            <w:tcW w:w="1327" w:type="dxa"/>
            <w:shd w:val="clear" w:color="auto" w:fill="auto"/>
            <w:hideMark/>
          </w:tcPr>
          <w:p w14:paraId="5BDFBDC2" w14:textId="77777777" w:rsidR="00933F3B" w:rsidRPr="00386CB8" w:rsidRDefault="00933F3B" w:rsidP="004B7CD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0.667</w:t>
            </w:r>
          </w:p>
        </w:tc>
        <w:tc>
          <w:tcPr>
            <w:tcW w:w="0" w:type="auto"/>
            <w:shd w:val="clear" w:color="auto" w:fill="auto"/>
            <w:hideMark/>
          </w:tcPr>
          <w:p w14:paraId="317F96AA" w14:textId="77777777" w:rsidR="00933F3B" w:rsidRPr="00386CB8" w:rsidRDefault="00933F3B" w:rsidP="004B7CD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0.667</w:t>
            </w:r>
          </w:p>
        </w:tc>
      </w:tr>
      <w:tr w:rsidR="00933F3B" w:rsidRPr="00386CB8" w14:paraId="311594AB" w14:textId="77777777" w:rsidTr="007E3949">
        <w:tc>
          <w:tcPr>
            <w:cnfStyle w:val="001000000000" w:firstRow="0" w:lastRow="0" w:firstColumn="1" w:lastColumn="0" w:oddVBand="0" w:evenVBand="0" w:oddHBand="0" w:evenHBand="0" w:firstRowFirstColumn="0" w:firstRowLastColumn="0" w:lastRowFirstColumn="0" w:lastRowLastColumn="0"/>
            <w:tcW w:w="3828" w:type="dxa"/>
            <w:hideMark/>
          </w:tcPr>
          <w:p w14:paraId="137311D6" w14:textId="77777777" w:rsidR="00933F3B" w:rsidRPr="00386CB8" w:rsidRDefault="00933F3B" w:rsidP="004B7CDA">
            <w:pPr>
              <w:spacing w:line="276" w:lineRule="auto"/>
              <w:jc w:val="left"/>
              <w:rPr>
                <w:rFonts w:ascii="Times New Roman" w:hAnsi="Times New Roman" w:cs="Times New Roman"/>
                <w:b w:val="0"/>
                <w:bCs w:val="0"/>
                <w:sz w:val="24"/>
                <w:szCs w:val="24"/>
              </w:rPr>
            </w:pPr>
            <w:r w:rsidRPr="00386CB8">
              <w:rPr>
                <w:rFonts w:ascii="Times New Roman" w:hAnsi="Times New Roman" w:cs="Times New Roman"/>
                <w:b w:val="0"/>
                <w:bCs w:val="0"/>
                <w:sz w:val="24"/>
                <w:szCs w:val="24"/>
              </w:rPr>
              <w:t>Squamous cell carcinoma</w:t>
            </w:r>
          </w:p>
        </w:tc>
        <w:tc>
          <w:tcPr>
            <w:tcW w:w="1327" w:type="dxa"/>
            <w:hideMark/>
          </w:tcPr>
          <w:p w14:paraId="407FF178" w14:textId="77777777" w:rsidR="00933F3B" w:rsidRPr="00386CB8" w:rsidRDefault="00933F3B" w:rsidP="004B7C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0.759</w:t>
            </w:r>
          </w:p>
        </w:tc>
        <w:tc>
          <w:tcPr>
            <w:tcW w:w="0" w:type="auto"/>
            <w:hideMark/>
          </w:tcPr>
          <w:p w14:paraId="075F6150" w14:textId="46AF610F" w:rsidR="00933F3B" w:rsidRPr="00386CB8" w:rsidRDefault="00933F3B" w:rsidP="004B7C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0.7</w:t>
            </w:r>
            <w:r w:rsidRPr="00386CB8">
              <w:rPr>
                <w:rFonts w:ascii="Times New Roman" w:hAnsi="Times New Roman" w:cs="Times New Roman" w:hint="eastAsia"/>
                <w:sz w:val="24"/>
                <w:szCs w:val="24"/>
              </w:rPr>
              <w:t>59</w:t>
            </w:r>
          </w:p>
        </w:tc>
      </w:tr>
      <w:tr w:rsidR="00933F3B" w:rsidRPr="00386CB8" w14:paraId="09FA0E68" w14:textId="77777777" w:rsidTr="007E3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hideMark/>
          </w:tcPr>
          <w:p w14:paraId="23F52CE1" w14:textId="77777777" w:rsidR="00933F3B" w:rsidRPr="00386CB8" w:rsidRDefault="00933F3B" w:rsidP="004B7CDA">
            <w:pPr>
              <w:spacing w:line="276" w:lineRule="auto"/>
              <w:jc w:val="left"/>
              <w:rPr>
                <w:rFonts w:ascii="Times New Roman" w:hAnsi="Times New Roman" w:cs="Times New Roman"/>
                <w:b w:val="0"/>
                <w:bCs w:val="0"/>
                <w:sz w:val="24"/>
                <w:szCs w:val="24"/>
              </w:rPr>
            </w:pPr>
            <w:r w:rsidRPr="00386CB8">
              <w:rPr>
                <w:rFonts w:ascii="Times New Roman" w:hAnsi="Times New Roman" w:cs="Times New Roman"/>
                <w:b w:val="0"/>
                <w:bCs w:val="0"/>
                <w:sz w:val="24"/>
                <w:szCs w:val="24"/>
              </w:rPr>
              <w:t>Previous radical surgery</w:t>
            </w:r>
          </w:p>
        </w:tc>
        <w:tc>
          <w:tcPr>
            <w:tcW w:w="1327" w:type="dxa"/>
            <w:shd w:val="clear" w:color="auto" w:fill="auto"/>
            <w:hideMark/>
          </w:tcPr>
          <w:p w14:paraId="0FC77587" w14:textId="77777777" w:rsidR="00933F3B" w:rsidRPr="00386CB8" w:rsidRDefault="00933F3B" w:rsidP="004B7CD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0.574</w:t>
            </w:r>
          </w:p>
        </w:tc>
        <w:tc>
          <w:tcPr>
            <w:tcW w:w="0" w:type="auto"/>
            <w:shd w:val="clear" w:color="auto" w:fill="auto"/>
            <w:hideMark/>
          </w:tcPr>
          <w:p w14:paraId="71F481F3" w14:textId="77777777" w:rsidR="00933F3B" w:rsidRPr="00386CB8" w:rsidRDefault="00933F3B" w:rsidP="004B7CD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0.574</w:t>
            </w:r>
          </w:p>
        </w:tc>
      </w:tr>
      <w:tr w:rsidR="00933F3B" w:rsidRPr="00386CB8" w14:paraId="51F78967" w14:textId="77777777" w:rsidTr="007E3949">
        <w:tc>
          <w:tcPr>
            <w:cnfStyle w:val="001000000000" w:firstRow="0" w:lastRow="0" w:firstColumn="1" w:lastColumn="0" w:oddVBand="0" w:evenVBand="0" w:oddHBand="0" w:evenHBand="0" w:firstRowFirstColumn="0" w:firstRowLastColumn="0" w:lastRowFirstColumn="0" w:lastRowLastColumn="0"/>
            <w:tcW w:w="3828" w:type="dxa"/>
            <w:hideMark/>
          </w:tcPr>
          <w:p w14:paraId="59076314" w14:textId="77777777" w:rsidR="00933F3B" w:rsidRPr="00386CB8" w:rsidRDefault="00933F3B" w:rsidP="004B7CDA">
            <w:pPr>
              <w:spacing w:line="276" w:lineRule="auto"/>
              <w:jc w:val="left"/>
              <w:rPr>
                <w:rFonts w:ascii="Times New Roman" w:hAnsi="Times New Roman" w:cs="Times New Roman"/>
                <w:b w:val="0"/>
                <w:bCs w:val="0"/>
                <w:sz w:val="24"/>
                <w:szCs w:val="24"/>
              </w:rPr>
            </w:pPr>
            <w:r w:rsidRPr="00386CB8">
              <w:rPr>
                <w:rFonts w:ascii="Times New Roman" w:hAnsi="Times New Roman" w:cs="Times New Roman"/>
                <w:b w:val="0"/>
                <w:bCs w:val="0"/>
                <w:sz w:val="24"/>
                <w:szCs w:val="24"/>
              </w:rPr>
              <w:t>Previous radical concurrent chemoradiotherapy</w:t>
            </w:r>
          </w:p>
        </w:tc>
        <w:tc>
          <w:tcPr>
            <w:tcW w:w="1327" w:type="dxa"/>
            <w:hideMark/>
          </w:tcPr>
          <w:p w14:paraId="0B70D20E" w14:textId="77777777" w:rsidR="00933F3B" w:rsidRPr="00386CB8" w:rsidRDefault="00933F3B" w:rsidP="004B7C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0.370</w:t>
            </w:r>
          </w:p>
        </w:tc>
        <w:tc>
          <w:tcPr>
            <w:tcW w:w="0" w:type="auto"/>
            <w:hideMark/>
          </w:tcPr>
          <w:p w14:paraId="02372A1F" w14:textId="77777777" w:rsidR="00933F3B" w:rsidRPr="00386CB8" w:rsidRDefault="00933F3B" w:rsidP="004B7C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0.370</w:t>
            </w:r>
          </w:p>
        </w:tc>
      </w:tr>
      <w:tr w:rsidR="00933F3B" w:rsidRPr="00386CB8" w14:paraId="5A4ECA2C" w14:textId="77777777" w:rsidTr="007E3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hideMark/>
          </w:tcPr>
          <w:p w14:paraId="205F0857" w14:textId="77777777" w:rsidR="00933F3B" w:rsidRPr="00386CB8" w:rsidRDefault="00933F3B" w:rsidP="004B7CDA">
            <w:pPr>
              <w:spacing w:line="276" w:lineRule="auto"/>
              <w:jc w:val="left"/>
              <w:rPr>
                <w:rFonts w:ascii="Times New Roman" w:hAnsi="Times New Roman" w:cs="Times New Roman"/>
                <w:b w:val="0"/>
                <w:bCs w:val="0"/>
                <w:sz w:val="24"/>
                <w:szCs w:val="24"/>
              </w:rPr>
            </w:pPr>
            <w:r w:rsidRPr="00386CB8">
              <w:rPr>
                <w:rFonts w:ascii="Times New Roman" w:hAnsi="Times New Roman" w:cs="Times New Roman"/>
                <w:b w:val="0"/>
                <w:bCs w:val="0"/>
                <w:sz w:val="24"/>
                <w:szCs w:val="24"/>
              </w:rPr>
              <w:t>Previous radical treatment</w:t>
            </w:r>
          </w:p>
        </w:tc>
        <w:tc>
          <w:tcPr>
            <w:tcW w:w="1327" w:type="dxa"/>
            <w:shd w:val="clear" w:color="auto" w:fill="auto"/>
            <w:hideMark/>
          </w:tcPr>
          <w:p w14:paraId="78CFB5DD" w14:textId="77777777" w:rsidR="00933F3B" w:rsidRPr="00386CB8" w:rsidRDefault="00933F3B" w:rsidP="004B7CD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0.852</w:t>
            </w:r>
          </w:p>
        </w:tc>
        <w:tc>
          <w:tcPr>
            <w:tcW w:w="0" w:type="auto"/>
            <w:shd w:val="clear" w:color="auto" w:fill="auto"/>
            <w:hideMark/>
          </w:tcPr>
          <w:p w14:paraId="5380CB55" w14:textId="4913714A" w:rsidR="00933F3B" w:rsidRPr="00386CB8" w:rsidRDefault="00933F3B" w:rsidP="004B7CD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0.8</w:t>
            </w:r>
            <w:r w:rsidRPr="00386CB8">
              <w:rPr>
                <w:rFonts w:ascii="Times New Roman" w:hAnsi="Times New Roman" w:cs="Times New Roman" w:hint="eastAsia"/>
                <w:sz w:val="24"/>
                <w:szCs w:val="24"/>
              </w:rPr>
              <w:t>52</w:t>
            </w:r>
          </w:p>
        </w:tc>
      </w:tr>
      <w:tr w:rsidR="00933F3B" w:rsidRPr="00386CB8" w14:paraId="52AAE1CE" w14:textId="77777777" w:rsidTr="007E3949">
        <w:tc>
          <w:tcPr>
            <w:cnfStyle w:val="001000000000" w:firstRow="0" w:lastRow="0" w:firstColumn="1" w:lastColumn="0" w:oddVBand="0" w:evenVBand="0" w:oddHBand="0" w:evenHBand="0" w:firstRowFirstColumn="0" w:firstRowLastColumn="0" w:lastRowFirstColumn="0" w:lastRowLastColumn="0"/>
            <w:tcW w:w="3828" w:type="dxa"/>
            <w:hideMark/>
          </w:tcPr>
          <w:p w14:paraId="1BAECE48" w14:textId="77777777" w:rsidR="00933F3B" w:rsidRPr="00386CB8" w:rsidRDefault="00933F3B" w:rsidP="004B7CDA">
            <w:pPr>
              <w:spacing w:line="276" w:lineRule="auto"/>
              <w:jc w:val="left"/>
              <w:rPr>
                <w:rFonts w:ascii="Times New Roman" w:hAnsi="Times New Roman" w:cs="Times New Roman"/>
                <w:b w:val="0"/>
                <w:bCs w:val="0"/>
                <w:sz w:val="24"/>
                <w:szCs w:val="24"/>
              </w:rPr>
            </w:pPr>
            <w:r w:rsidRPr="00386CB8">
              <w:rPr>
                <w:rFonts w:ascii="Times New Roman" w:hAnsi="Times New Roman" w:cs="Times New Roman"/>
                <w:b w:val="0"/>
                <w:bCs w:val="0"/>
                <w:sz w:val="24"/>
                <w:szCs w:val="24"/>
              </w:rPr>
              <w:t>Prior systemic treatment lines ≥2</w:t>
            </w:r>
          </w:p>
        </w:tc>
        <w:tc>
          <w:tcPr>
            <w:tcW w:w="1327" w:type="dxa"/>
            <w:hideMark/>
          </w:tcPr>
          <w:p w14:paraId="1C2C60E6" w14:textId="77777777" w:rsidR="00933F3B" w:rsidRPr="00386CB8" w:rsidRDefault="00933F3B" w:rsidP="004B7C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0.259</w:t>
            </w:r>
          </w:p>
        </w:tc>
        <w:tc>
          <w:tcPr>
            <w:tcW w:w="0" w:type="auto"/>
            <w:hideMark/>
          </w:tcPr>
          <w:p w14:paraId="6D8E08A1" w14:textId="7AEAC6A5" w:rsidR="00933F3B" w:rsidRPr="00386CB8" w:rsidRDefault="00933F3B" w:rsidP="004B7C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0.2</w:t>
            </w:r>
            <w:r w:rsidRPr="00386CB8">
              <w:rPr>
                <w:rFonts w:ascii="Times New Roman" w:hAnsi="Times New Roman" w:cs="Times New Roman" w:hint="eastAsia"/>
                <w:sz w:val="24"/>
                <w:szCs w:val="24"/>
              </w:rPr>
              <w:t>59</w:t>
            </w:r>
          </w:p>
        </w:tc>
      </w:tr>
      <w:tr w:rsidR="00933F3B" w:rsidRPr="00386CB8" w14:paraId="2F2E18EB" w14:textId="77777777" w:rsidTr="007E3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hideMark/>
          </w:tcPr>
          <w:p w14:paraId="00A56C17" w14:textId="77777777" w:rsidR="00933F3B" w:rsidRPr="00386CB8" w:rsidRDefault="00933F3B" w:rsidP="004B7CDA">
            <w:pPr>
              <w:spacing w:line="276" w:lineRule="auto"/>
              <w:jc w:val="left"/>
              <w:rPr>
                <w:rFonts w:ascii="Times New Roman" w:hAnsi="Times New Roman" w:cs="Times New Roman"/>
                <w:b w:val="0"/>
                <w:bCs w:val="0"/>
                <w:sz w:val="24"/>
                <w:szCs w:val="24"/>
              </w:rPr>
            </w:pPr>
            <w:r w:rsidRPr="00386CB8">
              <w:rPr>
                <w:rFonts w:ascii="Times New Roman" w:hAnsi="Times New Roman" w:cs="Times New Roman"/>
                <w:b w:val="0"/>
                <w:bCs w:val="0"/>
                <w:sz w:val="24"/>
                <w:szCs w:val="24"/>
              </w:rPr>
              <w:t>Previous targeted therapy</w:t>
            </w:r>
          </w:p>
        </w:tc>
        <w:tc>
          <w:tcPr>
            <w:tcW w:w="1327" w:type="dxa"/>
            <w:shd w:val="clear" w:color="auto" w:fill="auto"/>
            <w:hideMark/>
          </w:tcPr>
          <w:p w14:paraId="65305012" w14:textId="77777777" w:rsidR="00933F3B" w:rsidRPr="00386CB8" w:rsidRDefault="00933F3B" w:rsidP="004B7CD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0.389</w:t>
            </w:r>
          </w:p>
        </w:tc>
        <w:tc>
          <w:tcPr>
            <w:tcW w:w="0" w:type="auto"/>
            <w:shd w:val="clear" w:color="auto" w:fill="auto"/>
            <w:hideMark/>
          </w:tcPr>
          <w:p w14:paraId="097CB8B5" w14:textId="77777777" w:rsidR="00933F3B" w:rsidRPr="00386CB8" w:rsidRDefault="00933F3B" w:rsidP="004B7CD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0.389</w:t>
            </w:r>
          </w:p>
        </w:tc>
      </w:tr>
      <w:tr w:rsidR="00933F3B" w:rsidRPr="00386CB8" w14:paraId="33771CEE" w14:textId="77777777" w:rsidTr="007E3949">
        <w:tc>
          <w:tcPr>
            <w:cnfStyle w:val="001000000000" w:firstRow="0" w:lastRow="0" w:firstColumn="1" w:lastColumn="0" w:oddVBand="0" w:evenVBand="0" w:oddHBand="0" w:evenHBand="0" w:firstRowFirstColumn="0" w:firstRowLastColumn="0" w:lastRowFirstColumn="0" w:lastRowLastColumn="0"/>
            <w:tcW w:w="3828" w:type="dxa"/>
            <w:hideMark/>
          </w:tcPr>
          <w:p w14:paraId="167EC76A" w14:textId="77777777" w:rsidR="00933F3B" w:rsidRPr="00386CB8" w:rsidRDefault="00933F3B" w:rsidP="004B7CDA">
            <w:pPr>
              <w:spacing w:line="276" w:lineRule="auto"/>
              <w:jc w:val="left"/>
              <w:rPr>
                <w:rFonts w:ascii="Times New Roman" w:hAnsi="Times New Roman" w:cs="Times New Roman"/>
                <w:b w:val="0"/>
                <w:bCs w:val="0"/>
                <w:sz w:val="24"/>
                <w:szCs w:val="24"/>
              </w:rPr>
            </w:pPr>
            <w:r w:rsidRPr="00386CB8">
              <w:rPr>
                <w:rFonts w:ascii="Times New Roman" w:hAnsi="Times New Roman" w:cs="Times New Roman"/>
                <w:b w:val="0"/>
                <w:bCs w:val="0"/>
                <w:sz w:val="24"/>
                <w:szCs w:val="24"/>
              </w:rPr>
              <w:t>Number of metastatic sites &gt;1</w:t>
            </w:r>
          </w:p>
        </w:tc>
        <w:tc>
          <w:tcPr>
            <w:tcW w:w="1327" w:type="dxa"/>
            <w:hideMark/>
          </w:tcPr>
          <w:p w14:paraId="18B4F165" w14:textId="77777777" w:rsidR="00933F3B" w:rsidRPr="00386CB8" w:rsidRDefault="00933F3B" w:rsidP="004B7C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0.519</w:t>
            </w:r>
          </w:p>
        </w:tc>
        <w:tc>
          <w:tcPr>
            <w:tcW w:w="0" w:type="auto"/>
            <w:hideMark/>
          </w:tcPr>
          <w:p w14:paraId="709D78E5" w14:textId="73B60651" w:rsidR="00933F3B" w:rsidRPr="00386CB8" w:rsidRDefault="00933F3B" w:rsidP="004B7CD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0.5</w:t>
            </w:r>
            <w:r w:rsidRPr="00386CB8">
              <w:rPr>
                <w:rFonts w:ascii="Times New Roman" w:hAnsi="Times New Roman" w:cs="Times New Roman" w:hint="eastAsia"/>
                <w:sz w:val="24"/>
                <w:szCs w:val="24"/>
              </w:rPr>
              <w:t>19</w:t>
            </w:r>
          </w:p>
        </w:tc>
      </w:tr>
      <w:tr w:rsidR="00933F3B" w:rsidRPr="00386CB8" w14:paraId="16FBE287" w14:textId="77777777" w:rsidTr="007E3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hideMark/>
          </w:tcPr>
          <w:p w14:paraId="7B9D9E3D" w14:textId="77777777" w:rsidR="00933F3B" w:rsidRPr="00386CB8" w:rsidRDefault="00933F3B" w:rsidP="004B7CDA">
            <w:pPr>
              <w:spacing w:line="276" w:lineRule="auto"/>
              <w:jc w:val="left"/>
              <w:rPr>
                <w:rFonts w:ascii="Times New Roman" w:hAnsi="Times New Roman" w:cs="Times New Roman"/>
                <w:b w:val="0"/>
                <w:bCs w:val="0"/>
                <w:sz w:val="24"/>
                <w:szCs w:val="24"/>
              </w:rPr>
            </w:pPr>
            <w:r w:rsidRPr="00386CB8">
              <w:rPr>
                <w:rFonts w:ascii="Times New Roman" w:hAnsi="Times New Roman" w:cs="Times New Roman"/>
                <w:b w:val="0"/>
                <w:bCs w:val="0"/>
                <w:sz w:val="24"/>
                <w:szCs w:val="24"/>
              </w:rPr>
              <w:t>Previous platinum chemotherapy</w:t>
            </w:r>
          </w:p>
        </w:tc>
        <w:tc>
          <w:tcPr>
            <w:tcW w:w="1327" w:type="dxa"/>
            <w:shd w:val="clear" w:color="auto" w:fill="auto"/>
            <w:hideMark/>
          </w:tcPr>
          <w:p w14:paraId="68CC8ACF" w14:textId="77777777" w:rsidR="00933F3B" w:rsidRPr="00386CB8" w:rsidRDefault="00933F3B" w:rsidP="004B7CD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sz w:val="24"/>
                <w:szCs w:val="24"/>
              </w:rPr>
              <w:t>1.000</w:t>
            </w:r>
          </w:p>
        </w:tc>
        <w:tc>
          <w:tcPr>
            <w:tcW w:w="0" w:type="auto"/>
            <w:shd w:val="clear" w:color="auto" w:fill="auto"/>
            <w:hideMark/>
          </w:tcPr>
          <w:p w14:paraId="09F622C2" w14:textId="420CC8B2" w:rsidR="00933F3B" w:rsidRPr="00386CB8" w:rsidRDefault="00933F3B" w:rsidP="004B7CD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6CB8">
              <w:rPr>
                <w:rFonts w:ascii="Times New Roman" w:hAnsi="Times New Roman" w:cs="Times New Roman" w:hint="eastAsia"/>
                <w:sz w:val="24"/>
                <w:szCs w:val="24"/>
              </w:rPr>
              <w:t>1</w:t>
            </w:r>
            <w:r w:rsidRPr="00386CB8">
              <w:rPr>
                <w:rFonts w:ascii="Times New Roman" w:hAnsi="Times New Roman" w:cs="Times New Roman"/>
                <w:sz w:val="24"/>
                <w:szCs w:val="24"/>
              </w:rPr>
              <w:t>.</w:t>
            </w:r>
            <w:r w:rsidRPr="00386CB8">
              <w:rPr>
                <w:rFonts w:ascii="Times New Roman" w:hAnsi="Times New Roman" w:cs="Times New Roman" w:hint="eastAsia"/>
                <w:sz w:val="24"/>
                <w:szCs w:val="24"/>
              </w:rPr>
              <w:t>000</w:t>
            </w:r>
          </w:p>
        </w:tc>
      </w:tr>
    </w:tbl>
    <w:p w14:paraId="582E0C0A" w14:textId="77777777" w:rsidR="00DD25C0" w:rsidRPr="00386CB8" w:rsidRDefault="00DD25C0" w:rsidP="00DD25C0">
      <w:pPr>
        <w:spacing w:line="276" w:lineRule="auto"/>
        <w:rPr>
          <w:rFonts w:ascii="Times New Roman" w:hAnsi="Times New Roman" w:cs="Times New Roman"/>
          <w:sz w:val="24"/>
          <w:szCs w:val="24"/>
        </w:rPr>
      </w:pPr>
    </w:p>
    <w:p w14:paraId="7990C1E8" w14:textId="206EABAE" w:rsidR="00DD25C0" w:rsidRPr="00386CB8" w:rsidRDefault="00DD25C0" w:rsidP="00DD25C0">
      <w:pPr>
        <w:spacing w:line="276" w:lineRule="auto"/>
        <w:rPr>
          <w:rFonts w:ascii="Times New Roman" w:hAnsi="Times New Roman" w:cs="Times New Roman"/>
          <w:sz w:val="24"/>
          <w:szCs w:val="24"/>
        </w:rPr>
      </w:pPr>
      <w:r w:rsidRPr="00386CB8">
        <w:rPr>
          <w:rFonts w:ascii="Times New Roman" w:hAnsi="Times New Roman" w:cs="Times New Roman"/>
          <w:sz w:val="24"/>
          <w:szCs w:val="24"/>
        </w:rPr>
        <w:tab/>
        <w:t xml:space="preserve">The diagnostic assessment </w:t>
      </w:r>
      <w:r w:rsidR="007C6A77" w:rsidRPr="00386CB8">
        <w:rPr>
          <w:rFonts w:ascii="Times New Roman" w:hAnsi="Times New Roman" w:cs="Times New Roman" w:hint="eastAsia"/>
          <w:sz w:val="24"/>
          <w:szCs w:val="24"/>
        </w:rPr>
        <w:t>generated</w:t>
      </w:r>
      <w:r w:rsidRPr="00386CB8">
        <w:rPr>
          <w:rFonts w:ascii="Times New Roman" w:hAnsi="Times New Roman" w:cs="Times New Roman"/>
          <w:sz w:val="24"/>
          <w:szCs w:val="24"/>
        </w:rPr>
        <w:t xml:space="preserve"> a mean marginal distribution error of approximately 0.0</w:t>
      </w:r>
      <w:r w:rsidR="007E3949" w:rsidRPr="00386CB8">
        <w:rPr>
          <w:rFonts w:ascii="Times New Roman" w:hAnsi="Times New Roman" w:cs="Times New Roman" w:hint="eastAsia"/>
          <w:sz w:val="24"/>
          <w:szCs w:val="24"/>
        </w:rPr>
        <w:t>002</w:t>
      </w:r>
      <w:r w:rsidRPr="00386CB8">
        <w:rPr>
          <w:rFonts w:ascii="Times New Roman" w:hAnsi="Times New Roman" w:cs="Times New Roman"/>
          <w:sz w:val="24"/>
          <w:szCs w:val="24"/>
        </w:rPr>
        <w:t xml:space="preserve"> and maximum error of </w:t>
      </w:r>
      <w:r w:rsidR="007E3949" w:rsidRPr="00386CB8">
        <w:rPr>
          <w:rFonts w:ascii="Times New Roman" w:hAnsi="Times New Roman" w:cs="Times New Roman" w:hint="eastAsia"/>
          <w:sz w:val="24"/>
          <w:szCs w:val="24"/>
        </w:rPr>
        <w:t xml:space="preserve">less than </w:t>
      </w:r>
      <w:r w:rsidRPr="00386CB8">
        <w:rPr>
          <w:rFonts w:ascii="Times New Roman" w:hAnsi="Times New Roman" w:cs="Times New Roman"/>
          <w:sz w:val="24"/>
          <w:szCs w:val="24"/>
        </w:rPr>
        <w:t>0.0</w:t>
      </w:r>
      <w:r w:rsidR="007E3949" w:rsidRPr="00386CB8">
        <w:rPr>
          <w:rFonts w:ascii="Times New Roman" w:hAnsi="Times New Roman" w:cs="Times New Roman" w:hint="eastAsia"/>
          <w:sz w:val="24"/>
          <w:szCs w:val="24"/>
        </w:rPr>
        <w:t>005</w:t>
      </w:r>
      <w:r w:rsidRPr="00386CB8">
        <w:rPr>
          <w:rFonts w:ascii="Times New Roman" w:hAnsi="Times New Roman" w:cs="Times New Roman"/>
          <w:sz w:val="24"/>
          <w:szCs w:val="24"/>
        </w:rPr>
        <w:t>. Inter-covariate correlation structure was preserved with reasonable</w:t>
      </w:r>
      <w:r w:rsidR="007E3949" w:rsidRPr="00386CB8">
        <w:rPr>
          <w:rFonts w:ascii="Times New Roman" w:hAnsi="Times New Roman" w:cs="Times New Roman" w:hint="eastAsia"/>
          <w:sz w:val="24"/>
          <w:szCs w:val="24"/>
        </w:rPr>
        <w:t xml:space="preserve"> but imperfect</w:t>
      </w:r>
      <w:r w:rsidRPr="00386CB8">
        <w:rPr>
          <w:rFonts w:ascii="Times New Roman" w:hAnsi="Times New Roman" w:cs="Times New Roman"/>
          <w:sz w:val="24"/>
          <w:szCs w:val="24"/>
        </w:rPr>
        <w:t xml:space="preserve"> fidelity, showing a mean absolute difference of 0.1</w:t>
      </w:r>
      <w:r w:rsidR="007E3949" w:rsidRPr="00386CB8">
        <w:rPr>
          <w:rFonts w:ascii="Times New Roman" w:hAnsi="Times New Roman" w:cs="Times New Roman" w:hint="eastAsia"/>
          <w:sz w:val="24"/>
          <w:szCs w:val="24"/>
        </w:rPr>
        <w:t>25</w:t>
      </w:r>
      <w:r w:rsidRPr="00386CB8">
        <w:rPr>
          <w:rFonts w:ascii="Times New Roman" w:hAnsi="Times New Roman" w:cs="Times New Roman" w:hint="eastAsia"/>
          <w:sz w:val="24"/>
          <w:szCs w:val="24"/>
        </w:rPr>
        <w:t xml:space="preserve"> (Appendix Fig. 1)</w:t>
      </w:r>
      <w:r w:rsidRPr="00386CB8">
        <w:rPr>
          <w:rFonts w:ascii="Times New Roman" w:hAnsi="Times New Roman" w:cs="Times New Roman"/>
          <w:sz w:val="24"/>
          <w:szCs w:val="24"/>
        </w:rPr>
        <w:t xml:space="preserve">. </w:t>
      </w:r>
    </w:p>
    <w:p w14:paraId="416BDF29" w14:textId="77777777" w:rsidR="00DD25C0" w:rsidRPr="00386CB8" w:rsidRDefault="00DD25C0" w:rsidP="00DD25C0">
      <w:pPr>
        <w:spacing w:line="276" w:lineRule="auto"/>
        <w:rPr>
          <w:rFonts w:ascii="Times New Roman" w:hAnsi="Times New Roman" w:cs="Times New Roman"/>
          <w:sz w:val="24"/>
          <w:szCs w:val="24"/>
        </w:rPr>
      </w:pPr>
    </w:p>
    <w:p w14:paraId="625D07BA" w14:textId="3BAF97B5" w:rsidR="00DD25C0" w:rsidRPr="00386CB8" w:rsidRDefault="00933F3B" w:rsidP="00DD25C0">
      <w:pPr>
        <w:spacing w:line="276" w:lineRule="auto"/>
        <w:rPr>
          <w:rFonts w:ascii="Times New Roman" w:hAnsi="Times New Roman" w:cs="Times New Roman"/>
          <w:sz w:val="24"/>
          <w:szCs w:val="24"/>
        </w:rPr>
      </w:pPr>
      <w:r w:rsidRPr="00386CB8">
        <w:rPr>
          <w:rFonts w:ascii="Times New Roman" w:hAnsi="Times New Roman" w:cs="Times New Roman"/>
          <w:noProof/>
          <w:sz w:val="24"/>
          <w:szCs w:val="24"/>
        </w:rPr>
        <w:drawing>
          <wp:inline distT="0" distB="0" distL="0" distR="0" wp14:anchorId="5A5BC681" wp14:editId="7F7C23EF">
            <wp:extent cx="5274310" cy="3465195"/>
            <wp:effectExtent l="0" t="0" r="2540" b="1905"/>
            <wp:docPr id="12934801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80113" name="图片 12934801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465195"/>
                    </a:xfrm>
                    <a:prstGeom prst="rect">
                      <a:avLst/>
                    </a:prstGeom>
                  </pic:spPr>
                </pic:pic>
              </a:graphicData>
            </a:graphic>
          </wp:inline>
        </w:drawing>
      </w:r>
    </w:p>
    <w:p w14:paraId="25FE50A0" w14:textId="142C4F8B" w:rsidR="00DD25C0" w:rsidRPr="00386CB8" w:rsidRDefault="00220EEA" w:rsidP="00DD25C0">
      <w:pPr>
        <w:spacing w:line="276" w:lineRule="auto"/>
        <w:rPr>
          <w:rFonts w:ascii="Times New Roman" w:hAnsi="Times New Roman" w:cs="Times New Roman"/>
          <w:sz w:val="24"/>
          <w:szCs w:val="24"/>
        </w:rPr>
      </w:pPr>
      <w:r w:rsidRPr="00386CB8">
        <w:rPr>
          <w:rFonts w:ascii="Times New Roman" w:hAnsi="Times New Roman" w:cs="Times New Roman" w:hint="eastAsia"/>
          <w:sz w:val="24"/>
          <w:szCs w:val="24"/>
        </w:rPr>
        <w:t xml:space="preserve">Appendix Figure 1. Diagnostic Assessment of Pseudo-IPD Generation Quality for </w:t>
      </w:r>
      <w:proofErr w:type="spellStart"/>
      <w:r w:rsidRPr="00386CB8">
        <w:rPr>
          <w:rFonts w:ascii="Times New Roman" w:hAnsi="Times New Roman" w:cs="Times New Roman" w:hint="eastAsia"/>
          <w:sz w:val="24"/>
          <w:szCs w:val="24"/>
        </w:rPr>
        <w:t>Camrelizumab</w:t>
      </w:r>
      <w:proofErr w:type="spellEnd"/>
      <w:r w:rsidRPr="00386CB8">
        <w:rPr>
          <w:rFonts w:ascii="Times New Roman" w:hAnsi="Times New Roman" w:cs="Times New Roman" w:hint="eastAsia"/>
          <w:sz w:val="24"/>
          <w:szCs w:val="24"/>
        </w:rPr>
        <w:t xml:space="preserve"> Population. </w:t>
      </w:r>
    </w:p>
    <w:p w14:paraId="725E5EE6" w14:textId="00BF2DFB" w:rsidR="00220EEA" w:rsidRPr="00386CB8" w:rsidRDefault="00220EEA" w:rsidP="00DD25C0">
      <w:pPr>
        <w:spacing w:line="276" w:lineRule="auto"/>
        <w:rPr>
          <w:rFonts w:ascii="Times New Roman" w:hAnsi="Times New Roman" w:cs="Times New Roman"/>
          <w:sz w:val="24"/>
          <w:szCs w:val="24"/>
        </w:rPr>
      </w:pPr>
      <w:r w:rsidRPr="00386CB8">
        <w:rPr>
          <w:rFonts w:ascii="Times New Roman" w:hAnsi="Times New Roman" w:cs="Times New Roman" w:hint="eastAsia"/>
          <w:b/>
          <w:bCs/>
          <w:sz w:val="24"/>
          <w:szCs w:val="24"/>
        </w:rPr>
        <w:t xml:space="preserve">Top panels: </w:t>
      </w:r>
      <w:r w:rsidRPr="00386CB8">
        <w:rPr>
          <w:rFonts w:ascii="Times New Roman" w:hAnsi="Times New Roman" w:cs="Times New Roman" w:hint="eastAsia"/>
          <w:sz w:val="24"/>
          <w:szCs w:val="24"/>
        </w:rPr>
        <w:t xml:space="preserve">Marginal distribution assessment showing (left) target versus achieved proportions for nine baseline covariates, (center) absolute errors between target and </w:t>
      </w:r>
      <w:r w:rsidRPr="00386CB8">
        <w:rPr>
          <w:rFonts w:ascii="Times New Roman" w:hAnsi="Times New Roman" w:cs="Times New Roman" w:hint="eastAsia"/>
          <w:sz w:val="24"/>
          <w:szCs w:val="24"/>
        </w:rPr>
        <w:lastRenderedPageBreak/>
        <w:t xml:space="preserve">generated prevalences, and (right) original pairwise correlation structure in the </w:t>
      </w:r>
      <w:proofErr w:type="spellStart"/>
      <w:r w:rsidR="00911738">
        <w:rPr>
          <w:rFonts w:ascii="Times New Roman" w:hAnsi="Times New Roman" w:cs="Times New Roman" w:hint="eastAsia"/>
          <w:sz w:val="24"/>
          <w:szCs w:val="24"/>
        </w:rPr>
        <w:t>e</w:t>
      </w:r>
      <w:r w:rsidRPr="00386CB8">
        <w:rPr>
          <w:rFonts w:ascii="Times New Roman" w:hAnsi="Times New Roman" w:cs="Times New Roman" w:hint="eastAsia"/>
          <w:sz w:val="24"/>
          <w:szCs w:val="24"/>
        </w:rPr>
        <w:t>nlonstobart</w:t>
      </w:r>
      <w:proofErr w:type="spellEnd"/>
      <w:r w:rsidRPr="00386CB8">
        <w:rPr>
          <w:rFonts w:ascii="Times New Roman" w:hAnsi="Times New Roman" w:cs="Times New Roman" w:hint="eastAsia"/>
          <w:sz w:val="24"/>
          <w:szCs w:val="24"/>
        </w:rPr>
        <w:t xml:space="preserve"> IPD.</w:t>
      </w:r>
    </w:p>
    <w:p w14:paraId="1274BDFD" w14:textId="04DAE135" w:rsidR="00220EEA" w:rsidRPr="00386CB8" w:rsidRDefault="00220EEA" w:rsidP="00DD25C0">
      <w:pPr>
        <w:spacing w:line="276" w:lineRule="auto"/>
        <w:rPr>
          <w:rFonts w:ascii="Times New Roman" w:hAnsi="Times New Roman" w:cs="Times New Roman"/>
          <w:sz w:val="24"/>
          <w:szCs w:val="24"/>
        </w:rPr>
      </w:pPr>
      <w:r w:rsidRPr="00386CB8">
        <w:rPr>
          <w:rFonts w:ascii="Times New Roman" w:hAnsi="Times New Roman" w:cs="Times New Roman" w:hint="eastAsia"/>
          <w:b/>
          <w:bCs/>
          <w:sz w:val="24"/>
          <w:szCs w:val="24"/>
        </w:rPr>
        <w:t>Bottom panels:</w:t>
      </w:r>
      <w:r w:rsidRPr="00386CB8">
        <w:rPr>
          <w:rFonts w:ascii="Times New Roman" w:hAnsi="Times New Roman" w:cs="Times New Roman" w:hint="eastAsia"/>
          <w:sz w:val="24"/>
          <w:szCs w:val="24"/>
        </w:rPr>
        <w:t xml:space="preserve"> Correlation structure preservation showing (left) generated pseudo-IPD correlation matrix, (center) absolute element-wise differences between original and generated correlations, and (right) summary quality metrics.</w:t>
      </w:r>
    </w:p>
    <w:p w14:paraId="49C70B4B" w14:textId="7D262275" w:rsidR="00220EEA" w:rsidRPr="00386CB8" w:rsidRDefault="00220EEA" w:rsidP="00DD25C0">
      <w:pPr>
        <w:spacing w:line="276" w:lineRule="auto"/>
        <w:rPr>
          <w:rFonts w:ascii="Times New Roman" w:hAnsi="Times New Roman" w:cs="Times New Roman"/>
          <w:sz w:val="24"/>
          <w:szCs w:val="24"/>
        </w:rPr>
      </w:pPr>
      <w:r w:rsidRPr="00386CB8">
        <w:rPr>
          <w:rFonts w:ascii="Times New Roman" w:hAnsi="Times New Roman" w:cs="Times New Roman" w:hint="eastAsia"/>
          <w:b/>
          <w:bCs/>
          <w:sz w:val="24"/>
          <w:szCs w:val="24"/>
        </w:rPr>
        <w:t>Abbreviations:</w:t>
      </w:r>
      <w:r w:rsidRPr="00386CB8">
        <w:rPr>
          <w:rFonts w:ascii="Times New Roman" w:hAnsi="Times New Roman" w:cs="Times New Roman" w:hint="eastAsia"/>
          <w:sz w:val="24"/>
          <w:szCs w:val="24"/>
        </w:rPr>
        <w:t xml:space="preserve"> ECOG PS = Eastern Cooperative Oncology Group Performance Status; IPD = individual patient data.</w:t>
      </w:r>
    </w:p>
    <w:p w14:paraId="2867CCBD" w14:textId="77777777" w:rsidR="00DD25C0" w:rsidRPr="00386CB8" w:rsidRDefault="00DD25C0" w:rsidP="00DD25C0">
      <w:pPr>
        <w:spacing w:line="276" w:lineRule="auto"/>
        <w:rPr>
          <w:rFonts w:ascii="Times New Roman" w:hAnsi="Times New Roman" w:cs="Times New Roman"/>
          <w:sz w:val="24"/>
          <w:szCs w:val="24"/>
        </w:rPr>
      </w:pPr>
    </w:p>
    <w:p w14:paraId="3126347F" w14:textId="71DA4042" w:rsidR="00DD25C0" w:rsidRPr="00386CB8" w:rsidRDefault="00DD25C0" w:rsidP="00DD25C0">
      <w:pPr>
        <w:spacing w:line="276" w:lineRule="auto"/>
        <w:rPr>
          <w:rFonts w:ascii="Times New Roman" w:hAnsi="Times New Roman" w:cs="Times New Roman"/>
          <w:sz w:val="24"/>
          <w:szCs w:val="24"/>
        </w:rPr>
      </w:pPr>
      <w:r w:rsidRPr="00386CB8">
        <w:rPr>
          <w:rFonts w:ascii="Times New Roman" w:hAnsi="Times New Roman" w:cs="Times New Roman"/>
          <w:sz w:val="24"/>
          <w:szCs w:val="24"/>
        </w:rPr>
        <w:tab/>
        <w:t>We fitted separate Weibull AFT models to the IPD (</w:t>
      </w:r>
      <w:proofErr w:type="spellStart"/>
      <w:r w:rsidR="00E31D66">
        <w:rPr>
          <w:rFonts w:ascii="Times New Roman" w:hAnsi="Times New Roman" w:cs="Times New Roman" w:hint="eastAsia"/>
          <w:sz w:val="24"/>
          <w:szCs w:val="24"/>
        </w:rPr>
        <w:t>e</w:t>
      </w:r>
      <w:r w:rsidRPr="00386CB8">
        <w:rPr>
          <w:rFonts w:ascii="Times New Roman" w:hAnsi="Times New Roman" w:cs="Times New Roman"/>
          <w:sz w:val="24"/>
          <w:szCs w:val="24"/>
        </w:rPr>
        <w:t>nlonstobart</w:t>
      </w:r>
      <w:proofErr w:type="spellEnd"/>
      <w:r w:rsidRPr="00386CB8">
        <w:rPr>
          <w:rFonts w:ascii="Times New Roman" w:hAnsi="Times New Roman" w:cs="Times New Roman"/>
          <w:sz w:val="24"/>
          <w:szCs w:val="24"/>
        </w:rPr>
        <w:t>) and pseudo-IPD (</w:t>
      </w:r>
      <w:proofErr w:type="spellStart"/>
      <w:r w:rsidR="00E31D66">
        <w:rPr>
          <w:rFonts w:ascii="Times New Roman" w:hAnsi="Times New Roman" w:cs="Times New Roman" w:hint="eastAsia"/>
          <w:sz w:val="24"/>
          <w:szCs w:val="24"/>
        </w:rPr>
        <w:t>c</w:t>
      </w:r>
      <w:r w:rsidRPr="00386CB8">
        <w:rPr>
          <w:rFonts w:ascii="Times New Roman" w:hAnsi="Times New Roman" w:cs="Times New Roman"/>
          <w:sz w:val="24"/>
          <w:szCs w:val="24"/>
        </w:rPr>
        <w:t>amrelizumab</w:t>
      </w:r>
      <w:proofErr w:type="spellEnd"/>
      <w:r w:rsidRPr="00386CB8">
        <w:rPr>
          <w:rFonts w:ascii="Times New Roman" w:hAnsi="Times New Roman" w:cs="Times New Roman"/>
          <w:sz w:val="24"/>
          <w:szCs w:val="24"/>
        </w:rPr>
        <w:t xml:space="preserve">) for both PFS and OS endpoints. The STC analysis using point-wise cumulative-hazard averaging under the Weibull-derived proportional hazards framework yielded hazard ratios favoring </w:t>
      </w:r>
      <w:proofErr w:type="spellStart"/>
      <w:r w:rsidR="00E31D66">
        <w:rPr>
          <w:rFonts w:ascii="Times New Roman" w:hAnsi="Times New Roman" w:cs="Times New Roman" w:hint="eastAsia"/>
          <w:sz w:val="24"/>
          <w:szCs w:val="24"/>
        </w:rPr>
        <w:t>e</w:t>
      </w:r>
      <w:r w:rsidRPr="00386CB8">
        <w:rPr>
          <w:rFonts w:ascii="Times New Roman" w:hAnsi="Times New Roman" w:cs="Times New Roman"/>
          <w:sz w:val="24"/>
          <w:szCs w:val="24"/>
        </w:rPr>
        <w:t>nlonstobart</w:t>
      </w:r>
      <w:proofErr w:type="spellEnd"/>
      <w:r w:rsidRPr="00386CB8">
        <w:rPr>
          <w:rFonts w:ascii="Times New Roman" w:hAnsi="Times New Roman" w:cs="Times New Roman"/>
          <w:sz w:val="24"/>
          <w:szCs w:val="24"/>
        </w:rPr>
        <w:t xml:space="preserve"> over </w:t>
      </w:r>
      <w:proofErr w:type="spellStart"/>
      <w:r w:rsidR="00E31D66">
        <w:rPr>
          <w:rFonts w:ascii="Times New Roman" w:hAnsi="Times New Roman" w:cs="Times New Roman" w:hint="eastAsia"/>
          <w:sz w:val="24"/>
          <w:szCs w:val="24"/>
        </w:rPr>
        <w:t>c</w:t>
      </w:r>
      <w:r w:rsidRPr="00386CB8">
        <w:rPr>
          <w:rFonts w:ascii="Times New Roman" w:hAnsi="Times New Roman" w:cs="Times New Roman"/>
          <w:sz w:val="24"/>
          <w:szCs w:val="24"/>
        </w:rPr>
        <w:t>amrelizumab</w:t>
      </w:r>
      <w:proofErr w:type="spellEnd"/>
      <w:r w:rsidRPr="00386CB8">
        <w:rPr>
          <w:rFonts w:ascii="Times New Roman" w:hAnsi="Times New Roman" w:cs="Times New Roman"/>
          <w:sz w:val="24"/>
          <w:szCs w:val="24"/>
        </w:rPr>
        <w:t>. For PFS, the STC hazard ratio was 0.</w:t>
      </w:r>
      <w:r w:rsidR="007E3949" w:rsidRPr="00386CB8">
        <w:rPr>
          <w:rFonts w:ascii="Times New Roman" w:hAnsi="Times New Roman" w:cs="Times New Roman" w:hint="eastAsia"/>
          <w:sz w:val="24"/>
          <w:szCs w:val="24"/>
        </w:rPr>
        <w:t>77</w:t>
      </w:r>
      <w:r w:rsidRPr="00386CB8">
        <w:rPr>
          <w:rFonts w:ascii="Times New Roman" w:hAnsi="Times New Roman" w:cs="Times New Roman"/>
          <w:sz w:val="24"/>
          <w:szCs w:val="24"/>
        </w:rPr>
        <w:t>9 (95% CI: 0.7</w:t>
      </w:r>
      <w:r w:rsidR="007E3949" w:rsidRPr="00386CB8">
        <w:rPr>
          <w:rFonts w:ascii="Times New Roman" w:hAnsi="Times New Roman" w:cs="Times New Roman" w:hint="eastAsia"/>
          <w:sz w:val="24"/>
          <w:szCs w:val="24"/>
        </w:rPr>
        <w:t>05</w:t>
      </w:r>
      <w:r w:rsidRPr="00386CB8">
        <w:rPr>
          <w:rFonts w:ascii="Times New Roman" w:hAnsi="Times New Roman" w:cs="Times New Roman"/>
          <w:sz w:val="24"/>
          <w:szCs w:val="24"/>
        </w:rPr>
        <w:t>–0.</w:t>
      </w:r>
      <w:r w:rsidR="007E3949" w:rsidRPr="00386CB8">
        <w:rPr>
          <w:rFonts w:ascii="Times New Roman" w:hAnsi="Times New Roman" w:cs="Times New Roman" w:hint="eastAsia"/>
          <w:sz w:val="24"/>
          <w:szCs w:val="24"/>
        </w:rPr>
        <w:t>861</w:t>
      </w:r>
      <w:r w:rsidRPr="00386CB8">
        <w:rPr>
          <w:rFonts w:ascii="Times New Roman" w:hAnsi="Times New Roman" w:cs="Times New Roman"/>
          <w:sz w:val="24"/>
          <w:szCs w:val="24"/>
        </w:rPr>
        <w:t xml:space="preserve">), indicating </w:t>
      </w:r>
      <w:r w:rsidR="007E3949" w:rsidRPr="00386CB8">
        <w:rPr>
          <w:rFonts w:ascii="Times New Roman" w:hAnsi="Times New Roman" w:cs="Times New Roman" w:hint="eastAsia"/>
          <w:sz w:val="24"/>
          <w:szCs w:val="24"/>
        </w:rPr>
        <w:t>over</w:t>
      </w:r>
      <w:r w:rsidRPr="00386CB8">
        <w:rPr>
          <w:rFonts w:ascii="Times New Roman" w:hAnsi="Times New Roman" w:cs="Times New Roman"/>
          <w:sz w:val="24"/>
          <w:szCs w:val="24"/>
        </w:rPr>
        <w:t xml:space="preserve"> </w:t>
      </w:r>
      <w:r w:rsidR="007E3949" w:rsidRPr="00386CB8">
        <w:rPr>
          <w:rFonts w:ascii="Times New Roman" w:hAnsi="Times New Roman" w:cs="Times New Roman" w:hint="eastAsia"/>
          <w:sz w:val="24"/>
          <w:szCs w:val="24"/>
        </w:rPr>
        <w:t>20</w:t>
      </w:r>
      <w:r w:rsidRPr="00386CB8">
        <w:rPr>
          <w:rFonts w:ascii="Times New Roman" w:hAnsi="Times New Roman" w:cs="Times New Roman"/>
          <w:sz w:val="24"/>
          <w:szCs w:val="24"/>
        </w:rPr>
        <w:t>% reduction in progression risk. For OS, the hazard ratio was 0.7</w:t>
      </w:r>
      <w:r w:rsidR="007E3949" w:rsidRPr="00386CB8">
        <w:rPr>
          <w:rFonts w:ascii="Times New Roman" w:hAnsi="Times New Roman" w:cs="Times New Roman" w:hint="eastAsia"/>
          <w:sz w:val="24"/>
          <w:szCs w:val="24"/>
        </w:rPr>
        <w:t>33</w:t>
      </w:r>
      <w:r w:rsidRPr="00386CB8">
        <w:rPr>
          <w:rFonts w:ascii="Times New Roman" w:hAnsi="Times New Roman" w:cs="Times New Roman"/>
          <w:sz w:val="24"/>
          <w:szCs w:val="24"/>
        </w:rPr>
        <w:t xml:space="preserve"> (95% CI: 0.</w:t>
      </w:r>
      <w:r w:rsidR="007E3949" w:rsidRPr="00386CB8">
        <w:rPr>
          <w:rFonts w:ascii="Times New Roman" w:hAnsi="Times New Roman" w:cs="Times New Roman" w:hint="eastAsia"/>
          <w:sz w:val="24"/>
          <w:szCs w:val="24"/>
        </w:rPr>
        <w:t>680</w:t>
      </w:r>
      <w:r w:rsidRPr="00386CB8">
        <w:rPr>
          <w:rFonts w:ascii="Times New Roman" w:hAnsi="Times New Roman" w:cs="Times New Roman"/>
          <w:sz w:val="24"/>
          <w:szCs w:val="24"/>
        </w:rPr>
        <w:t>–0.</w:t>
      </w:r>
      <w:r w:rsidR="007E3949" w:rsidRPr="00386CB8">
        <w:rPr>
          <w:rFonts w:ascii="Times New Roman" w:hAnsi="Times New Roman" w:cs="Times New Roman" w:hint="eastAsia"/>
          <w:sz w:val="24"/>
          <w:szCs w:val="24"/>
        </w:rPr>
        <w:t>78</w:t>
      </w:r>
      <w:r w:rsidRPr="00386CB8">
        <w:rPr>
          <w:rFonts w:ascii="Times New Roman" w:hAnsi="Times New Roman" w:cs="Times New Roman"/>
          <w:sz w:val="24"/>
          <w:szCs w:val="24"/>
        </w:rPr>
        <w:t xml:space="preserve">9), corresponding to approximately </w:t>
      </w:r>
      <w:r w:rsidR="007E3949" w:rsidRPr="00386CB8">
        <w:rPr>
          <w:rFonts w:ascii="Times New Roman" w:hAnsi="Times New Roman" w:cs="Times New Roman" w:hint="eastAsia"/>
          <w:sz w:val="24"/>
          <w:szCs w:val="24"/>
        </w:rPr>
        <w:t>3</w:t>
      </w:r>
      <w:r w:rsidRPr="00386CB8">
        <w:rPr>
          <w:rFonts w:ascii="Times New Roman" w:hAnsi="Times New Roman" w:cs="Times New Roman"/>
          <w:sz w:val="24"/>
          <w:szCs w:val="24"/>
        </w:rPr>
        <w:t>0% reduction in mortality risk.</w:t>
      </w:r>
    </w:p>
    <w:p w14:paraId="6ECD383B" w14:textId="77777777" w:rsidR="00DD25C0" w:rsidRPr="00386CB8" w:rsidRDefault="00DD25C0" w:rsidP="00202F67">
      <w:pPr>
        <w:rPr>
          <w:rFonts w:ascii="Times New Roman" w:hAnsi="Times New Roman" w:cs="Times New Roman"/>
          <w:sz w:val="24"/>
          <w:szCs w:val="28"/>
        </w:rPr>
      </w:pPr>
    </w:p>
    <w:p w14:paraId="79504BF8" w14:textId="77777777" w:rsidR="00DD25C0" w:rsidRPr="00386CB8" w:rsidRDefault="00DD25C0" w:rsidP="00202F67">
      <w:pPr>
        <w:rPr>
          <w:rFonts w:ascii="Times New Roman" w:hAnsi="Times New Roman" w:cs="Times New Roman"/>
          <w:sz w:val="24"/>
          <w:szCs w:val="28"/>
        </w:rPr>
      </w:pPr>
    </w:p>
    <w:p w14:paraId="3CB0A69D" w14:textId="1A6A0EE4" w:rsidR="00D91DDB" w:rsidRPr="0011359D" w:rsidRDefault="00FD709D" w:rsidP="00202F67">
      <w:pPr>
        <w:rPr>
          <w:rFonts w:ascii="Times New Roman" w:hAnsi="Times New Roman" w:cs="Times New Roman"/>
          <w:b/>
          <w:bCs/>
          <w:sz w:val="24"/>
          <w:szCs w:val="28"/>
        </w:rPr>
      </w:pPr>
      <w:r w:rsidRPr="0011359D">
        <w:rPr>
          <w:rFonts w:ascii="Times New Roman" w:hAnsi="Times New Roman" w:cs="Times New Roman" w:hint="eastAsia"/>
          <w:b/>
          <w:bCs/>
          <w:sz w:val="24"/>
          <w:szCs w:val="28"/>
        </w:rPr>
        <w:t>Appendix References</w:t>
      </w:r>
    </w:p>
    <w:p w14:paraId="6AF90E27" w14:textId="512157D7" w:rsidR="00FD709D" w:rsidRDefault="00FD709D" w:rsidP="00FD709D">
      <w:pPr>
        <w:pStyle w:val="a9"/>
        <w:numPr>
          <w:ilvl w:val="0"/>
          <w:numId w:val="1"/>
        </w:numPr>
        <w:rPr>
          <w:rFonts w:ascii="Times New Roman" w:hAnsi="Times New Roman" w:cs="Times New Roman"/>
          <w:sz w:val="24"/>
          <w:szCs w:val="28"/>
        </w:rPr>
      </w:pPr>
      <w:r w:rsidRPr="00FD709D">
        <w:rPr>
          <w:rFonts w:ascii="Times New Roman" w:hAnsi="Times New Roman" w:cs="Times New Roman" w:hint="eastAsia"/>
          <w:sz w:val="24"/>
          <w:szCs w:val="28"/>
        </w:rPr>
        <w:t>Yi, Y. &amp; Jiang, Y. A process to validate prognostic factors for unanchored matching-adjusted indirect comparison of single-arm trials in oncology: A proof-of-concept study. J Comp Eff Res 14, e240235, doi:10.57264/cer-2024-0235 (2025).</w:t>
      </w:r>
    </w:p>
    <w:p w14:paraId="28DA578A" w14:textId="3553EA89" w:rsidR="00E31D66" w:rsidRPr="00FD709D" w:rsidRDefault="00E31D66" w:rsidP="00FD709D">
      <w:pPr>
        <w:pStyle w:val="a9"/>
        <w:numPr>
          <w:ilvl w:val="0"/>
          <w:numId w:val="1"/>
        </w:numPr>
        <w:rPr>
          <w:rFonts w:ascii="Times New Roman" w:hAnsi="Times New Roman" w:cs="Times New Roman" w:hint="eastAsia"/>
          <w:sz w:val="24"/>
          <w:szCs w:val="28"/>
        </w:rPr>
      </w:pPr>
      <w:r w:rsidRPr="00E31D66">
        <w:rPr>
          <w:rFonts w:ascii="Times New Roman" w:hAnsi="Times New Roman" w:cs="Times New Roman" w:hint="eastAsia"/>
          <w:sz w:val="24"/>
          <w:szCs w:val="28"/>
        </w:rPr>
        <w:t xml:space="preserve">Zhang, L., </w:t>
      </w:r>
      <w:proofErr w:type="spellStart"/>
      <w:r w:rsidRPr="00E31D66">
        <w:rPr>
          <w:rFonts w:ascii="Times New Roman" w:hAnsi="Times New Roman" w:cs="Times New Roman" w:hint="eastAsia"/>
          <w:sz w:val="24"/>
          <w:szCs w:val="28"/>
        </w:rPr>
        <w:t>Bujkiewicz</w:t>
      </w:r>
      <w:proofErr w:type="spellEnd"/>
      <w:r w:rsidRPr="00E31D66">
        <w:rPr>
          <w:rFonts w:ascii="Times New Roman" w:hAnsi="Times New Roman" w:cs="Times New Roman" w:hint="eastAsia"/>
          <w:sz w:val="24"/>
          <w:szCs w:val="28"/>
        </w:rPr>
        <w:t>, S. &amp; Jackson, D. Four alternative methodologies for simulated treatment comparison: How could the use of simulation be re-invigorated? Research Synthesis Methods 15, 227-241, doi:10.1002/jrsm.1681 (2024).</w:t>
      </w:r>
    </w:p>
    <w:sectPr w:rsidR="00E31D66" w:rsidRPr="00FD70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9213" w14:textId="77777777" w:rsidR="001F331F" w:rsidRDefault="001F331F" w:rsidP="00202F67">
      <w:pPr>
        <w:rPr>
          <w:rFonts w:hint="eastAsia"/>
        </w:rPr>
      </w:pPr>
      <w:r>
        <w:separator/>
      </w:r>
    </w:p>
  </w:endnote>
  <w:endnote w:type="continuationSeparator" w:id="0">
    <w:p w14:paraId="20417DEC" w14:textId="77777777" w:rsidR="001F331F" w:rsidRDefault="001F331F" w:rsidP="00202F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5F64" w14:textId="77777777" w:rsidR="001F331F" w:rsidRDefault="001F331F" w:rsidP="00202F67">
      <w:pPr>
        <w:rPr>
          <w:rFonts w:hint="eastAsia"/>
        </w:rPr>
      </w:pPr>
      <w:r>
        <w:separator/>
      </w:r>
    </w:p>
  </w:footnote>
  <w:footnote w:type="continuationSeparator" w:id="0">
    <w:p w14:paraId="5833B573" w14:textId="77777777" w:rsidR="001F331F" w:rsidRDefault="001F331F" w:rsidP="00202F6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B69E8"/>
    <w:multiLevelType w:val="hybridMultilevel"/>
    <w:tmpl w:val="3D9875DA"/>
    <w:lvl w:ilvl="0" w:tplc="22846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5363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0"/>
    <w:rsid w:val="000116D6"/>
    <w:rsid w:val="0011359D"/>
    <w:rsid w:val="001A3979"/>
    <w:rsid w:val="001F331F"/>
    <w:rsid w:val="00202F67"/>
    <w:rsid w:val="00220EEA"/>
    <w:rsid w:val="00305DBF"/>
    <w:rsid w:val="00316E24"/>
    <w:rsid w:val="003407F6"/>
    <w:rsid w:val="00386CB8"/>
    <w:rsid w:val="003C12A2"/>
    <w:rsid w:val="003D1E37"/>
    <w:rsid w:val="003D6C5C"/>
    <w:rsid w:val="003E5A41"/>
    <w:rsid w:val="004357F7"/>
    <w:rsid w:val="00473A8D"/>
    <w:rsid w:val="005944F4"/>
    <w:rsid w:val="005D015A"/>
    <w:rsid w:val="005E5E96"/>
    <w:rsid w:val="005F3803"/>
    <w:rsid w:val="00630EB0"/>
    <w:rsid w:val="006A5152"/>
    <w:rsid w:val="00713544"/>
    <w:rsid w:val="007C6A77"/>
    <w:rsid w:val="007D54A9"/>
    <w:rsid w:val="007E3949"/>
    <w:rsid w:val="00854C37"/>
    <w:rsid w:val="008B2839"/>
    <w:rsid w:val="00911738"/>
    <w:rsid w:val="00933F3B"/>
    <w:rsid w:val="00994862"/>
    <w:rsid w:val="009C7E7E"/>
    <w:rsid w:val="00A0279F"/>
    <w:rsid w:val="00B57647"/>
    <w:rsid w:val="00B90F8B"/>
    <w:rsid w:val="00B96A44"/>
    <w:rsid w:val="00BD3554"/>
    <w:rsid w:val="00C86798"/>
    <w:rsid w:val="00CB7FEC"/>
    <w:rsid w:val="00D37CE1"/>
    <w:rsid w:val="00D67F43"/>
    <w:rsid w:val="00D91DDB"/>
    <w:rsid w:val="00DC69C3"/>
    <w:rsid w:val="00DD25C0"/>
    <w:rsid w:val="00E31D66"/>
    <w:rsid w:val="00E45D37"/>
    <w:rsid w:val="00EA2339"/>
    <w:rsid w:val="00F00DD1"/>
    <w:rsid w:val="00F34780"/>
    <w:rsid w:val="00FD7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A527"/>
  <w15:chartTrackingRefBased/>
  <w15:docId w15:val="{D5ECAB8B-D89B-4538-9C30-365085B4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478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3478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3478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3478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3478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3478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3478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78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3478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78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3478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3478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34780"/>
    <w:rPr>
      <w:rFonts w:cstheme="majorBidi"/>
      <w:color w:val="0F4761" w:themeColor="accent1" w:themeShade="BF"/>
      <w:sz w:val="28"/>
      <w:szCs w:val="28"/>
    </w:rPr>
  </w:style>
  <w:style w:type="character" w:customStyle="1" w:styleId="50">
    <w:name w:val="标题 5 字符"/>
    <w:basedOn w:val="a0"/>
    <w:link w:val="5"/>
    <w:uiPriority w:val="9"/>
    <w:semiHidden/>
    <w:rsid w:val="00F34780"/>
    <w:rPr>
      <w:rFonts w:cstheme="majorBidi"/>
      <w:color w:val="0F4761" w:themeColor="accent1" w:themeShade="BF"/>
      <w:sz w:val="24"/>
      <w:szCs w:val="24"/>
    </w:rPr>
  </w:style>
  <w:style w:type="character" w:customStyle="1" w:styleId="60">
    <w:name w:val="标题 6 字符"/>
    <w:basedOn w:val="a0"/>
    <w:link w:val="6"/>
    <w:uiPriority w:val="9"/>
    <w:semiHidden/>
    <w:rsid w:val="00F34780"/>
    <w:rPr>
      <w:rFonts w:cstheme="majorBidi"/>
      <w:b/>
      <w:bCs/>
      <w:color w:val="0F4761" w:themeColor="accent1" w:themeShade="BF"/>
    </w:rPr>
  </w:style>
  <w:style w:type="character" w:customStyle="1" w:styleId="70">
    <w:name w:val="标题 7 字符"/>
    <w:basedOn w:val="a0"/>
    <w:link w:val="7"/>
    <w:uiPriority w:val="9"/>
    <w:semiHidden/>
    <w:rsid w:val="00F34780"/>
    <w:rPr>
      <w:rFonts w:cstheme="majorBidi"/>
      <w:b/>
      <w:bCs/>
      <w:color w:val="595959" w:themeColor="text1" w:themeTint="A6"/>
    </w:rPr>
  </w:style>
  <w:style w:type="character" w:customStyle="1" w:styleId="80">
    <w:name w:val="标题 8 字符"/>
    <w:basedOn w:val="a0"/>
    <w:link w:val="8"/>
    <w:uiPriority w:val="9"/>
    <w:semiHidden/>
    <w:rsid w:val="00F34780"/>
    <w:rPr>
      <w:rFonts w:cstheme="majorBidi"/>
      <w:color w:val="595959" w:themeColor="text1" w:themeTint="A6"/>
    </w:rPr>
  </w:style>
  <w:style w:type="character" w:customStyle="1" w:styleId="90">
    <w:name w:val="标题 9 字符"/>
    <w:basedOn w:val="a0"/>
    <w:link w:val="9"/>
    <w:uiPriority w:val="9"/>
    <w:semiHidden/>
    <w:rsid w:val="00F34780"/>
    <w:rPr>
      <w:rFonts w:eastAsiaTheme="majorEastAsia" w:cstheme="majorBidi"/>
      <w:color w:val="595959" w:themeColor="text1" w:themeTint="A6"/>
    </w:rPr>
  </w:style>
  <w:style w:type="paragraph" w:styleId="a3">
    <w:name w:val="Title"/>
    <w:basedOn w:val="a"/>
    <w:next w:val="a"/>
    <w:link w:val="a4"/>
    <w:uiPriority w:val="10"/>
    <w:qFormat/>
    <w:rsid w:val="00F347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7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7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780"/>
    <w:pPr>
      <w:spacing w:before="160" w:after="160"/>
      <w:jc w:val="center"/>
    </w:pPr>
    <w:rPr>
      <w:i/>
      <w:iCs/>
      <w:color w:val="404040" w:themeColor="text1" w:themeTint="BF"/>
    </w:rPr>
  </w:style>
  <w:style w:type="character" w:customStyle="1" w:styleId="a8">
    <w:name w:val="引用 字符"/>
    <w:basedOn w:val="a0"/>
    <w:link w:val="a7"/>
    <w:uiPriority w:val="29"/>
    <w:rsid w:val="00F34780"/>
    <w:rPr>
      <w:i/>
      <w:iCs/>
      <w:color w:val="404040" w:themeColor="text1" w:themeTint="BF"/>
    </w:rPr>
  </w:style>
  <w:style w:type="paragraph" w:styleId="a9">
    <w:name w:val="List Paragraph"/>
    <w:basedOn w:val="a"/>
    <w:uiPriority w:val="34"/>
    <w:qFormat/>
    <w:rsid w:val="00F34780"/>
    <w:pPr>
      <w:ind w:left="720"/>
      <w:contextualSpacing/>
    </w:pPr>
  </w:style>
  <w:style w:type="character" w:styleId="aa">
    <w:name w:val="Intense Emphasis"/>
    <w:basedOn w:val="a0"/>
    <w:uiPriority w:val="21"/>
    <w:qFormat/>
    <w:rsid w:val="00F34780"/>
    <w:rPr>
      <w:i/>
      <w:iCs/>
      <w:color w:val="0F4761" w:themeColor="accent1" w:themeShade="BF"/>
    </w:rPr>
  </w:style>
  <w:style w:type="paragraph" w:styleId="ab">
    <w:name w:val="Intense Quote"/>
    <w:basedOn w:val="a"/>
    <w:next w:val="a"/>
    <w:link w:val="ac"/>
    <w:uiPriority w:val="30"/>
    <w:qFormat/>
    <w:rsid w:val="00F34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34780"/>
    <w:rPr>
      <w:i/>
      <w:iCs/>
      <w:color w:val="0F4761" w:themeColor="accent1" w:themeShade="BF"/>
    </w:rPr>
  </w:style>
  <w:style w:type="character" w:styleId="ad">
    <w:name w:val="Intense Reference"/>
    <w:basedOn w:val="a0"/>
    <w:uiPriority w:val="32"/>
    <w:qFormat/>
    <w:rsid w:val="00F34780"/>
    <w:rPr>
      <w:b/>
      <w:bCs/>
      <w:smallCaps/>
      <w:color w:val="0F4761" w:themeColor="accent1" w:themeShade="BF"/>
      <w:spacing w:val="5"/>
    </w:rPr>
  </w:style>
  <w:style w:type="paragraph" w:styleId="ae">
    <w:name w:val="header"/>
    <w:basedOn w:val="a"/>
    <w:link w:val="af"/>
    <w:uiPriority w:val="99"/>
    <w:unhideWhenUsed/>
    <w:rsid w:val="00202F67"/>
    <w:pPr>
      <w:tabs>
        <w:tab w:val="center" w:pos="4153"/>
        <w:tab w:val="right" w:pos="8306"/>
      </w:tabs>
      <w:snapToGrid w:val="0"/>
      <w:jc w:val="center"/>
    </w:pPr>
    <w:rPr>
      <w:sz w:val="18"/>
      <w:szCs w:val="18"/>
    </w:rPr>
  </w:style>
  <w:style w:type="character" w:customStyle="1" w:styleId="af">
    <w:name w:val="页眉 字符"/>
    <w:basedOn w:val="a0"/>
    <w:link w:val="ae"/>
    <w:uiPriority w:val="99"/>
    <w:rsid w:val="00202F67"/>
    <w:rPr>
      <w:sz w:val="18"/>
      <w:szCs w:val="18"/>
    </w:rPr>
  </w:style>
  <w:style w:type="paragraph" w:styleId="af0">
    <w:name w:val="footer"/>
    <w:basedOn w:val="a"/>
    <w:link w:val="af1"/>
    <w:uiPriority w:val="99"/>
    <w:unhideWhenUsed/>
    <w:rsid w:val="00202F67"/>
    <w:pPr>
      <w:tabs>
        <w:tab w:val="center" w:pos="4153"/>
        <w:tab w:val="right" w:pos="8306"/>
      </w:tabs>
      <w:snapToGrid w:val="0"/>
      <w:jc w:val="left"/>
    </w:pPr>
    <w:rPr>
      <w:sz w:val="18"/>
      <w:szCs w:val="18"/>
    </w:rPr>
  </w:style>
  <w:style w:type="character" w:customStyle="1" w:styleId="af1">
    <w:name w:val="页脚 字符"/>
    <w:basedOn w:val="a0"/>
    <w:link w:val="af0"/>
    <w:uiPriority w:val="99"/>
    <w:rsid w:val="00202F67"/>
    <w:rPr>
      <w:sz w:val="18"/>
      <w:szCs w:val="18"/>
    </w:rPr>
  </w:style>
  <w:style w:type="table" w:styleId="61">
    <w:name w:val="List Table 6 Colorful"/>
    <w:basedOn w:val="a1"/>
    <w:uiPriority w:val="51"/>
    <w:rsid w:val="00DD25C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2">
    <w:name w:val="Placeholder Text"/>
    <w:basedOn w:val="a0"/>
    <w:uiPriority w:val="99"/>
    <w:semiHidden/>
    <w:rsid w:val="007135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20</cp:revision>
  <dcterms:created xsi:type="dcterms:W3CDTF">2025-08-11T14:22:00Z</dcterms:created>
  <dcterms:modified xsi:type="dcterms:W3CDTF">2025-09-13T05:03:00Z</dcterms:modified>
</cp:coreProperties>
</file>