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9600">
      <w:pPr>
        <w:jc w:val="left"/>
        <w:rPr>
          <w:rFonts w:hint="default" w:ascii="Arial" w:hAnsi="Arial" w:eastAsia="宋体" w:cs="Arial"/>
          <w:color w:val="000000"/>
          <w:sz w:val="20"/>
          <w:szCs w:val="20"/>
          <w:highlight w:val="none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Supplementary Table 1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Demographic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d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istribution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of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the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ASD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g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roup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and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the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c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ontrol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  <w:lang w:val="en-US" w:eastAsia="zh-CN"/>
        </w:rPr>
        <w:t xml:space="preserve"> g</w:t>
      </w:r>
      <w:r>
        <w:rPr>
          <w:rFonts w:hint="default" w:ascii="Arial" w:hAnsi="Arial" w:eastAsia="宋体" w:cs="Arial"/>
          <w:color w:val="000000"/>
          <w:sz w:val="20"/>
          <w:szCs w:val="20"/>
          <w:highlight w:val="none"/>
        </w:rPr>
        <w:t>roup</w:t>
      </w:r>
    </w:p>
    <w:tbl>
      <w:tblPr>
        <w:tblStyle w:val="3"/>
        <w:tblW w:w="89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894"/>
        <w:gridCol w:w="1910"/>
        <w:gridCol w:w="1720"/>
        <w:gridCol w:w="1640"/>
        <w:gridCol w:w="837"/>
      </w:tblGrid>
      <w:tr w14:paraId="6B04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6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8B6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3804" w:type="dxa"/>
            <w:gridSpan w:val="2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EC49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default" w:ascii="Arial" w:hAnsi="Arial" w:eastAsia="宋体" w:cs="Arial"/>
                <w:i/>
                <w:iCs/>
                <w:color w:val="000000"/>
                <w:sz w:val="20"/>
                <w:szCs w:val="20"/>
                <w:highlight w:val="none"/>
                <w:lang w:val="en-US" w:eastAsia="zh-CN"/>
              </w:rPr>
              <w:t>P25, P75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)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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EEA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Mann</w:t>
            </w:r>
            <w:r>
              <w:rPr>
                <w:rFonts w:hint="eastAsia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Whitney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test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statistic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U-value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895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eastAsia="宋体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Mann</w:t>
            </w:r>
            <w:r>
              <w:rPr>
                <w:rFonts w:hint="eastAsia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Whitney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test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statistic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z-value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68A4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</w:rPr>
              <w:t>P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value</w:t>
            </w:r>
          </w:p>
        </w:tc>
      </w:tr>
      <w:tr w14:paraId="5B33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E1E61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894" w:type="dxa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01D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Control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(n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=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96)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963E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ASD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(n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=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95)</w:t>
            </w: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60466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2E259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837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42CBF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</w:tr>
      <w:tr w14:paraId="2878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3" w:hRule="atLeast"/>
          <w:jc w:val="center"/>
        </w:trPr>
        <w:tc>
          <w:tcPr>
            <w:tcW w:w="985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5B51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Age</w:t>
            </w:r>
          </w:p>
        </w:tc>
        <w:tc>
          <w:tcPr>
            <w:tcW w:w="1894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DB5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7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(6.0,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10.0)</w:t>
            </w:r>
          </w:p>
        </w:tc>
        <w:tc>
          <w:tcPr>
            <w:tcW w:w="191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52F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8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(6.0,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10.0)</w:t>
            </w:r>
          </w:p>
        </w:tc>
        <w:tc>
          <w:tcPr>
            <w:tcW w:w="172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B76A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4499.5</w:t>
            </w:r>
          </w:p>
        </w:tc>
        <w:tc>
          <w:tcPr>
            <w:tcW w:w="164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DA1F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-0.160</w:t>
            </w:r>
          </w:p>
        </w:tc>
        <w:tc>
          <w:tcPr>
            <w:tcW w:w="837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F0E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0.873</w:t>
            </w:r>
          </w:p>
        </w:tc>
      </w:tr>
      <w:tr w14:paraId="0C8A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85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80D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Gender</w:t>
            </w:r>
          </w:p>
        </w:tc>
        <w:tc>
          <w:tcPr>
            <w:tcW w:w="1894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222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(1.0,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2.0)</w:t>
            </w:r>
          </w:p>
        </w:tc>
        <w:tc>
          <w:tcPr>
            <w:tcW w:w="191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7920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(1.0,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2.0)</w:t>
            </w:r>
          </w:p>
        </w:tc>
        <w:tc>
          <w:tcPr>
            <w:tcW w:w="172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6E7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4383</w:t>
            </w:r>
          </w:p>
        </w:tc>
        <w:tc>
          <w:tcPr>
            <w:tcW w:w="164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566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-0.588</w:t>
            </w:r>
          </w:p>
        </w:tc>
        <w:tc>
          <w:tcPr>
            <w:tcW w:w="837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AA5E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0.557</w:t>
            </w:r>
          </w:p>
        </w:tc>
      </w:tr>
    </w:tbl>
    <w:p w14:paraId="434AB04E">
      <w:pPr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 xml:space="preserve">Note: 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The two groups of data show no statistical difference in children's age and gender (all </w:t>
      </w:r>
      <w:r>
        <w:rPr>
          <w:rFonts w:hint="default" w:ascii="Arial" w:hAnsi="Arial" w:cs="Arial"/>
          <w:i/>
          <w:iCs/>
          <w:sz w:val="20"/>
          <w:szCs w:val="20"/>
          <w:highlight w:val="none"/>
          <w:lang w:val="en-US" w:eastAsia="zh-CN"/>
        </w:rPr>
        <w:t>p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values &gt; 0.05).</w:t>
      </w:r>
    </w:p>
    <w:p w14:paraId="6EFB85D9"/>
    <w:p w14:paraId="7DDFAA45">
      <w:pPr>
        <w:jc w:val="left"/>
        <w:rPr>
          <w:rFonts w:hint="default" w:ascii="Arial" w:hAnsi="Arial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Supplementary Table 2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Refractive status of the ASD group and the control group</w:t>
      </w:r>
    </w:p>
    <w:tbl>
      <w:tblPr>
        <w:tblStyle w:val="3"/>
        <w:tblW w:w="9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060"/>
        <w:gridCol w:w="1870"/>
        <w:gridCol w:w="1680"/>
        <w:gridCol w:w="1730"/>
        <w:gridCol w:w="1170"/>
      </w:tblGrid>
      <w:tr w14:paraId="00D0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5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3708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 w:eastAsiaTheme="minorEastAsia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9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255D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M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</w:rPr>
              <w:t>M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</w:rPr>
              <w:t>±Q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335D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Mann-Whitney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test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statistic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U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value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CCF6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Mann-Whitney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test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statistic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z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value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3C5B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</w:rPr>
              <w:t>p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value</w:t>
            </w:r>
          </w:p>
        </w:tc>
      </w:tr>
      <w:tr w14:paraId="09B2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B9AEB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956B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Control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(n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=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96)</w:t>
            </w:r>
          </w:p>
        </w:tc>
        <w:tc>
          <w:tcPr>
            <w:tcW w:w="1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E6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ASD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group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(n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=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95)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32249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345A3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52F86">
            <w:pPr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</w:tr>
      <w:tr w14:paraId="0B7D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59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73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SPH</w:t>
            </w:r>
          </w:p>
        </w:tc>
        <w:tc>
          <w:tcPr>
            <w:tcW w:w="206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575A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-0.25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2.10</w:t>
            </w:r>
          </w:p>
        </w:tc>
        <w:tc>
          <w:tcPr>
            <w:tcW w:w="187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F68B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0.25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1.10</w:t>
            </w:r>
          </w:p>
        </w:tc>
        <w:tc>
          <w:tcPr>
            <w:tcW w:w="168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6A27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2685.5</w:t>
            </w:r>
          </w:p>
        </w:tc>
        <w:tc>
          <w:tcPr>
            <w:tcW w:w="173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BD5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-4.936</w:t>
            </w:r>
          </w:p>
        </w:tc>
        <w:tc>
          <w:tcPr>
            <w:tcW w:w="117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76F6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  <w:t>0.000**</w:t>
            </w:r>
          </w:p>
        </w:tc>
      </w:tr>
      <w:tr w14:paraId="2F5D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D6FB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CYL</w:t>
            </w: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1089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-0.50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D75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-0.75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1.50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B67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3523.0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D13E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-2.744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5B4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  <w:t>0.006**</w:t>
            </w:r>
          </w:p>
        </w:tc>
      </w:tr>
      <w:tr w14:paraId="168B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59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BB6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SE</w:t>
            </w:r>
          </w:p>
        </w:tc>
        <w:tc>
          <w:tcPr>
            <w:tcW w:w="206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53EE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-0.50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187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70E7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0.00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±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1.30</w:t>
            </w:r>
          </w:p>
        </w:tc>
        <w:tc>
          <w:tcPr>
            <w:tcW w:w="168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1929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3264.5</w:t>
            </w:r>
          </w:p>
        </w:tc>
        <w:tc>
          <w:tcPr>
            <w:tcW w:w="173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52B3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  <w:t>-3.400</w:t>
            </w:r>
          </w:p>
        </w:tc>
        <w:tc>
          <w:tcPr>
            <w:tcW w:w="117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0A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  <w:t>0.001**</w:t>
            </w:r>
          </w:p>
        </w:tc>
      </w:tr>
    </w:tbl>
    <w:p w14:paraId="2C465C36">
      <w:pPr>
        <w:rPr>
          <w:color w:val="000000"/>
        </w:rPr>
      </w:pPr>
      <w:r>
        <w:rPr>
          <w:b/>
          <w:bCs/>
          <w:color w:val="000000"/>
        </w:rPr>
        <w:t>Note:</w:t>
      </w:r>
      <w:r>
        <w:rPr>
          <w:color w:val="000000"/>
        </w:rPr>
        <w:t xml:space="preserve"> ** </w:t>
      </w:r>
      <w:r>
        <w:rPr>
          <w:i/>
          <w:iCs/>
          <w:color w:val="000000"/>
        </w:rPr>
        <w:t>p</w:t>
      </w:r>
      <w:r>
        <w:rPr>
          <w:color w:val="000000"/>
        </w:rPr>
        <w:t>&lt;0.01:</w:t>
      </w:r>
      <w:r>
        <w:rPr>
          <w:rFonts w:hint="default" w:ascii="Arial" w:hAnsi="Arial" w:cs="Arial"/>
          <w:color w:val="000000"/>
          <w:szCs w:val="20"/>
          <w:lang w:eastAsia="zh-CN"/>
        </w:rPr>
        <w:t xml:space="preserve"> Values in bold indicate statistical significance at </w:t>
      </w:r>
      <w:r>
        <w:rPr>
          <w:rFonts w:hint="default" w:ascii="Arial" w:hAnsi="Arial" w:eastAsia="宋体" w:cs="Arial"/>
          <w:i/>
          <w:iCs/>
          <w:color w:val="000000"/>
          <w:sz w:val="18"/>
          <w:szCs w:val="18"/>
          <w:lang w:eastAsia="zh-CN"/>
        </w:rPr>
        <w:t>p</w:t>
      </w:r>
      <w:r>
        <w:rPr>
          <w:rFonts w:hint="default" w:ascii="Arial" w:hAnsi="Arial" w:cs="Arial"/>
          <w:color w:val="000000"/>
          <w:szCs w:val="20"/>
          <w:lang w:eastAsia="zh-CN"/>
        </w:rPr>
        <w:t>&lt;0.0</w:t>
      </w:r>
      <w:r>
        <w:rPr>
          <w:rFonts w:hint="eastAsia" w:cs="Arial"/>
          <w:color w:val="000000"/>
          <w:szCs w:val="20"/>
          <w:lang w:val="en-US" w:eastAsia="zh-CN"/>
        </w:rPr>
        <w:t>1.</w:t>
      </w:r>
    </w:p>
    <w:p w14:paraId="39AE7CCE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Date are presented as mean </w:t>
      </w:r>
      <w:r>
        <w:rPr>
          <w:color w:val="000000"/>
        </w:rPr>
        <w:t>±</w:t>
      </w:r>
      <w:r>
        <w:rPr>
          <w:rFonts w:hint="eastAsia"/>
          <w:color w:val="000000"/>
          <w:lang w:val="en-US" w:eastAsia="zh-CN"/>
        </w:rPr>
        <w:t xml:space="preserve"> SD (diopter,D). SPH, spherical; CYL, cylindrical; SE,spherical equivalent. Statistical comparisons were performed using the Mann-Whitney U test. </w:t>
      </w:r>
      <w:r>
        <w:rPr>
          <w:rFonts w:hint="eastAsia"/>
          <w:i/>
          <w:iCs/>
          <w:color w:val="000000"/>
          <w:lang w:val="en-US" w:eastAsia="zh-CN"/>
        </w:rPr>
        <w:t>p</w:t>
      </w:r>
      <w:r>
        <w:rPr>
          <w:color w:val="000000"/>
        </w:rPr>
        <w:t>&lt;0.01</w:t>
      </w:r>
      <w:r>
        <w:rPr>
          <w:rFonts w:hint="eastAsia"/>
          <w:color w:val="000000"/>
          <w:lang w:val="en-US" w:eastAsia="zh-CN"/>
        </w:rPr>
        <w:t xml:space="preserve"> vs. control group (ASD group n= 95, control group n=96).</w:t>
      </w:r>
    </w:p>
    <w:p w14:paraId="428ABBD0"/>
    <w:p w14:paraId="4CA2DECC"/>
    <w:p w14:paraId="0F11C04C">
      <w:pPr>
        <w:jc w:val="left"/>
        <w:rPr>
          <w:rFonts w:hint="default" w:ascii="Arial" w:hAnsi="Arial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Supplementary Table 3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ROC results AUC summary</w:t>
      </w:r>
    </w:p>
    <w:tbl>
      <w:tblPr>
        <w:tblStyle w:val="3"/>
        <w:tblW w:w="48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1698"/>
        <w:gridCol w:w="1277"/>
        <w:gridCol w:w="1392"/>
        <w:gridCol w:w="2133"/>
      </w:tblGrid>
      <w:tr w14:paraId="7DB8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tblHeader/>
        </w:trPr>
        <w:tc>
          <w:tcPr>
            <w:tcW w:w="9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AFAFA"/>
            <w:vAlign w:val="center"/>
          </w:tcPr>
          <w:p w14:paraId="198F8B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Item</w:t>
            </w:r>
          </w:p>
        </w:tc>
        <w:tc>
          <w:tcPr>
            <w:tcW w:w="1048" w:type="pct"/>
            <w:tcBorders>
              <w:top w:val="single" w:color="auto" w:sz="4" w:space="0"/>
              <w:bottom w:val="single" w:color="auto" w:sz="4" w:space="0"/>
            </w:tcBorders>
            <w:shd w:val="clear" w:color="auto" w:fill="FAFAFA"/>
            <w:vAlign w:val="center"/>
          </w:tcPr>
          <w:p w14:paraId="403241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AUC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FAFAFA"/>
            <w:vAlign w:val="center"/>
          </w:tcPr>
          <w:p w14:paraId="291BA2F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Standard error</w:t>
            </w:r>
          </w:p>
        </w:tc>
        <w:tc>
          <w:tcPr>
            <w:tcW w:w="859" w:type="pct"/>
            <w:tcBorders>
              <w:top w:val="single" w:color="auto" w:sz="4" w:space="0"/>
              <w:bottom w:val="single" w:color="auto" w:sz="4" w:space="0"/>
            </w:tcBorders>
            <w:shd w:val="clear" w:color="auto" w:fill="FAFAFA"/>
            <w:vAlign w:val="center"/>
          </w:tcPr>
          <w:p w14:paraId="4662D60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/>
                <w:sz w:val="20"/>
                <w:szCs w:val="20"/>
                <w:highlight w:val="none"/>
              </w:rPr>
              <w:t>p</w:t>
            </w:r>
          </w:p>
        </w:tc>
        <w:tc>
          <w:tcPr>
            <w:tcW w:w="13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AFAFA"/>
            <w:vAlign w:val="center"/>
          </w:tcPr>
          <w:p w14:paraId="51FBEE8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95% CI</w:t>
            </w:r>
          </w:p>
        </w:tc>
      </w:tr>
      <w:tr w14:paraId="1C8F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86" w:type="pct"/>
            <w:shd w:val="clear" w:color="auto" w:fill="FFFFFF"/>
            <w:vAlign w:val="center"/>
          </w:tcPr>
          <w:p w14:paraId="00993D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Combined diagnoses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56A10B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0.741</w:t>
            </w:r>
          </w:p>
        </w:tc>
        <w:tc>
          <w:tcPr>
            <w:tcW w:w="788" w:type="pct"/>
            <w:shd w:val="clear" w:color="auto" w:fill="FFFFFF"/>
            <w:vAlign w:val="center"/>
          </w:tcPr>
          <w:p w14:paraId="4B3CF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0.036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41EA90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highlight w:val="none"/>
              </w:rPr>
              <w:t>0.000**</w:t>
            </w:r>
          </w:p>
        </w:tc>
        <w:tc>
          <w:tcPr>
            <w:tcW w:w="1316" w:type="pct"/>
            <w:shd w:val="clear" w:color="auto" w:fill="FFFFFF"/>
            <w:vAlign w:val="center"/>
          </w:tcPr>
          <w:p w14:paraId="15C874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0.669 ~ 0.812</w:t>
            </w:r>
          </w:p>
        </w:tc>
      </w:tr>
      <w:tr w14:paraId="42EA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986" w:type="pct"/>
            <w:shd w:val="clear" w:color="auto" w:fill="FFFFFF"/>
            <w:vAlign w:val="center"/>
          </w:tcPr>
          <w:p w14:paraId="0CDAD5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CYL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426D4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0.386</w:t>
            </w:r>
          </w:p>
        </w:tc>
        <w:tc>
          <w:tcPr>
            <w:tcW w:w="788" w:type="pct"/>
            <w:shd w:val="clear" w:color="auto" w:fill="FFFFFF"/>
            <w:vAlign w:val="center"/>
          </w:tcPr>
          <w:p w14:paraId="5D0899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0.043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A3667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highlight w:val="none"/>
              </w:rPr>
              <w:t>0.008**</w:t>
            </w:r>
          </w:p>
        </w:tc>
        <w:tc>
          <w:tcPr>
            <w:tcW w:w="1316" w:type="pct"/>
            <w:shd w:val="clear" w:color="auto" w:fill="FFFFFF"/>
            <w:vAlign w:val="center"/>
          </w:tcPr>
          <w:p w14:paraId="7B583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0.301 ~ 0.471</w:t>
            </w:r>
          </w:p>
        </w:tc>
      </w:tr>
      <w:tr w14:paraId="77E0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986" w:type="pct"/>
            <w:shd w:val="clear" w:color="auto" w:fill="FFFFFF"/>
            <w:vAlign w:val="center"/>
          </w:tcPr>
          <w:p w14:paraId="272276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SE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25B11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0.644</w:t>
            </w:r>
          </w:p>
        </w:tc>
        <w:tc>
          <w:tcPr>
            <w:tcW w:w="788" w:type="pct"/>
            <w:shd w:val="clear" w:color="auto" w:fill="FFFFFF"/>
            <w:vAlign w:val="center"/>
          </w:tcPr>
          <w:p w14:paraId="35C125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0.040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10D2B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highlight w:val="none"/>
              </w:rPr>
              <w:t>0.001**</w:t>
            </w:r>
          </w:p>
        </w:tc>
        <w:tc>
          <w:tcPr>
            <w:tcW w:w="1316" w:type="pct"/>
            <w:shd w:val="clear" w:color="auto" w:fill="FFFFFF"/>
            <w:vAlign w:val="center"/>
          </w:tcPr>
          <w:p w14:paraId="0D94CE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0.565 ~ 0.723</w:t>
            </w:r>
          </w:p>
        </w:tc>
      </w:tr>
      <w:tr w14:paraId="7798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86" w:type="pct"/>
            <w:tcBorders>
              <w:bottom w:val="nil"/>
            </w:tcBorders>
            <w:shd w:val="clear" w:color="auto" w:fill="FFFFFF"/>
            <w:vAlign w:val="center"/>
          </w:tcPr>
          <w:p w14:paraId="1F1103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AL/CR</w:t>
            </w:r>
          </w:p>
        </w:tc>
        <w:tc>
          <w:tcPr>
            <w:tcW w:w="1048" w:type="pct"/>
            <w:tcBorders>
              <w:bottom w:val="nil"/>
            </w:tcBorders>
            <w:shd w:val="clear" w:color="auto" w:fill="FFFFFF"/>
            <w:vAlign w:val="center"/>
          </w:tcPr>
          <w:p w14:paraId="4C021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0.439</w:t>
            </w:r>
          </w:p>
        </w:tc>
        <w:tc>
          <w:tcPr>
            <w:tcW w:w="788" w:type="pct"/>
            <w:tcBorders>
              <w:bottom w:val="nil"/>
            </w:tcBorders>
            <w:shd w:val="clear" w:color="auto" w:fill="FFFFFF"/>
            <w:vAlign w:val="center"/>
          </w:tcPr>
          <w:p w14:paraId="7212B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0.042</w:t>
            </w:r>
          </w:p>
        </w:tc>
        <w:tc>
          <w:tcPr>
            <w:tcW w:w="859" w:type="pct"/>
            <w:tcBorders>
              <w:bottom w:val="nil"/>
            </w:tcBorders>
            <w:shd w:val="clear" w:color="auto" w:fill="FFFFFF"/>
            <w:vAlign w:val="center"/>
          </w:tcPr>
          <w:p w14:paraId="70FD6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0.156</w:t>
            </w:r>
          </w:p>
        </w:tc>
        <w:tc>
          <w:tcPr>
            <w:tcW w:w="1316" w:type="pct"/>
            <w:tcBorders>
              <w:bottom w:val="nil"/>
            </w:tcBorders>
            <w:shd w:val="clear" w:color="auto" w:fill="FFFFFF"/>
            <w:vAlign w:val="center"/>
          </w:tcPr>
          <w:p w14:paraId="356E5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0.356 ~ 0.523</w:t>
            </w:r>
          </w:p>
        </w:tc>
      </w:tr>
      <w:tr w14:paraId="0A70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986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0ED908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A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D</w:t>
            </w:r>
          </w:p>
        </w:tc>
        <w:tc>
          <w:tcPr>
            <w:tcW w:w="1048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1163A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0.409</w:t>
            </w:r>
          </w:p>
        </w:tc>
        <w:tc>
          <w:tcPr>
            <w:tcW w:w="788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20CD0F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0.042</w:t>
            </w:r>
          </w:p>
        </w:tc>
        <w:tc>
          <w:tcPr>
            <w:tcW w:w="859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5066B9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highlight w:val="none"/>
              </w:rPr>
              <w:t>0.033*</w:t>
            </w:r>
          </w:p>
        </w:tc>
        <w:tc>
          <w:tcPr>
            <w:tcW w:w="1316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5040B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0.327 ~ 0.491</w:t>
            </w:r>
          </w:p>
        </w:tc>
      </w:tr>
    </w:tbl>
    <w:p w14:paraId="73766D92">
      <w:pPr>
        <w:pStyle w:val="2"/>
        <w:spacing w:beforeAutospacing="1" w:afterAutospacing="1" w:line="480" w:lineRule="auto"/>
        <w:rPr>
          <w:rFonts w:hint="eastAsia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Note:</w:t>
      </w:r>
      <w:r>
        <w:rPr>
          <w:rFonts w:hint="eastAsia" w:cs="Arial"/>
          <w:b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Cs w:val="20"/>
          <w:lang w:eastAsia="zh-CN"/>
        </w:rPr>
        <w:t>*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/>
          <w:iCs/>
          <w:sz w:val="20"/>
          <w:szCs w:val="20"/>
          <w:highlight w:val="none"/>
          <w:lang w:eastAsia="zh-CN"/>
        </w:rPr>
        <w:t>p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  <w:lang w:eastAsia="zh-CN"/>
        </w:rPr>
        <w:t xml:space="preserve">&lt;0.05: </w:t>
      </w:r>
      <w:r>
        <w:rPr>
          <w:rFonts w:hint="default" w:ascii="Arial" w:hAnsi="Arial" w:cs="Arial"/>
          <w:sz w:val="20"/>
          <w:szCs w:val="20"/>
          <w:highlight w:val="none"/>
          <w:lang w:eastAsia="zh-CN"/>
        </w:rPr>
        <w:t xml:space="preserve">Values in bold indicate statistical significance at </w:t>
      </w:r>
      <w:r>
        <w:rPr>
          <w:rFonts w:hint="default" w:ascii="Arial" w:hAnsi="Arial" w:cs="Arial" w:eastAsiaTheme="minorEastAsia"/>
          <w:i w:val="0"/>
          <w:iCs w:val="0"/>
          <w:sz w:val="20"/>
          <w:szCs w:val="20"/>
          <w:highlight w:val="none"/>
          <w:lang w:eastAsia="zh-CN"/>
        </w:rPr>
        <w:t>p</w:t>
      </w:r>
      <w:r>
        <w:rPr>
          <w:rFonts w:hint="default" w:ascii="Arial" w:hAnsi="Arial" w:cs="Arial"/>
          <w:sz w:val="20"/>
          <w:szCs w:val="20"/>
          <w:highlight w:val="none"/>
          <w:lang w:eastAsia="zh-CN"/>
        </w:rPr>
        <w:t>&lt;0.05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  <w:lang w:eastAsia="zh-CN"/>
        </w:rPr>
        <w:t>,**</w:t>
      </w:r>
      <w:r>
        <w:rPr>
          <w:rFonts w:hint="default" w:ascii="Arial" w:hAnsi="Arial" w:cs="Arial"/>
          <w:b w:val="0"/>
          <w:bCs w:val="0"/>
          <w:i w:val="0"/>
          <w:iCs w:val="0"/>
          <w:sz w:val="20"/>
          <w:szCs w:val="20"/>
          <w:highlight w:val="none"/>
          <w:lang w:eastAsia="zh-CN"/>
        </w:rPr>
        <w:t xml:space="preserve"> p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  <w:lang w:eastAsia="zh-CN"/>
        </w:rPr>
        <w:t xml:space="preserve">&lt;0.01: </w:t>
      </w:r>
      <w:r>
        <w:rPr>
          <w:rFonts w:hint="default" w:ascii="Arial" w:hAnsi="Arial" w:cs="Arial"/>
          <w:sz w:val="20"/>
          <w:szCs w:val="20"/>
          <w:highlight w:val="none"/>
          <w:lang w:eastAsia="zh-CN"/>
        </w:rPr>
        <w:t xml:space="preserve">Values in bold indicate statistical significance at </w:t>
      </w:r>
      <w:r>
        <w:rPr>
          <w:rFonts w:hint="default" w:ascii="Arial" w:hAnsi="Arial" w:cs="Arial" w:eastAsiaTheme="minorEastAsia"/>
          <w:i w:val="0"/>
          <w:iCs w:val="0"/>
          <w:sz w:val="20"/>
          <w:szCs w:val="20"/>
          <w:highlight w:val="none"/>
          <w:lang w:eastAsia="zh-CN"/>
        </w:rPr>
        <w:t>p</w:t>
      </w:r>
      <w:r>
        <w:rPr>
          <w:rFonts w:hint="default" w:ascii="Arial" w:hAnsi="Arial" w:cs="Arial"/>
          <w:sz w:val="20"/>
          <w:szCs w:val="20"/>
          <w:highlight w:val="none"/>
          <w:lang w:eastAsia="zh-CN"/>
        </w:rPr>
        <w:t>&lt;0.0</w:t>
      </w:r>
      <w:r>
        <w:rPr>
          <w:rFonts w:hint="default" w:cs="Arial"/>
          <w:sz w:val="20"/>
          <w:szCs w:val="20"/>
          <w:highlight w:val="none"/>
          <w:lang w:val="en-US" w:eastAsia="zh-CN"/>
        </w:rPr>
        <w:t>1</w:t>
      </w:r>
      <w:r>
        <w:rPr>
          <w:rFonts w:hint="eastAsia" w:cs="Arial"/>
          <w:sz w:val="20"/>
          <w:szCs w:val="20"/>
          <w:highlight w:val="none"/>
          <w:lang w:val="en-US" w:eastAsia="zh-CN"/>
        </w:rPr>
        <w:t>.</w:t>
      </w:r>
    </w:p>
    <w:p w14:paraId="4318CBAE">
      <w:pPr>
        <w:pStyle w:val="2"/>
        <w:spacing w:beforeAutospacing="1" w:afterAutospacing="1" w:line="480" w:lineRule="auto"/>
        <w:rPr>
          <w:rFonts w:cs="Arial"/>
          <w:b w:val="0"/>
          <w:bCs w:val="0"/>
          <w:sz w:val="20"/>
          <w:szCs w:val="20"/>
          <w:highlight w:val="none"/>
        </w:rPr>
      </w:pPr>
      <w:r>
        <w:rPr>
          <w:rFonts w:hint="eastAsia" w:cs="Arial"/>
          <w:b w:val="0"/>
          <w:bCs w:val="0"/>
          <w:sz w:val="20"/>
          <w:szCs w:val="20"/>
          <w:highlight w:val="none"/>
        </w:rPr>
        <w:t>Data are presented as area under the curve (AUC) with 95% confidence interval (CI). P values were calculated for the AUC comparison.</w:t>
      </w:r>
      <w:r>
        <w:rPr>
          <w:rFonts w:hint="eastAsia" w:cs="Arial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Individual factors (CYL, SE, A</w:t>
      </w:r>
      <w:r>
        <w:rPr>
          <w:rFonts w:hint="eastAsia" w:cs="Arial"/>
          <w:b w:val="0"/>
          <w:bCs w:val="0"/>
          <w:sz w:val="20"/>
          <w:szCs w:val="20"/>
          <w:highlight w:val="none"/>
          <w:lang w:val="en-US" w:eastAsia="zh-CN"/>
        </w:rPr>
        <w:t>S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D): Each showed statistical significance (</w:t>
      </w:r>
      <w:r>
        <w:rPr>
          <w:rFonts w:hint="eastAsia" w:cs="Arial"/>
          <w:b w:val="0"/>
          <w:bCs w:val="0"/>
          <w:i/>
          <w:iCs/>
          <w:sz w:val="20"/>
          <w:szCs w:val="20"/>
          <w:highlight w:val="none"/>
          <w:lang w:val="en-US" w:eastAsia="zh-CN"/>
        </w:rPr>
        <w:t>p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&lt;0.05), but with suboptimal AUC values.</w:t>
      </w:r>
      <w:r>
        <w:rPr>
          <w:rFonts w:hint="eastAsia" w:cs="Arial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Combined model: AUC = 0.741 (</w:t>
      </w:r>
      <w:r>
        <w:rPr>
          <w:rFonts w:hint="eastAsia" w:cs="Arial"/>
          <w:b w:val="0"/>
          <w:bCs w:val="0"/>
          <w:i/>
          <w:iCs/>
          <w:sz w:val="20"/>
          <w:szCs w:val="20"/>
          <w:highlight w:val="none"/>
          <w:lang w:val="en-US" w:eastAsia="zh-CN"/>
        </w:rPr>
        <w:t>p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&lt;0.01, 95% CI: 66.94%–81.19%).</w:t>
      </w:r>
      <w:r>
        <w:rPr>
          <w:rFonts w:hint="eastAsia" w:cs="Arial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 xml:space="preserve">Bold indicates statistical significance at </w:t>
      </w:r>
      <w:r>
        <w:rPr>
          <w:rFonts w:hint="eastAsia" w:cs="Arial"/>
          <w:b w:val="0"/>
          <w:bCs w:val="0"/>
          <w:i/>
          <w:iCs/>
          <w:sz w:val="20"/>
          <w:szCs w:val="20"/>
          <w:highlight w:val="none"/>
          <w:lang w:val="en-US" w:eastAsia="zh-CN"/>
        </w:rPr>
        <w:t>p</w:t>
      </w:r>
      <w:r>
        <w:rPr>
          <w:rFonts w:hint="eastAsia" w:cs="Arial"/>
          <w:b w:val="0"/>
          <w:bCs w:val="0"/>
          <w:sz w:val="20"/>
          <w:szCs w:val="20"/>
          <w:highlight w:val="none"/>
        </w:rPr>
        <w:t>&lt;0.05. The combined diagnostic approach demonstrated significantly better performance in identifying ASD risk than any single factor alone.</w:t>
      </w:r>
    </w:p>
    <w:p w14:paraId="4777A26B"/>
    <w:p w14:paraId="2AAB15BE"/>
    <w:p w14:paraId="70923655"/>
    <w:p w14:paraId="6E717ECD">
      <w:bookmarkStart w:id="0" w:name="_GoBack"/>
      <w:bookmarkEnd w:id="0"/>
    </w:p>
    <w:p w14:paraId="48807B23">
      <w:pPr>
        <w:jc w:val="left"/>
        <w:rPr>
          <w:rFonts w:hint="default" w:ascii="Arial" w:hAnsi="Arial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Supplementary Table 4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Machine learning model evaluation effectiveness</w:t>
      </w:r>
    </w:p>
    <w:tbl>
      <w:tblPr>
        <w:tblStyle w:val="3"/>
        <w:tblpPr w:leftFromText="180" w:rightFromText="180" w:vertAnchor="text" w:horzAnchor="page" w:tblpX="933" w:tblpY="171"/>
        <w:tblOverlap w:val="never"/>
        <w:tblW w:w="9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480"/>
        <w:gridCol w:w="1470"/>
        <w:gridCol w:w="1340"/>
        <w:gridCol w:w="1340"/>
        <w:gridCol w:w="1890"/>
      </w:tblGrid>
      <w:tr w14:paraId="16F7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77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129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Parameter</w:t>
            </w:r>
          </w:p>
        </w:tc>
        <w:tc>
          <w:tcPr>
            <w:tcW w:w="1480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930D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Random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Forest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Model</w:t>
            </w:r>
          </w:p>
        </w:tc>
        <w:tc>
          <w:tcPr>
            <w:tcW w:w="1470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971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Support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Vector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Machine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Model</w:t>
            </w:r>
          </w:p>
        </w:tc>
        <w:tc>
          <w:tcPr>
            <w:tcW w:w="1340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CBD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KNN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Model</w:t>
            </w:r>
          </w:p>
        </w:tc>
        <w:tc>
          <w:tcPr>
            <w:tcW w:w="1340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DB6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Decision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Tree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Model</w:t>
            </w:r>
          </w:p>
        </w:tc>
        <w:tc>
          <w:tcPr>
            <w:tcW w:w="1890" w:type="dxa"/>
            <w:tcBorders>
              <w:top w:val="single" w:color="000008" w:sz="6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EA77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Naive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Bayes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Model</w:t>
            </w:r>
          </w:p>
        </w:tc>
      </w:tr>
      <w:tr w14:paraId="14AF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77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C389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Accuracy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rate</w:t>
            </w:r>
          </w:p>
        </w:tc>
        <w:tc>
          <w:tcPr>
            <w:tcW w:w="148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07A4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75.0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>00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CC1D7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75.000%</w:t>
            </w:r>
          </w:p>
        </w:tc>
        <w:tc>
          <w:tcPr>
            <w:tcW w:w="134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0A84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73.214%</w:t>
            </w:r>
          </w:p>
        </w:tc>
        <w:tc>
          <w:tcPr>
            <w:tcW w:w="134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8F49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67.857%</w:t>
            </w:r>
          </w:p>
        </w:tc>
        <w:tc>
          <w:tcPr>
            <w:tcW w:w="189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96BD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62.500%</w:t>
            </w:r>
          </w:p>
        </w:tc>
      </w:tr>
      <w:tr w14:paraId="5353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77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48FE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Precision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(Overall)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81E8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75.000%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BF20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75.255%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FD9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73.278%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BC0C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68.553%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7BB8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63.999%</w:t>
            </w:r>
          </w:p>
        </w:tc>
      </w:tr>
      <w:tr w14:paraId="41CE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77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DD5C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Recall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(Comprehensive)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D868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75.000%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599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75.000%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3BE0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73.214%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B75D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67.857%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D788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62.500%</w:t>
            </w:r>
          </w:p>
        </w:tc>
      </w:tr>
      <w:tr w14:paraId="7A70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77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EC7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f1-score</w:t>
            </w:r>
          </w:p>
        </w:tc>
        <w:tc>
          <w:tcPr>
            <w:tcW w:w="1480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EB1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0.750</w:t>
            </w:r>
          </w:p>
        </w:tc>
        <w:tc>
          <w:tcPr>
            <w:tcW w:w="1470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367A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0.750</w:t>
            </w:r>
          </w:p>
        </w:tc>
        <w:tc>
          <w:tcPr>
            <w:tcW w:w="1340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75B1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0.730</w:t>
            </w:r>
          </w:p>
        </w:tc>
        <w:tc>
          <w:tcPr>
            <w:tcW w:w="1340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9CFA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0.679</w:t>
            </w:r>
          </w:p>
        </w:tc>
        <w:tc>
          <w:tcPr>
            <w:tcW w:w="1890" w:type="dxa"/>
            <w:tcBorders>
              <w:top w:val="nil"/>
              <w:bottom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FFA7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0.622</w:t>
            </w:r>
          </w:p>
        </w:tc>
      </w:tr>
    </w:tbl>
    <w:p w14:paraId="4BFA9ACB">
      <w:pPr>
        <w:rPr>
          <w:rFonts w:hint="default" w:ascii="Arial" w:hAnsi="Arial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Note: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The evaluation effect of five models combined with the confusion matrix of the test set shows that the Random Forest model has a relatively stable performance.</w:t>
      </w:r>
    </w:p>
    <w:p w14:paraId="0339495B"/>
    <w:p w14:paraId="590FB77F">
      <w:pPr>
        <w:jc w:val="left"/>
        <w:rPr>
          <w:rFonts w:hint="default" w:ascii="Arial" w:hAnsi="Arial" w:cs="Arial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Supplementary Table 5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Random Forest Model weight analysis results</w:t>
      </w:r>
    </w:p>
    <w:tbl>
      <w:tblPr>
        <w:tblStyle w:val="3"/>
        <w:tblW w:w="28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6"/>
        <w:gridCol w:w="2485"/>
      </w:tblGrid>
      <w:tr w14:paraId="3E63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tblHeader/>
        </w:trPr>
        <w:tc>
          <w:tcPr>
            <w:tcW w:w="2340" w:type="pct"/>
            <w:tcBorders>
              <w:bottom w:val="single" w:color="auto" w:sz="4" w:space="0"/>
            </w:tcBorders>
            <w:shd w:val="clear" w:color="auto" w:fill="FAFAFA"/>
            <w:vAlign w:val="center"/>
          </w:tcPr>
          <w:p w14:paraId="393BAC7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Item</w:t>
            </w:r>
          </w:p>
        </w:tc>
        <w:tc>
          <w:tcPr>
            <w:tcW w:w="2659" w:type="pct"/>
            <w:tcBorders>
              <w:bottom w:val="single" w:color="auto" w:sz="4" w:space="0"/>
            </w:tcBorders>
            <w:shd w:val="clear" w:color="auto" w:fill="FAFAFA"/>
            <w:vAlign w:val="center"/>
          </w:tcPr>
          <w:p w14:paraId="712D3EF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highlight w:val="none"/>
              </w:rPr>
              <w:t>weight value</w:t>
            </w:r>
          </w:p>
        </w:tc>
      </w:tr>
      <w:tr w14:paraId="0868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2340" w:type="pct"/>
            <w:shd w:val="clear" w:color="auto" w:fill="FFFFFF"/>
            <w:vAlign w:val="center"/>
          </w:tcPr>
          <w:p w14:paraId="3DDA61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CYL</w:t>
            </w:r>
          </w:p>
        </w:tc>
        <w:tc>
          <w:tcPr>
            <w:tcW w:w="2659" w:type="pct"/>
            <w:shd w:val="clear" w:color="auto" w:fill="FFFFFF"/>
            <w:vAlign w:val="center"/>
          </w:tcPr>
          <w:p w14:paraId="2C2521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0.248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29B4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2340" w:type="pct"/>
            <w:shd w:val="clear" w:color="auto" w:fill="FFFFFF"/>
            <w:vAlign w:val="center"/>
          </w:tcPr>
          <w:p w14:paraId="1AE7A3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AL/CR</w:t>
            </w:r>
          </w:p>
        </w:tc>
        <w:tc>
          <w:tcPr>
            <w:tcW w:w="2659" w:type="pct"/>
            <w:shd w:val="clear" w:color="auto" w:fill="FFFFFF"/>
            <w:vAlign w:val="center"/>
          </w:tcPr>
          <w:p w14:paraId="7D778E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0.24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</w:tr>
      <w:tr w14:paraId="4A3E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2340" w:type="pct"/>
            <w:shd w:val="clear" w:color="auto" w:fill="FFFFFF"/>
            <w:vAlign w:val="center"/>
          </w:tcPr>
          <w:p w14:paraId="52A0F1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A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D</w:t>
            </w:r>
          </w:p>
        </w:tc>
        <w:tc>
          <w:tcPr>
            <w:tcW w:w="2659" w:type="pct"/>
            <w:shd w:val="clear" w:color="auto" w:fill="FFFFFF"/>
            <w:vAlign w:val="center"/>
          </w:tcPr>
          <w:p w14:paraId="5CD63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0.25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</w:tr>
      <w:tr w14:paraId="44E1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234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18370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SE</w:t>
            </w:r>
          </w:p>
        </w:tc>
        <w:tc>
          <w:tcPr>
            <w:tcW w:w="265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3C28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</w:rPr>
              <w:t>0.255</w:t>
            </w:r>
            <w:r>
              <w:rPr>
                <w:rFonts w:hint="default" w:ascii="Arial" w:hAnsi="Arial" w:eastAsia="宋体" w:cs="Arial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2A2EB83D">
      <w:pPr>
        <w:rPr>
          <w:rFonts w:hint="default" w:ascii="Arial" w:hAnsi="Arial" w:cs="Arial"/>
          <w:sz w:val="20"/>
          <w:szCs w:val="20"/>
          <w:lang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Note: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 xml:space="preserve"> Feature weights indicate the importance of each title to the model's contribution, with their sum equaling 1. From the table above, it is clear that: SE accounts for 25.50% of the weight, which is the highest, playing a key role in the model construction; ACD accounts for 25.28% of the weight, the importance of which comes next, playing a significant role in the model construction.</w:t>
      </w:r>
    </w:p>
    <w:p w14:paraId="760E7A2B"/>
    <w:p w14:paraId="6DBB6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6EBD"/>
    <w:rsid w:val="0A60541B"/>
    <w:rsid w:val="0F0E18EA"/>
    <w:rsid w:val="18493992"/>
    <w:rsid w:val="2110329F"/>
    <w:rsid w:val="21A1039B"/>
    <w:rsid w:val="22561186"/>
    <w:rsid w:val="22D14CB0"/>
    <w:rsid w:val="23B32608"/>
    <w:rsid w:val="245711E5"/>
    <w:rsid w:val="2A3F69A3"/>
    <w:rsid w:val="31922E10"/>
    <w:rsid w:val="33A1422B"/>
    <w:rsid w:val="37FE1C4C"/>
    <w:rsid w:val="3834566E"/>
    <w:rsid w:val="44AD0C81"/>
    <w:rsid w:val="47121270"/>
    <w:rsid w:val="4ACE3700"/>
    <w:rsid w:val="50AD2009"/>
    <w:rsid w:val="50EC48E0"/>
    <w:rsid w:val="57803FD4"/>
    <w:rsid w:val="5A056A12"/>
    <w:rsid w:val="5F530220"/>
    <w:rsid w:val="61F950AE"/>
    <w:rsid w:val="63CE05A4"/>
    <w:rsid w:val="6BE741CA"/>
    <w:rsid w:val="73B07597"/>
    <w:rsid w:val="74AC5FB0"/>
    <w:rsid w:val="751D0C5C"/>
    <w:rsid w:val="793F5645"/>
    <w:rsid w:val="7A0348C4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cs="Times New Roman" w:eastAsiaTheme="minorEastAsia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2026-02-25T00:20:05Z</dcterms:created>
  <dc:creator>华为</dc:creator>
  <cp:lastModifiedBy>程月樱</cp:lastModifiedBy>
  <dcterms:modified xsi:type="dcterms:W3CDTF">2026-02-25T00:32:09Z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eyJoZGlkIjoiMzEwNTM5NzYwMDRjMzkwZTVkZjY2ODkwMGIxNGU0OTUiLCJ1c2VySWQiOiI0NTg1MDQ0NDYifQ==</vt:lpwstr>
  </property>
  <property fmtid="{D5CDD505-2E9C-101B-9397-08002B2CF9AE}" pid="4" name="ICV">
    <vt:lpwstr>F1546AC26CEF411DB6CD7AC5DF93B7AC_12</vt:lpwstr>
  </property>
</Properties>
</file>