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CE7D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8"/>
          <w:szCs w:val="28"/>
        </w:rPr>
      </w:pPr>
      <w:bookmarkStart w:id="0" w:name="OLE_LINK1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Appendix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1</w:t>
      </w:r>
    </w:p>
    <w:p w14:paraId="2E6F8BB2" w14:textId="411C6DDF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istory of smoking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defined as smoking one cigarette a day for at least 6 months currently or in the past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14:paraId="084EEFED" w14:textId="478B699E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istory of drinking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defined as consuming alcohol once every week for at least 6 months currently or in the past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14:paraId="57571CC8" w14:textId="4A5FB049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istory of coronary heart disease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defined as</w:t>
      </w:r>
      <w:r>
        <w:rPr>
          <w:rFonts w:ascii="Times New Roman" w:hAnsi="Times New Roman" w:cs="Times New Roman" w:hint="eastAsia"/>
          <w:sz w:val="28"/>
          <w:szCs w:val="28"/>
        </w:rPr>
        <w:t xml:space="preserve"> history of coronary heart disease among first-degree relatives, male under 55 years old, female under 65 years old.</w:t>
      </w:r>
    </w:p>
    <w:p w14:paraId="43F7FBA6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Appendix S</w:t>
      </w:r>
      <w:bookmarkEnd w:id="0"/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2</w:t>
      </w:r>
    </w:p>
    <w:p w14:paraId="1B7DE4BA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The following were typical parameters for the cine picture protocol: Flip Angle: 80</w:t>
      </w:r>
      <w:r>
        <w:rPr>
          <w:rFonts w:ascii="Times New Roman" w:hAnsi="Times New Roman" w:cs="Times New Roman" w:hint="eastAsia"/>
          <w:sz w:val="28"/>
          <w:szCs w:val="28"/>
        </w:rPr>
        <w:t>°</w:t>
      </w:r>
      <w:r>
        <w:rPr>
          <w:rFonts w:ascii="Times New Roman" w:hAnsi="Times New Roman" w:cs="Times New Roman" w:hint="eastAsia"/>
          <w:sz w:val="28"/>
          <w:szCs w:val="28"/>
        </w:rPr>
        <w:t xml:space="preserve">, repetition time (TR)/echo time (TE) = 1.43/3.26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ms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slice thickness: 7 mm. </w:t>
      </w:r>
    </w:p>
    <w:p w14:paraId="47BC69BE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The s</w:t>
      </w:r>
      <w:r>
        <w:rPr>
          <w:rFonts w:ascii="Times New Roman" w:hAnsi="Times New Roman" w:cs="Times New Roman"/>
          <w:sz w:val="28"/>
          <w:szCs w:val="28"/>
        </w:rPr>
        <w:t xml:space="preserve">canning parameters </w:t>
      </w:r>
      <w:r>
        <w:rPr>
          <w:rFonts w:ascii="Times New Roman" w:hAnsi="Times New Roman" w:cs="Times New Roman" w:hint="eastAsia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T1 mapping before contrast agent injection were as follows: </w:t>
      </w:r>
      <w:r>
        <w:rPr>
          <w:rFonts w:ascii="Times New Roman" w:hAnsi="Times New Roman" w:cs="Times New Roman" w:hint="eastAsia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bSSFP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single-shot readout with a 35° excitation flip angle, rate-2 parallel imaging, matrix size</w:t>
      </w:r>
      <w:r>
        <w:rPr>
          <w:rFonts w:ascii="Times New Roman" w:hAnsi="Times New Roman" w:cs="Times New Roman" w:hint="eastAsia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256 × 164, pixel size</w:t>
      </w:r>
      <w:r>
        <w:rPr>
          <w:rFonts w:ascii="Times New Roman" w:hAnsi="Times New Roman" w:cs="Times New Roman" w:hint="eastAsia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1.3 mm × 1.3 mm, slice thickness</w:t>
      </w:r>
      <w:r>
        <w:rPr>
          <w:rFonts w:ascii="Times New Roman" w:hAnsi="Times New Roman" w:cs="Times New Roman" w:hint="eastAsia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8 mm, minimum inversion time (TI) of 189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incremented by 80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TE/TR </w:t>
      </w:r>
      <w:r>
        <w:rPr>
          <w:rFonts w:ascii="Times New Roman" w:hAnsi="Times New Roman" w:cs="Times New Roman" w:hint="eastAsia"/>
          <w:sz w:val="28"/>
          <w:szCs w:val="28"/>
        </w:rPr>
        <w:t xml:space="preserve">echo spacing of </w:t>
      </w:r>
      <w:r>
        <w:rPr>
          <w:rFonts w:ascii="Times New Roman" w:hAnsi="Times New Roman" w:cs="Times New Roman"/>
          <w:sz w:val="28"/>
          <w:szCs w:val="28"/>
        </w:rPr>
        <w:t xml:space="preserve">1.15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/2.77 </w:t>
      </w:r>
      <w:proofErr w:type="spellStart"/>
      <w:r>
        <w:rPr>
          <w:rFonts w:ascii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After the contrast agent injection, the </w:t>
      </w:r>
      <w:r>
        <w:rPr>
          <w:rFonts w:ascii="Times New Roman" w:hAnsi="Times New Roman" w:cs="Times New Roman"/>
          <w:sz w:val="28"/>
          <w:szCs w:val="28"/>
        </w:rPr>
        <w:t xml:space="preserve">T1 imaging parameters were </w:t>
      </w:r>
      <w:r>
        <w:rPr>
          <w:rFonts w:ascii="Times New Roman" w:hAnsi="Times New Roman" w:cs="Times New Roman" w:hint="eastAsia"/>
          <w:sz w:val="28"/>
          <w:szCs w:val="28"/>
        </w:rPr>
        <w:t>modified to include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bSSFP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single-shot readout with a</w:t>
      </w:r>
      <w:r>
        <w:rPr>
          <w:rFonts w:ascii="Times New Roman" w:hAnsi="Times New Roman" w:cs="Times New Roman" w:hint="eastAsia"/>
          <w:sz w:val="28"/>
          <w:szCs w:val="28"/>
        </w:rPr>
        <w:t xml:space="preserve"> reduced excitation flip angle of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°, rate-2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parallel imaging, matrix size </w:t>
      </w:r>
      <w:r>
        <w:rPr>
          <w:rFonts w:ascii="Times New Roman" w:hAnsi="Times New Roman" w:cs="Times New Roman" w:hint="eastAsia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192 × 164, pixel size </w:t>
      </w:r>
      <w:r>
        <w:rPr>
          <w:rFonts w:ascii="Times New Roman" w:hAnsi="Times New Roman" w:cs="Times New Roman" w:hint="eastAsia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1.9 mm × 1.9mm, slice thickness </w:t>
      </w:r>
      <w:r>
        <w:rPr>
          <w:rFonts w:ascii="Times New Roman" w:hAnsi="Times New Roman" w:cs="Times New Roman" w:hint="eastAsia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8 mm, minimum TI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of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with 80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increments, </w:t>
      </w:r>
      <w:r>
        <w:rPr>
          <w:rFonts w:ascii="Times New Roman" w:hAnsi="Times New Roman" w:cs="Times New Roman" w:hint="eastAsia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TE/TR </w:t>
      </w:r>
      <w:r>
        <w:rPr>
          <w:rFonts w:ascii="Times New Roman" w:hAnsi="Times New Roman" w:cs="Times New Roman" w:hint="eastAsia"/>
          <w:sz w:val="28"/>
          <w:szCs w:val="28"/>
        </w:rPr>
        <w:t xml:space="preserve">echo spacing of </w:t>
      </w:r>
      <w:r>
        <w:rPr>
          <w:rFonts w:ascii="Times New Roman" w:hAnsi="Times New Roman" w:cs="Times New Roman"/>
          <w:sz w:val="28"/>
          <w:szCs w:val="28"/>
        </w:rPr>
        <w:t xml:space="preserve">1.01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/2.44 </w:t>
      </w:r>
      <w:proofErr w:type="spellStart"/>
      <w:r>
        <w:rPr>
          <w:rFonts w:ascii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318461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Appendix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3</w:t>
      </w:r>
    </w:p>
    <w:p w14:paraId="62FBE622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sz w:val="22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z w:val="22"/>
              <w:shd w:val="clear" w:color="auto" w:fill="FFFFFF"/>
            </w:rPr>
            <m:t>MyocardialECV</m:t>
          </m:r>
          <m:r>
            <m:rPr>
              <m:sty m:val="p"/>
            </m:rPr>
            <w:rPr>
              <w:rFonts w:ascii="Cambria Math" w:hAnsi="Cambria Math" w:cs="Times New Roman"/>
              <w:sz w:val="22"/>
              <w:shd w:val="clear" w:color="auto" w:fill="FFFFFF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2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1-</m:t>
              </m:r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Hematocrit</m:t>
              </m:r>
            </m:e>
          </m:d>
        </m:oMath>
      </m:oMathPara>
    </w:p>
    <w:p w14:paraId="4E614AE3" w14:textId="77777777" w:rsidR="008505AD" w:rsidRDefault="00F30209">
      <w:pPr>
        <w:widowControl/>
        <w:tabs>
          <w:tab w:val="left" w:pos="1220"/>
        </w:tabs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2"/>
              <w:shd w:val="clear" w:color="auto" w:fill="FFFFFF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Post contrast myocardial T1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Native myocardial T1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Post contrast blood T1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2"/>
                      <w:shd w:val="clear" w:color="auto" w:fill="FFFFFF"/>
                    </w:rPr>
                    <m:t>Native blood T1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hd w:val="clear" w:color="auto" w:fill="FFFFFF"/>
                </w:rPr>
                <m:t>)</m:t>
              </m:r>
            </m:den>
          </m:f>
        </m:oMath>
      </m:oMathPara>
    </w:p>
    <w:p w14:paraId="527927DD" w14:textId="77777777" w:rsidR="00F30209" w:rsidRDefault="00F30209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74B88CC7" w14:textId="32BE9B42" w:rsidR="008505AD" w:rsidRDefault="00F30209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Supplement</w:t>
      </w:r>
      <w:r>
        <w:rPr>
          <w:rFonts w:ascii="Times New Roman" w:hAnsi="Times New Roman" w:cs="Times New Roman"/>
          <w:b/>
          <w:bCs/>
          <w:sz w:val="28"/>
          <w:szCs w:val="28"/>
        </w:rPr>
        <w:t>ary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able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S1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Intra- and interobserver variability</w:t>
      </w:r>
    </w:p>
    <w:tbl>
      <w:tblPr>
        <w:tblW w:w="4998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3349"/>
      </w:tblGrid>
      <w:tr w:rsidR="008505AD" w14:paraId="606B665D" w14:textId="77777777">
        <w:trPr>
          <w:trHeight w:val="624"/>
          <w:tblHeader/>
        </w:trPr>
        <w:tc>
          <w:tcPr>
            <w:tcW w:w="2982" w:type="pct"/>
            <w:tcBorders>
              <w:bottom w:val="single" w:sz="4" w:space="0" w:color="000000"/>
            </w:tcBorders>
            <w:shd w:val="clear" w:color="auto" w:fill="FFFFFF"/>
            <w:noWrap/>
            <w:tcMar>
              <w:left w:w="150" w:type="dxa"/>
            </w:tcMar>
            <w:vAlign w:val="center"/>
          </w:tcPr>
          <w:p w14:paraId="66FD93BE" w14:textId="77777777" w:rsidR="008505AD" w:rsidRDefault="00F302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ariables</w:t>
            </w:r>
          </w:p>
        </w:tc>
        <w:tc>
          <w:tcPr>
            <w:tcW w:w="2017" w:type="pct"/>
            <w:tcBorders>
              <w:bottom w:val="single" w:sz="4" w:space="0" w:color="000000"/>
            </w:tcBorders>
            <w:shd w:val="clear" w:color="auto" w:fill="FFFFFF"/>
            <w:noWrap/>
            <w:tcMar>
              <w:left w:w="150" w:type="dxa"/>
            </w:tcMar>
            <w:vAlign w:val="center"/>
          </w:tcPr>
          <w:p w14:paraId="2919DE21" w14:textId="77777777" w:rsidR="008505AD" w:rsidRDefault="00F302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ICC</w:t>
            </w:r>
          </w:p>
        </w:tc>
      </w:tr>
      <w:tr w:rsidR="008505AD" w14:paraId="725425B7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1342D77A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  <w:lang w:bidi="ar"/>
              </w:rPr>
              <w:t>Native T1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0651270F" w14:textId="77777777" w:rsidR="008505AD" w:rsidRDefault="008505AD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5AD" w14:paraId="66904E0E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137D152" w14:textId="06D5C823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ntra: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756609BB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0.985(0.981,0.988)</w:t>
            </w:r>
          </w:p>
        </w:tc>
      </w:tr>
      <w:tr w:rsidR="008505AD" w14:paraId="00B816FA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490F6A7E" w14:textId="057A164E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nter: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6F7543D4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0.992(0.990,0.994)</w:t>
            </w:r>
          </w:p>
        </w:tc>
      </w:tr>
      <w:tr w:rsidR="008505AD" w14:paraId="19620FE5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31562B25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  <w:lang w:bidi="ar"/>
              </w:rPr>
              <w:t>ECV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51C1F85E" w14:textId="77777777" w:rsidR="008505AD" w:rsidRDefault="008505AD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5AD" w14:paraId="2FF24DE1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620888F9" w14:textId="690D0EAA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ntra: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7C7BAEEA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0.975(0.969,0.981)</w:t>
            </w:r>
          </w:p>
        </w:tc>
      </w:tr>
      <w:tr w:rsidR="008505AD" w14:paraId="6C94B1D9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7DA288C7" w14:textId="3E7E24A0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nter: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5F66248A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0.988(0.984,0.990)</w:t>
            </w:r>
          </w:p>
        </w:tc>
      </w:tr>
      <w:tr w:rsidR="008505AD" w14:paraId="0C3B0A6B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1F77CB5E" w14:textId="7D4BF759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b/>
                <w:bCs/>
                <w:color w:val="000000"/>
                <w:kern w:val="0"/>
                <w:sz w:val="27"/>
                <w:szCs w:val="27"/>
                <w:lang w:bidi="ar"/>
              </w:rPr>
              <w:t>I</w:t>
            </w:r>
            <w:r>
              <w:rPr>
                <w:rFonts w:ascii="Times New Roman" w:eastAsia="Noto Sans SC" w:hAnsi="Times New Roman" w:cs="Times New Roman" w:hint="eastAsia"/>
                <w:b/>
                <w:bCs/>
                <w:color w:val="000000"/>
                <w:kern w:val="0"/>
                <w:sz w:val="27"/>
                <w:szCs w:val="27"/>
                <w:lang w:bidi="ar"/>
              </w:rPr>
              <w:t>ndexed EAT volume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51C1A09A" w14:textId="77777777" w:rsidR="008505AD" w:rsidRDefault="008505AD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05AD" w14:paraId="6A5A6F66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500B4F83" w14:textId="1868A9B2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ntra: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5CF6279C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0.924(0.905,0.940)</w:t>
            </w:r>
          </w:p>
        </w:tc>
      </w:tr>
      <w:tr w:rsidR="008505AD" w14:paraId="0B91E9ED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A709331" w14:textId="58CDCE03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I</w:t>
            </w:r>
            <w:r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 xml:space="preserve">nter: 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3BCB914C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27"/>
                <w:szCs w:val="27"/>
              </w:rPr>
              <w:t>0.961(0.950,0.969)</w:t>
            </w:r>
          </w:p>
        </w:tc>
      </w:tr>
    </w:tbl>
    <w:p w14:paraId="77C7F05A" w14:textId="17229FD1" w:rsidR="008505AD" w:rsidRDefault="00F30209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Abbreviations:</w:t>
      </w:r>
      <w:r>
        <w:rPr>
          <w:rFonts w:ascii="Times New Roman" w:hAnsi="Times New Roman" w:cs="Times New Roman"/>
          <w:szCs w:val="21"/>
        </w:rPr>
        <w:t xml:space="preserve"> ICC</w:t>
      </w:r>
      <w:r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/>
          <w:szCs w:val="21"/>
        </w:rPr>
        <w:t>Intraclass Correlation Coefficient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ECV</w:t>
      </w:r>
      <w:r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/>
          <w:szCs w:val="21"/>
        </w:rPr>
        <w:t>Extracellular volume</w:t>
      </w:r>
      <w:r>
        <w:rPr>
          <w:rStyle w:val="CommentReference"/>
          <w:rFonts w:ascii="Times New Roman" w:hAnsi="Times New Roman" w:cs="Times New Roman" w:hint="eastAsia"/>
          <w:sz w:val="21"/>
          <w:szCs w:val="21"/>
        </w:rPr>
        <w:t>,</w:t>
      </w:r>
      <w:r>
        <w:rPr>
          <w:rStyle w:val="CommentReference"/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EAT</w:t>
      </w:r>
      <w:r>
        <w:rPr>
          <w:rFonts w:ascii="Times New Roman" w:hAnsi="Times New Roman" w:cs="Times New Roman" w:hint="eastAsia"/>
          <w:szCs w:val="21"/>
        </w:rPr>
        <w:t xml:space="preserve"> =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Epicardial adipose tissue.</w:t>
      </w:r>
    </w:p>
    <w:p w14:paraId="4C5CA2EF" w14:textId="77777777" w:rsidR="008505AD" w:rsidRDefault="008505AD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18E37694" w14:textId="77777777" w:rsidR="008505AD" w:rsidRDefault="008505AD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2E8E2297" w14:textId="77777777" w:rsidR="008505AD" w:rsidRDefault="008505AD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11A95294" w14:textId="77777777" w:rsidR="008505AD" w:rsidRDefault="008505AD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6948D7BE" w14:textId="58BBFE1C" w:rsidR="008505AD" w:rsidRDefault="00F30209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Supplement</w:t>
      </w:r>
      <w:r>
        <w:rPr>
          <w:rFonts w:ascii="Times New Roman" w:hAnsi="Times New Roman" w:cs="Times New Roman"/>
          <w:b/>
          <w:bCs/>
          <w:sz w:val="28"/>
          <w:szCs w:val="28"/>
        </w:rPr>
        <w:t>ary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able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S2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Collinearity test of multiple model Cox regression variables</w:t>
      </w:r>
    </w:p>
    <w:tbl>
      <w:tblPr>
        <w:tblW w:w="4999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3350"/>
      </w:tblGrid>
      <w:tr w:rsidR="008505AD" w14:paraId="7895DA1D" w14:textId="77777777">
        <w:trPr>
          <w:trHeight w:val="624"/>
          <w:tblHeader/>
        </w:trPr>
        <w:tc>
          <w:tcPr>
            <w:tcW w:w="2982" w:type="pct"/>
            <w:tcBorders>
              <w:bottom w:val="single" w:sz="4" w:space="0" w:color="000000"/>
            </w:tcBorders>
            <w:shd w:val="clear" w:color="auto" w:fill="FFFFFF"/>
            <w:noWrap/>
            <w:tcMar>
              <w:left w:w="150" w:type="dxa"/>
            </w:tcMar>
            <w:vAlign w:val="center"/>
          </w:tcPr>
          <w:p w14:paraId="2A8974E8" w14:textId="77777777" w:rsidR="008505AD" w:rsidRDefault="00F302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ariables</w:t>
            </w:r>
          </w:p>
        </w:tc>
        <w:tc>
          <w:tcPr>
            <w:tcW w:w="2017" w:type="pct"/>
            <w:tcBorders>
              <w:bottom w:val="single" w:sz="4" w:space="0" w:color="000000"/>
            </w:tcBorders>
            <w:shd w:val="clear" w:color="auto" w:fill="FFFFFF"/>
            <w:noWrap/>
            <w:tcMar>
              <w:left w:w="150" w:type="dxa"/>
            </w:tcMar>
            <w:vAlign w:val="center"/>
          </w:tcPr>
          <w:p w14:paraId="7656BCCC" w14:textId="77777777" w:rsidR="008505AD" w:rsidRDefault="00F302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VIF</w:t>
            </w:r>
          </w:p>
        </w:tc>
      </w:tr>
      <w:tr w:rsidR="008505AD" w14:paraId="7850D191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7DD7C0E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LVESVi</w:t>
            </w:r>
            <w:proofErr w:type="spellEnd"/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76ECDFC0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3.60</w:t>
            </w:r>
          </w:p>
        </w:tc>
      </w:tr>
      <w:tr w:rsidR="008505AD" w14:paraId="35B38356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4F849B97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LVEF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2D51C9B2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3.54</w:t>
            </w:r>
          </w:p>
        </w:tc>
      </w:tr>
      <w:tr w:rsidR="008505AD" w14:paraId="47809705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42C253A2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LVGLS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340F3C14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3.49</w:t>
            </w:r>
          </w:p>
        </w:tc>
      </w:tr>
      <w:tr w:rsidR="008505AD" w14:paraId="29E3A702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B2E66CC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LVGRS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2E2A5AA1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3.26</w:t>
            </w:r>
          </w:p>
        </w:tc>
      </w:tr>
      <w:tr w:rsidR="008505AD" w14:paraId="1552FAD9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1D8ACD5F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LGE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70F58096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1.35</w:t>
            </w:r>
          </w:p>
        </w:tc>
      </w:tr>
      <w:tr w:rsidR="008505AD" w14:paraId="023C3B61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B6E1027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Sex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386E8049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1.07</w:t>
            </w:r>
          </w:p>
        </w:tc>
      </w:tr>
      <w:tr w:rsidR="008505AD" w14:paraId="01A7FDDA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5BBE96F5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Diabetes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39B220FB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1.07</w:t>
            </w:r>
          </w:p>
        </w:tc>
      </w:tr>
      <w:tr w:rsidR="008505AD" w14:paraId="1E3B2617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24C23E4F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Family history of CAD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4ADD1353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1.07</w:t>
            </w:r>
          </w:p>
        </w:tc>
      </w:tr>
      <w:tr w:rsidR="008505AD" w14:paraId="1DF2D61E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5E3114B9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EAT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1BF4EB47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1.07</w:t>
            </w:r>
          </w:p>
        </w:tc>
      </w:tr>
      <w:tr w:rsidR="008505AD" w14:paraId="7AE0D91F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080CEFC7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Hypertension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73576594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1.06</w:t>
            </w:r>
          </w:p>
        </w:tc>
      </w:tr>
      <w:tr w:rsidR="008505AD" w14:paraId="3E343064" w14:textId="77777777">
        <w:trPr>
          <w:trHeight w:val="624"/>
        </w:trPr>
        <w:tc>
          <w:tcPr>
            <w:tcW w:w="2982" w:type="pct"/>
            <w:shd w:val="clear" w:color="auto" w:fill="FFFFFF"/>
            <w:tcMar>
              <w:left w:w="150" w:type="dxa"/>
            </w:tcMar>
            <w:vAlign w:val="center"/>
          </w:tcPr>
          <w:p w14:paraId="1EF66BEE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SIRI</w:t>
            </w:r>
          </w:p>
        </w:tc>
        <w:tc>
          <w:tcPr>
            <w:tcW w:w="2017" w:type="pct"/>
            <w:shd w:val="clear" w:color="auto" w:fill="FFFFFF"/>
            <w:tcMar>
              <w:left w:w="150" w:type="dxa"/>
            </w:tcMar>
            <w:vAlign w:val="center"/>
          </w:tcPr>
          <w:p w14:paraId="6E975210" w14:textId="77777777" w:rsidR="008505AD" w:rsidRDefault="00F30209">
            <w:pPr>
              <w:widowControl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Noto Sans SC" w:hAnsi="Times New Roman" w:cs="Times New Roman"/>
                <w:color w:val="000000"/>
                <w:kern w:val="0"/>
                <w:sz w:val="27"/>
                <w:szCs w:val="27"/>
                <w:lang w:bidi="ar"/>
              </w:rPr>
              <w:t>1.05</w:t>
            </w:r>
          </w:p>
        </w:tc>
      </w:tr>
    </w:tbl>
    <w:p w14:paraId="73313A7A" w14:textId="0F2C4FE3" w:rsidR="008505AD" w:rsidRDefault="00F30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</w:t>
      </w:r>
      <w:proofErr w:type="spellStart"/>
      <w:r>
        <w:rPr>
          <w:rFonts w:ascii="Times New Roman" w:hAnsi="Times New Roman" w:cs="Times New Roman" w:hint="eastAsia"/>
        </w:rPr>
        <w:t>LVESVi</w:t>
      </w:r>
      <w:proofErr w:type="spellEnd"/>
      <w:r>
        <w:rPr>
          <w:rFonts w:ascii="Times New Roman" w:hAnsi="Times New Roman" w:cs="Times New Roman" w:hint="eastAsia"/>
        </w:rPr>
        <w:t xml:space="preserve"> = LV end-systolic volume index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LVEF = LV ejection fraction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LVGLS = LV global longitudinal strain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LVGRS = LV global radial strain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LGE = late gadolinium enhancement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CAD = </w:t>
      </w:r>
      <w:r>
        <w:rPr>
          <w:rFonts w:ascii="Times New Roman" w:hAnsi="Times New Roman" w:cs="Times New Roman" w:hint="eastAsia"/>
        </w:rPr>
        <w:t>Coronary</w:t>
      </w:r>
      <w:r>
        <w:rPr>
          <w:rFonts w:ascii="Times New Roman" w:hAnsi="Times New Roman" w:cs="Times New Roman"/>
        </w:rPr>
        <w:t> Artery Disease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EAT = Epicardial adipose tissue,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SIRI</w:t>
      </w:r>
      <w:r>
        <w:rPr>
          <w:rFonts w:ascii="Times New Roman" w:hAnsi="Times New Roman" w:cs="Times New Roman" w:hint="eastAsia"/>
        </w:rPr>
        <w:t>=systemic inflammation response index.</w:t>
      </w:r>
    </w:p>
    <w:sectPr w:rsidR="008505A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CF7A" w14:textId="77777777" w:rsidR="00F30209" w:rsidRDefault="00F30209">
      <w:r>
        <w:separator/>
      </w:r>
    </w:p>
  </w:endnote>
  <w:endnote w:type="continuationSeparator" w:id="0">
    <w:p w14:paraId="3F484249" w14:textId="77777777" w:rsidR="00F30209" w:rsidRDefault="00F3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C">
    <w:altName w:val="Microsoft YaHei"/>
    <w:charset w:val="86"/>
    <w:family w:val="swiss"/>
    <w:pitch w:val="default"/>
    <w:sig w:usb0="20000083" w:usb1="2ADF3C10" w:usb2="00000016" w:usb3="00000000" w:csb0="6006010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4F9" w14:textId="77777777" w:rsidR="008505AD" w:rsidRDefault="00F30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016579" wp14:editId="7A9E9A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0446820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CE810" w14:textId="77777777" w:rsidR="008505AD" w:rsidRDefault="00F3020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16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8FCE810" w14:textId="77777777" w:rsidR="008505AD" w:rsidRDefault="00F3020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89AD" w14:textId="77777777" w:rsidR="008505AD" w:rsidRDefault="00F30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A03F14" wp14:editId="6BA0BB8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11146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E1FCA" w14:textId="77777777" w:rsidR="008505AD" w:rsidRDefault="00F3020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3F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81E1FCA" w14:textId="77777777" w:rsidR="008505AD" w:rsidRDefault="00F3020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0ADE" w14:textId="77777777" w:rsidR="008505AD" w:rsidRDefault="00F30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462A85" wp14:editId="6ED9DE1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01151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1743C" w14:textId="77777777" w:rsidR="008505AD" w:rsidRDefault="00F3020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62A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03B1743C" w14:textId="77777777" w:rsidR="008505AD" w:rsidRDefault="00F3020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8A4D" w14:textId="77777777" w:rsidR="00F30209" w:rsidRDefault="00F30209">
      <w:r>
        <w:separator/>
      </w:r>
    </w:p>
  </w:footnote>
  <w:footnote w:type="continuationSeparator" w:id="0">
    <w:p w14:paraId="1250DB1E" w14:textId="77777777" w:rsidR="00F30209" w:rsidRDefault="00F3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EC"/>
    <w:rsid w:val="001A2210"/>
    <w:rsid w:val="00392B47"/>
    <w:rsid w:val="00576BB7"/>
    <w:rsid w:val="005C3DEC"/>
    <w:rsid w:val="008505AD"/>
    <w:rsid w:val="00B76FCF"/>
    <w:rsid w:val="00DF481A"/>
    <w:rsid w:val="00F30209"/>
    <w:rsid w:val="0B95180B"/>
    <w:rsid w:val="361909F0"/>
    <w:rsid w:val="408474C6"/>
    <w:rsid w:val="448259B3"/>
    <w:rsid w:val="4A49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35A1F"/>
  <w15:docId w15:val="{4B5EA629-C72D-4900-AE61-3F2A86C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zhurunze</dc:creator>
  <cp:lastModifiedBy>Dajime, Peter</cp:lastModifiedBy>
  <cp:revision>2</cp:revision>
  <dcterms:created xsi:type="dcterms:W3CDTF">2025-11-23T21:06:00Z</dcterms:created>
  <dcterms:modified xsi:type="dcterms:W3CDTF">2025-11-23T21:06:00Z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eyJoZGlkIjoiNTViNjIxNDAwNGMwZGNiYTFiMzA2ZGU2MDgyNmUyNmEiLCJ1c2VySWQiOiIzNzk2MzAxNzMifQ==</vt:lpwstr>
  </property>
  <property fmtid="{D5CDD505-2E9C-101B-9397-08002B2CF9AE}" pid="4" name="ICV">
    <vt:lpwstr>FCDCF449EE0E4A9C89E29845436E6030_12</vt:lpwstr>
  </property>
  <property fmtid="{D5CDD505-2E9C-101B-9397-08002B2CF9AE}" pid="5" name="ClassificationContentMarkingFooterShapeIds">
    <vt:lpwstr>17da53c,5fa23deb,a23b1ed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2025-11-21T08:08:14Z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78e76e27-0b14-4fa9-88b4-7d59d07ffa32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