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4DA5" w14:textId="36D4F7A7" w:rsidR="00D14F00" w:rsidRPr="00B915E4" w:rsidRDefault="00D14F00" w:rsidP="00D14F00">
      <w:pPr>
        <w:rPr>
          <w:color w:val="FF0000"/>
        </w:rPr>
      </w:pPr>
      <w:r>
        <w:t>Supplementary data</w:t>
      </w:r>
    </w:p>
    <w:p w14:paraId="47CFA481" w14:textId="314DA82A" w:rsidR="00740F67" w:rsidRPr="00191756" w:rsidRDefault="00D14F00" w:rsidP="00191756">
      <w:pPr>
        <w:rPr>
          <w:color w:val="000000" w:themeColor="text1"/>
        </w:rPr>
      </w:pPr>
      <w:r w:rsidRPr="00E62888">
        <w:rPr>
          <w:color w:val="000000" w:themeColor="text1"/>
        </w:rPr>
        <w:t>Bérard C. et al</w:t>
      </w:r>
    </w:p>
    <w:p w14:paraId="78951DC9" w14:textId="77777777" w:rsidR="00D14F00" w:rsidRPr="00B915E4" w:rsidRDefault="00D14F00" w:rsidP="00D14F00">
      <w:pPr>
        <w:pStyle w:val="Titre1"/>
      </w:pPr>
      <w:r w:rsidRPr="00B915E4">
        <w:t>Material and methods</w:t>
      </w:r>
    </w:p>
    <w:p w14:paraId="042EEDCA" w14:textId="78E93EB6" w:rsidR="00D14F00" w:rsidRPr="00D14F00" w:rsidRDefault="00D14F00" w:rsidP="00D14F00">
      <w:pPr>
        <w:pStyle w:val="Paragraphedeliste"/>
        <w:numPr>
          <w:ilvl w:val="0"/>
          <w:numId w:val="7"/>
        </w:numPr>
        <w:spacing w:line="480" w:lineRule="auto"/>
        <w:jc w:val="both"/>
        <w:rPr>
          <w:rFonts w:ascii="Arial" w:hAnsi="Arial" w:cs="Arial"/>
          <w:b/>
          <w:bCs/>
          <w:sz w:val="22"/>
          <w:szCs w:val="22"/>
        </w:rPr>
      </w:pPr>
      <w:r w:rsidRPr="00D14F00">
        <w:rPr>
          <w:rFonts w:ascii="Arial" w:eastAsia="Calibri" w:hAnsi="Arial" w:cs="Arial"/>
          <w:b/>
          <w:bCs/>
          <w:sz w:val="22"/>
          <w:szCs w:val="22"/>
        </w:rPr>
        <w:t>Materials</w:t>
      </w:r>
    </w:p>
    <w:p w14:paraId="17651250" w14:textId="77777777" w:rsidR="00D14F00" w:rsidRPr="00D14F00" w:rsidRDefault="00D14F00" w:rsidP="00D14F00">
      <w:pPr>
        <w:jc w:val="both"/>
        <w:rPr>
          <w:rFonts w:cs="Arial"/>
          <w:szCs w:val="20"/>
          <w:lang w:eastAsia="fr-FR"/>
        </w:rPr>
      </w:pPr>
      <w:r w:rsidRPr="00D14F00">
        <w:rPr>
          <w:rFonts w:cs="Arial"/>
          <w:szCs w:val="20"/>
          <w:lang w:eastAsia="fr-FR"/>
        </w:rPr>
        <w:t xml:space="preserve">For nanodroplets synthesis and characterization, tributyl O-acetyl citrate (ATBC) 98% was purchased from Sigma-Aldrich (St. Quentin </w:t>
      </w:r>
      <w:proofErr w:type="spellStart"/>
      <w:r w:rsidRPr="00D14F00">
        <w:rPr>
          <w:rFonts w:cs="Arial"/>
          <w:szCs w:val="20"/>
          <w:lang w:eastAsia="fr-FR"/>
        </w:rPr>
        <w:t>Fallavier</w:t>
      </w:r>
      <w:proofErr w:type="spellEnd"/>
      <w:r w:rsidRPr="00D14F00">
        <w:rPr>
          <w:rFonts w:cs="Arial"/>
          <w:szCs w:val="20"/>
          <w:lang w:eastAsia="fr-FR"/>
        </w:rPr>
        <w:t xml:space="preserve">, France) and </w:t>
      </w:r>
      <w:proofErr w:type="spellStart"/>
      <w:r w:rsidRPr="00D14F00">
        <w:rPr>
          <w:rFonts w:cs="Arial"/>
          <w:szCs w:val="20"/>
          <w:lang w:eastAsia="fr-FR"/>
        </w:rPr>
        <w:t>Capryol</w:t>
      </w:r>
      <w:proofErr w:type="spellEnd"/>
      <w:r w:rsidRPr="00D14F00">
        <w:rPr>
          <w:rFonts w:cs="Arial"/>
          <w:szCs w:val="20"/>
          <w:vertAlign w:val="superscript"/>
          <w:lang w:eastAsia="fr-FR"/>
        </w:rPr>
        <w:t>®</w:t>
      </w:r>
      <w:r w:rsidRPr="00D14F00">
        <w:rPr>
          <w:rFonts w:cs="Arial"/>
          <w:szCs w:val="20"/>
          <w:lang w:eastAsia="fr-FR"/>
        </w:rPr>
        <w:t xml:space="preserve"> 90 (C-90) was </w:t>
      </w:r>
      <w:r w:rsidRPr="00D14F00">
        <w:rPr>
          <w:rFonts w:cs="Arial"/>
          <w:szCs w:val="20"/>
          <w:lang w:eastAsia="fr-FR" w:bidi="en-US"/>
        </w:rPr>
        <w:t xml:space="preserve">graciously provided by </w:t>
      </w:r>
      <w:proofErr w:type="spellStart"/>
      <w:r w:rsidRPr="00D14F00">
        <w:rPr>
          <w:rFonts w:cs="Arial"/>
          <w:szCs w:val="20"/>
          <w:lang w:eastAsia="fr-FR"/>
        </w:rPr>
        <w:t>GatteFossé</w:t>
      </w:r>
      <w:proofErr w:type="spellEnd"/>
      <w:r w:rsidRPr="00D14F00">
        <w:rPr>
          <w:rFonts w:cs="Arial"/>
          <w:szCs w:val="20"/>
          <w:lang w:eastAsia="fr-FR"/>
        </w:rPr>
        <w:t xml:space="preserve"> SAS (Saint-Priest, France). Perfluorooctyl bromide (PFOB) 98% was purchased from </w:t>
      </w:r>
      <w:proofErr w:type="spellStart"/>
      <w:r w:rsidRPr="00D14F00">
        <w:rPr>
          <w:rFonts w:cs="Arial"/>
          <w:szCs w:val="20"/>
          <w:lang w:eastAsia="fr-FR"/>
        </w:rPr>
        <w:t>Fluorochem</w:t>
      </w:r>
      <w:proofErr w:type="spellEnd"/>
      <w:r w:rsidRPr="00D14F00">
        <w:rPr>
          <w:rFonts w:cs="Arial"/>
          <w:szCs w:val="20"/>
          <w:lang w:eastAsia="fr-FR"/>
        </w:rPr>
        <w:t xml:space="preserve"> (</w:t>
      </w:r>
      <w:proofErr w:type="spellStart"/>
      <w:r w:rsidRPr="00D14F00">
        <w:rPr>
          <w:rFonts w:cs="Arial"/>
          <w:szCs w:val="20"/>
          <w:lang w:eastAsia="fr-FR"/>
        </w:rPr>
        <w:t>Hadfiel</w:t>
      </w:r>
      <w:proofErr w:type="spellEnd"/>
      <w:r w:rsidRPr="00D14F00">
        <w:rPr>
          <w:rFonts w:cs="Arial"/>
          <w:szCs w:val="20"/>
          <w:lang w:eastAsia="fr-FR"/>
        </w:rPr>
        <w:t>, United Kingdom), trehalose anhydrous (98%), paclitaxel (PTX) and docetaxel (DTX) were purchased from TCI Europe (</w:t>
      </w:r>
      <w:proofErr w:type="spellStart"/>
      <w:r w:rsidRPr="00D14F00">
        <w:rPr>
          <w:rFonts w:cs="Arial"/>
          <w:szCs w:val="20"/>
          <w:lang w:eastAsia="fr-FR"/>
        </w:rPr>
        <w:t>Boereveldseweg</w:t>
      </w:r>
      <w:proofErr w:type="spellEnd"/>
      <w:r w:rsidRPr="00D14F00">
        <w:rPr>
          <w:rFonts w:cs="Arial"/>
          <w:szCs w:val="20"/>
          <w:lang w:eastAsia="fr-FR"/>
        </w:rPr>
        <w:t xml:space="preserve">, Belgium). </w:t>
      </w:r>
      <w:r w:rsidRPr="00D14F00">
        <w:rPr>
          <w:rFonts w:cs="Arial"/>
          <w:szCs w:val="20"/>
          <w:lang w:eastAsia="fr-FR" w:bidi="en-US"/>
        </w:rPr>
        <w:t xml:space="preserve">0.22 µm </w:t>
      </w:r>
      <w:r w:rsidRPr="00D14F00">
        <w:rPr>
          <w:rFonts w:cs="Arial"/>
          <w:szCs w:val="20"/>
          <w:lang w:eastAsia="fr-FR"/>
        </w:rPr>
        <w:t>cellulose acetate</w:t>
      </w:r>
      <w:r w:rsidRPr="00D14F00">
        <w:rPr>
          <w:rFonts w:cs="Arial"/>
          <w:szCs w:val="20"/>
          <w:lang w:eastAsia="fr-FR" w:bidi="en-US"/>
        </w:rPr>
        <w:t xml:space="preserve"> (CA) filters were purchased from AIT France (</w:t>
      </w:r>
      <w:proofErr w:type="spellStart"/>
      <w:r w:rsidRPr="00D14F00">
        <w:rPr>
          <w:rFonts w:cs="Arial"/>
          <w:szCs w:val="20"/>
          <w:lang w:eastAsia="fr-FR"/>
        </w:rPr>
        <w:t>Cormeilles</w:t>
      </w:r>
      <w:proofErr w:type="spellEnd"/>
      <w:r w:rsidRPr="00D14F00">
        <w:rPr>
          <w:rFonts w:cs="Arial"/>
          <w:szCs w:val="20"/>
          <w:lang w:eastAsia="fr-FR"/>
        </w:rPr>
        <w:t>-</w:t>
      </w:r>
      <w:proofErr w:type="spellStart"/>
      <w:r w:rsidRPr="00D14F00">
        <w:rPr>
          <w:rFonts w:cs="Arial"/>
          <w:szCs w:val="20"/>
          <w:lang w:eastAsia="fr-FR"/>
        </w:rPr>
        <w:t>en</w:t>
      </w:r>
      <w:proofErr w:type="spellEnd"/>
      <w:r w:rsidRPr="00D14F00">
        <w:rPr>
          <w:rFonts w:cs="Arial"/>
          <w:szCs w:val="20"/>
          <w:lang w:eastAsia="fr-FR"/>
        </w:rPr>
        <w:t>-Parisis, France)</w:t>
      </w:r>
      <w:r w:rsidRPr="00D14F00">
        <w:rPr>
          <w:rFonts w:cs="Arial"/>
          <w:szCs w:val="20"/>
          <w:lang w:eastAsia="fr-FR" w:bidi="en-US"/>
        </w:rPr>
        <w:t xml:space="preserve">. </w:t>
      </w:r>
      <w:r w:rsidRPr="00D14F00">
        <w:rPr>
          <w:rFonts w:cs="Arial"/>
          <w:szCs w:val="20"/>
          <w:lang w:eastAsia="fr-FR"/>
        </w:rPr>
        <w:t>Methyl tert-butyl ether (MTBE)</w:t>
      </w:r>
      <w:r w:rsidRPr="00D14F00">
        <w:rPr>
          <w:rFonts w:cs="Arial"/>
          <w:szCs w:val="20"/>
          <w:lang w:eastAsia="fr-FR" w:bidi="en-US"/>
        </w:rPr>
        <w:t xml:space="preserve"> and acetonitrile (ACN) of Ultra-High Performance Liquid Chromatography-Mass Spectrometry (UHPLC-MS) grade</w:t>
      </w:r>
      <w:r w:rsidRPr="00D14F00">
        <w:rPr>
          <w:rFonts w:cs="Arial"/>
          <w:szCs w:val="20"/>
          <w:lang w:eastAsia="fr-FR"/>
        </w:rPr>
        <w:t xml:space="preserve"> were purchased from Carlo Erba (Val de </w:t>
      </w:r>
      <w:proofErr w:type="spellStart"/>
      <w:r w:rsidRPr="00D14F00">
        <w:rPr>
          <w:rFonts w:cs="Arial"/>
          <w:szCs w:val="20"/>
          <w:lang w:eastAsia="fr-FR"/>
        </w:rPr>
        <w:t>Reuil</w:t>
      </w:r>
      <w:proofErr w:type="spellEnd"/>
      <w:r w:rsidRPr="00D14F00">
        <w:rPr>
          <w:rFonts w:cs="Arial"/>
          <w:szCs w:val="20"/>
          <w:lang w:eastAsia="fr-FR"/>
        </w:rPr>
        <w:t>, France).</w:t>
      </w:r>
      <w:r w:rsidRPr="00D14F00">
        <w:rPr>
          <w:rFonts w:cs="Arial"/>
          <w:szCs w:val="20"/>
          <w:lang w:eastAsia="fr-FR" w:bidi="en-US"/>
        </w:rPr>
        <w:t xml:space="preserve"> </w:t>
      </w:r>
      <w:r w:rsidRPr="00D14F00">
        <w:rPr>
          <w:rFonts w:cs="Arial"/>
          <w:szCs w:val="20"/>
          <w:lang w:eastAsia="fr-FR"/>
        </w:rPr>
        <w:t>Phosphate Buffer Saline (</w:t>
      </w:r>
      <w:r w:rsidRPr="00D14F00">
        <w:rPr>
          <w:rFonts w:cs="Arial"/>
          <w:szCs w:val="20"/>
          <w:lang w:eastAsia="fr-FR" w:bidi="en-US"/>
        </w:rPr>
        <w:t xml:space="preserve">PBS) Tablets pH 7.4 were purchased from </w:t>
      </w:r>
      <w:proofErr w:type="spellStart"/>
      <w:r w:rsidRPr="00D14F00">
        <w:rPr>
          <w:rFonts w:cs="Arial"/>
          <w:szCs w:val="20"/>
          <w:lang w:eastAsia="fr-FR" w:bidi="en-US"/>
        </w:rPr>
        <w:t>Panreac</w:t>
      </w:r>
      <w:proofErr w:type="spellEnd"/>
      <w:r w:rsidRPr="00D14F00">
        <w:rPr>
          <w:rFonts w:cs="Arial"/>
          <w:szCs w:val="20"/>
          <w:lang w:eastAsia="fr-FR" w:bidi="en-US"/>
        </w:rPr>
        <w:t xml:space="preserve"> (Castellar del </w:t>
      </w:r>
      <w:proofErr w:type="spellStart"/>
      <w:r w:rsidRPr="00D14F00">
        <w:rPr>
          <w:rFonts w:cs="Arial"/>
          <w:szCs w:val="20"/>
          <w:lang w:eastAsia="fr-FR" w:bidi="en-US"/>
        </w:rPr>
        <w:t>Vallès</w:t>
      </w:r>
      <w:proofErr w:type="spellEnd"/>
      <w:r w:rsidRPr="00D14F00">
        <w:rPr>
          <w:rFonts w:cs="Arial"/>
          <w:szCs w:val="20"/>
          <w:lang w:eastAsia="fr-FR" w:bidi="en-US"/>
        </w:rPr>
        <w:t>, Spain).</w:t>
      </w:r>
    </w:p>
    <w:p w14:paraId="1B7C35D2" w14:textId="77777777" w:rsidR="00D14F00" w:rsidRPr="00D14F00" w:rsidRDefault="00D14F00" w:rsidP="00D14F00">
      <w:pPr>
        <w:jc w:val="both"/>
        <w:rPr>
          <w:rFonts w:cs="Arial"/>
          <w:szCs w:val="20"/>
          <w:lang w:eastAsia="fr-FR" w:bidi="en-US"/>
        </w:rPr>
      </w:pPr>
      <w:r w:rsidRPr="00D14F00">
        <w:rPr>
          <w:rFonts w:cs="Arial"/>
          <w:szCs w:val="20"/>
          <w:lang w:eastAsia="fr-FR"/>
        </w:rPr>
        <w:t>For</w:t>
      </w:r>
      <w:r w:rsidRPr="00D14F00">
        <w:rPr>
          <w:rFonts w:cs="Arial"/>
          <w:i/>
          <w:iCs/>
          <w:szCs w:val="20"/>
          <w:lang w:eastAsia="fr-FR"/>
        </w:rPr>
        <w:t xml:space="preserve"> </w:t>
      </w:r>
      <w:r w:rsidRPr="00D14F00">
        <w:rPr>
          <w:rFonts w:cs="Arial"/>
          <w:szCs w:val="20"/>
          <w:lang w:eastAsia="fr-FR"/>
        </w:rPr>
        <w:t xml:space="preserve">cell culture, Eagle’s Minimum Essential Medium (EMEM) was obtained from Lonza (Verviers, Belgium) and fetal calf serum (FCS) from </w:t>
      </w:r>
      <w:proofErr w:type="spellStart"/>
      <w:r w:rsidRPr="00D14F00">
        <w:rPr>
          <w:rFonts w:cs="Arial"/>
          <w:szCs w:val="20"/>
          <w:lang w:eastAsia="fr-FR"/>
        </w:rPr>
        <w:t>Eurobio</w:t>
      </w:r>
      <w:proofErr w:type="spellEnd"/>
      <w:r w:rsidRPr="00D14F00">
        <w:rPr>
          <w:rFonts w:cs="Arial"/>
          <w:szCs w:val="20"/>
          <w:lang w:eastAsia="fr-FR"/>
        </w:rPr>
        <w:t xml:space="preserve"> (Les Ulis, France). Dulbecco’s Modified Eagle Medium (DMEM), L-Glutamine, penicillin/streptomycin, trypsin (0.05% Trypsin/Ethylene diamine </w:t>
      </w:r>
      <w:proofErr w:type="spellStart"/>
      <w:r w:rsidRPr="00D14F00">
        <w:rPr>
          <w:rFonts w:cs="Arial"/>
          <w:szCs w:val="20"/>
          <w:lang w:eastAsia="fr-FR"/>
        </w:rPr>
        <w:t>tetraacetic</w:t>
      </w:r>
      <w:proofErr w:type="spellEnd"/>
      <w:r w:rsidRPr="00D14F00">
        <w:rPr>
          <w:rFonts w:cs="Arial"/>
          <w:szCs w:val="20"/>
          <w:lang w:eastAsia="fr-FR"/>
        </w:rPr>
        <w:t xml:space="preserve"> acid (EDTA) 1X) and PBS or </w:t>
      </w:r>
      <w:r w:rsidRPr="00D14F00">
        <w:rPr>
          <w:rFonts w:cs="Arial"/>
          <w:szCs w:val="20"/>
          <w:lang w:eastAsia="fr-FR" w:bidi="en-US"/>
        </w:rPr>
        <w:t>Dulbecco's Phosphate-Buffered Saline (DPBS)</w:t>
      </w:r>
      <w:r w:rsidRPr="00D14F00">
        <w:rPr>
          <w:rFonts w:cs="Arial"/>
          <w:szCs w:val="20"/>
          <w:lang w:eastAsia="fr-FR"/>
        </w:rPr>
        <w:t xml:space="preserve"> were purchased from Gibco (Paisley, United Kingdom). For animal studies, branded formulation of DTX (Docetaxel Accord</w:t>
      </w:r>
      <w:r w:rsidRPr="00D14F00">
        <w:rPr>
          <w:rFonts w:cs="Arial"/>
          <w:szCs w:val="20"/>
          <w:vertAlign w:val="superscript"/>
          <w:lang w:eastAsia="fr-FR"/>
        </w:rPr>
        <w:t>®</w:t>
      </w:r>
      <w:r w:rsidRPr="00D14F00">
        <w:rPr>
          <w:rFonts w:cs="Arial"/>
          <w:szCs w:val="20"/>
          <w:lang w:eastAsia="fr-FR"/>
        </w:rPr>
        <w:t xml:space="preserve"> 20 mg mL</w:t>
      </w:r>
      <w:r w:rsidRPr="00D14F00">
        <w:rPr>
          <w:rFonts w:cs="Arial"/>
          <w:szCs w:val="20"/>
          <w:vertAlign w:val="superscript"/>
          <w:lang w:eastAsia="fr-FR"/>
        </w:rPr>
        <w:t>-1</w:t>
      </w:r>
      <w:r w:rsidRPr="00D14F00">
        <w:rPr>
          <w:rFonts w:cs="Arial"/>
          <w:szCs w:val="20"/>
          <w:lang w:eastAsia="fr-FR"/>
        </w:rPr>
        <w:t xml:space="preserve">) was purchased from Accord Healthcare France. </w:t>
      </w:r>
    </w:p>
    <w:p w14:paraId="072979F5" w14:textId="77777777" w:rsidR="00D14F00" w:rsidRPr="00D14F00" w:rsidRDefault="00D14F00" w:rsidP="00D14F00">
      <w:pPr>
        <w:jc w:val="both"/>
        <w:rPr>
          <w:rFonts w:cs="Arial"/>
          <w:szCs w:val="20"/>
          <w:lang w:eastAsia="fr-FR" w:bidi="en-US"/>
        </w:rPr>
      </w:pPr>
    </w:p>
    <w:p w14:paraId="5D38561D" w14:textId="32EACAA7" w:rsidR="00D14F00" w:rsidRPr="00D14F00" w:rsidRDefault="00D14F00" w:rsidP="00D14F00">
      <w:pPr>
        <w:pStyle w:val="Paragraphedeliste"/>
        <w:numPr>
          <w:ilvl w:val="0"/>
          <w:numId w:val="7"/>
        </w:numPr>
        <w:spacing w:line="480" w:lineRule="auto"/>
        <w:jc w:val="both"/>
        <w:rPr>
          <w:rFonts w:ascii="Arial" w:eastAsia="Calibri" w:hAnsi="Arial" w:cs="Arial"/>
          <w:b/>
          <w:bCs/>
          <w:sz w:val="22"/>
          <w:szCs w:val="22"/>
        </w:rPr>
      </w:pPr>
      <w:r w:rsidRPr="00D14F00">
        <w:rPr>
          <w:rFonts w:ascii="Arial" w:eastAsia="Calibri" w:hAnsi="Arial" w:cs="Arial"/>
          <w:b/>
          <w:bCs/>
          <w:sz w:val="22"/>
          <w:szCs w:val="22"/>
        </w:rPr>
        <w:t>LC-MS analysis of DTX in blood and brain tissue</w:t>
      </w:r>
    </w:p>
    <w:p w14:paraId="554C7385" w14:textId="77777777" w:rsidR="00D14F00" w:rsidRPr="00D14F00" w:rsidRDefault="00D14F00" w:rsidP="00D14F00">
      <w:pPr>
        <w:jc w:val="both"/>
        <w:rPr>
          <w:rFonts w:cs="Arial"/>
          <w:szCs w:val="20"/>
          <w:lang w:eastAsia="fr-FR"/>
        </w:rPr>
      </w:pPr>
      <w:r w:rsidRPr="00D14F00">
        <w:rPr>
          <w:rFonts w:cs="Arial"/>
          <w:szCs w:val="20"/>
          <w:lang w:eastAsia="fr-FR"/>
        </w:rPr>
        <w:t xml:space="preserve">The system was controlled by </w:t>
      </w:r>
      <w:proofErr w:type="spellStart"/>
      <w:r w:rsidRPr="00D14F00">
        <w:rPr>
          <w:rFonts w:cs="Arial"/>
          <w:szCs w:val="20"/>
          <w:lang w:eastAsia="fr-FR"/>
        </w:rPr>
        <w:t>MassLynx</w:t>
      </w:r>
      <w:proofErr w:type="spellEnd"/>
      <w:r w:rsidRPr="00D14F00">
        <w:rPr>
          <w:rFonts w:cs="Arial"/>
          <w:szCs w:val="20"/>
          <w:lang w:eastAsia="fr-FR"/>
        </w:rPr>
        <w:t xml:space="preserve"> Version 4.2 (Waters, Milford, MA, USA). Three &amp; five microliters of sample were injected to an </w:t>
      </w:r>
      <w:proofErr w:type="spellStart"/>
      <w:r w:rsidRPr="00D14F00">
        <w:rPr>
          <w:rFonts w:cs="Arial"/>
          <w:szCs w:val="20"/>
          <w:lang w:eastAsia="fr-FR"/>
        </w:rPr>
        <w:t>Acquity</w:t>
      </w:r>
      <w:proofErr w:type="spellEnd"/>
      <w:r w:rsidRPr="00D14F00">
        <w:rPr>
          <w:rFonts w:cs="Arial"/>
          <w:szCs w:val="20"/>
          <w:lang w:eastAsia="fr-FR"/>
        </w:rPr>
        <w:t xml:space="preserve"> UPLC</w:t>
      </w:r>
      <w:r w:rsidRPr="00D14F00">
        <w:rPr>
          <w:rFonts w:cs="Arial"/>
          <w:szCs w:val="20"/>
          <w:vertAlign w:val="superscript"/>
          <w:lang w:eastAsia="fr-FR"/>
        </w:rPr>
        <w:t>®</w:t>
      </w:r>
      <w:r w:rsidRPr="00D14F00">
        <w:rPr>
          <w:rFonts w:cs="Arial"/>
          <w:szCs w:val="20"/>
          <w:lang w:eastAsia="fr-FR"/>
        </w:rPr>
        <w:t xml:space="preserve"> CSH C18 1.7 µm column (2.1 × 100 mm, Waters, Milford, MA, USA) kept at 45 °C, for the blood and brain samples, respectively. Chromatographic separation was achieved using mobile phases consisting of water (A) and ACN (B), both containing 0.01% formic acid with a flow rate of 0.4 mL min</w:t>
      </w:r>
      <w:r w:rsidRPr="00D14F00">
        <w:rPr>
          <w:rFonts w:cs="Arial"/>
          <w:szCs w:val="20"/>
          <w:vertAlign w:val="superscript"/>
          <w:lang w:eastAsia="fr-FR"/>
        </w:rPr>
        <w:t>-1</w:t>
      </w:r>
      <w:r w:rsidRPr="00D14F00">
        <w:rPr>
          <w:rFonts w:cs="Arial"/>
          <w:szCs w:val="20"/>
          <w:lang w:eastAsia="fr-FR"/>
        </w:rPr>
        <w:t xml:space="preserve">. The elution gradient was </w:t>
      </w:r>
      <w:r w:rsidRPr="00D14F00">
        <w:rPr>
          <w:rFonts w:cs="Arial"/>
          <w:szCs w:val="20"/>
          <w:lang w:eastAsia="fr-FR"/>
        </w:rPr>
        <w:lastRenderedPageBreak/>
        <w:t xml:space="preserve">from 30% B to 99% B in 4.5 minutes, maintained at this ratio for 2 minutes then back to initial conditions in 1.5 minutes and maintained at initial condition during 1 minute (total run time 7 minutes). Data acquisition and processing were performed using </w:t>
      </w:r>
      <w:proofErr w:type="spellStart"/>
      <w:r w:rsidRPr="00D14F00">
        <w:rPr>
          <w:rFonts w:cs="Arial"/>
          <w:szCs w:val="20"/>
          <w:lang w:eastAsia="fr-FR"/>
        </w:rPr>
        <w:t>MassLynx</w:t>
      </w:r>
      <w:proofErr w:type="spellEnd"/>
      <w:r w:rsidRPr="00D14F00">
        <w:rPr>
          <w:rFonts w:cs="Arial"/>
          <w:szCs w:val="20"/>
          <w:lang w:eastAsia="fr-FR"/>
        </w:rPr>
        <w:t xml:space="preserve"> version 4.2 and </w:t>
      </w:r>
      <w:proofErr w:type="spellStart"/>
      <w:r w:rsidRPr="00D14F00">
        <w:rPr>
          <w:rFonts w:cs="Arial"/>
          <w:szCs w:val="20"/>
          <w:lang w:eastAsia="fr-FR"/>
        </w:rPr>
        <w:t>TargetLynx</w:t>
      </w:r>
      <w:proofErr w:type="spellEnd"/>
      <w:r w:rsidRPr="00D14F00">
        <w:rPr>
          <w:rFonts w:cs="Arial"/>
          <w:szCs w:val="20"/>
          <w:lang w:eastAsia="fr-FR"/>
        </w:rPr>
        <w:t xml:space="preserve"> software (Waters, Milford, USA). </w:t>
      </w:r>
    </w:p>
    <w:p w14:paraId="70F89F1D" w14:textId="77777777" w:rsidR="00D14F00" w:rsidRPr="00D14F00" w:rsidRDefault="00D14F00" w:rsidP="00D14F00">
      <w:pPr>
        <w:jc w:val="both"/>
        <w:rPr>
          <w:rFonts w:cs="Arial"/>
          <w:szCs w:val="20"/>
          <w:lang w:eastAsia="fr-FR"/>
        </w:rPr>
      </w:pPr>
      <w:r w:rsidRPr="00D14F00">
        <w:rPr>
          <w:rFonts w:cs="Arial"/>
          <w:szCs w:val="20"/>
          <w:lang w:eastAsia="fr-FR"/>
        </w:rPr>
        <w:t>DTX and internal standard were injected to identify the multiple reactions monitoring (MRM) acquisition in positive electrospray ionization (ESI) mode. The capillary voltage was set to 3.2 kV and the source temperature to 150 °C. Nitrogen was used as drying and nebulizing gas at 150 L h</w:t>
      </w:r>
      <w:r w:rsidRPr="00D14F00">
        <w:rPr>
          <w:rFonts w:cs="Arial"/>
          <w:szCs w:val="20"/>
          <w:vertAlign w:val="superscript"/>
          <w:lang w:eastAsia="fr-FR"/>
        </w:rPr>
        <w:t>-1</w:t>
      </w:r>
      <w:r w:rsidRPr="00D14F00">
        <w:rPr>
          <w:rFonts w:cs="Arial"/>
          <w:szCs w:val="20"/>
          <w:lang w:eastAsia="fr-FR"/>
        </w:rPr>
        <w:t xml:space="preserve"> for the gas flow and 1000 L h</w:t>
      </w:r>
      <w:r w:rsidRPr="00D14F00">
        <w:rPr>
          <w:rFonts w:cs="Arial"/>
          <w:szCs w:val="20"/>
          <w:vertAlign w:val="superscript"/>
          <w:lang w:eastAsia="fr-FR"/>
        </w:rPr>
        <w:t>-1</w:t>
      </w:r>
      <w:r w:rsidRPr="00D14F00">
        <w:rPr>
          <w:rFonts w:cs="Arial"/>
          <w:szCs w:val="20"/>
          <w:lang w:eastAsia="fr-FR"/>
        </w:rPr>
        <w:t xml:space="preserve"> for the </w:t>
      </w:r>
      <w:proofErr w:type="spellStart"/>
      <w:r w:rsidRPr="00D14F00">
        <w:rPr>
          <w:rFonts w:cs="Arial"/>
          <w:szCs w:val="20"/>
          <w:lang w:eastAsia="fr-FR"/>
        </w:rPr>
        <w:t>desolvation</w:t>
      </w:r>
      <w:proofErr w:type="spellEnd"/>
      <w:r w:rsidRPr="00D14F00">
        <w:rPr>
          <w:rFonts w:cs="Arial"/>
          <w:szCs w:val="20"/>
          <w:lang w:eastAsia="fr-FR"/>
        </w:rPr>
        <w:t xml:space="preserve"> gas at 550 °C. MRM analysis was used to monitor the transitions from precursor ions to dominant product ions. Two specific optimized mass transitions ion-pair were used to determine DTX and internal standard, with the most intense transition used for the quantification (quantifier transition (QT)) and the second used for confirmation purposes (qualifier transition (QL)). The mass transition ion-pair were followed as m/z 830.4 → 304.2 (QT, Collision energy (CE)= 20 eV) and 830.40 → 248.10 (QL, CE= 40 eV) for DTX, and m/z 854.40 → 509.3 (QT, CE= 20 eV) and 854.40 → 286.20 (QL, CE= 30 eV) for internal standard. </w:t>
      </w:r>
    </w:p>
    <w:p w14:paraId="5A093C16" w14:textId="0E184175" w:rsidR="00D14F00" w:rsidRDefault="00D14F00" w:rsidP="00D14F00">
      <w:pPr>
        <w:pStyle w:val="Titre1"/>
      </w:pPr>
      <w:r w:rsidRPr="00B915E4">
        <w:t>Results</w:t>
      </w:r>
    </w:p>
    <w:p w14:paraId="10738ABD" w14:textId="423CFBDC" w:rsidR="00D14F00" w:rsidRPr="00D14F00" w:rsidRDefault="00D14F00" w:rsidP="001E0497">
      <w:pPr>
        <w:jc w:val="both"/>
        <w:rPr>
          <w:rFonts w:cs="Arial"/>
          <w:b/>
          <w:bCs/>
          <w:szCs w:val="20"/>
        </w:rPr>
      </w:pPr>
      <w:r w:rsidRPr="00D14F00">
        <w:rPr>
          <w:rFonts w:cs="Arial"/>
          <w:b/>
          <w:bCs/>
          <w:szCs w:val="20"/>
        </w:rPr>
        <w:t>Fig</w:t>
      </w:r>
      <w:r>
        <w:rPr>
          <w:rFonts w:cs="Arial"/>
          <w:b/>
          <w:bCs/>
          <w:szCs w:val="20"/>
        </w:rPr>
        <w:t>ure</w:t>
      </w:r>
      <w:r w:rsidRPr="00D14F00">
        <w:rPr>
          <w:rFonts w:cs="Arial"/>
          <w:b/>
          <w:bCs/>
          <w:szCs w:val="20"/>
        </w:rPr>
        <w:t xml:space="preserve"> </w:t>
      </w:r>
      <w:r>
        <w:rPr>
          <w:rFonts w:cs="Arial"/>
          <w:b/>
          <w:bCs/>
          <w:szCs w:val="20"/>
        </w:rPr>
        <w:t>S</w:t>
      </w:r>
      <w:r w:rsidRPr="00D14F00">
        <w:rPr>
          <w:rFonts w:cs="Arial"/>
          <w:b/>
          <w:bCs/>
          <w:szCs w:val="20"/>
        </w:rPr>
        <w:t xml:space="preserve">1. </w:t>
      </w:r>
      <w:r w:rsidRPr="00D14F00">
        <w:rPr>
          <w:rFonts w:cs="Arial"/>
          <w:szCs w:val="20"/>
        </w:rPr>
        <w:t xml:space="preserve">Assessment of the in vitro anti-glioma activity of docetaxel (DTX) using the MTT assay on U87-MG cells incubated for 72 h with DTX dissolved in DMSO, </w:t>
      </w:r>
      <w:r w:rsidRPr="00D14F00">
        <w:rPr>
          <w:rFonts w:cs="Arial"/>
          <w:szCs w:val="20"/>
          <w:lang w:eastAsia="fr-FR"/>
        </w:rPr>
        <w:t>tributyl O-acetyl citrate (</w:t>
      </w:r>
      <w:r w:rsidRPr="00D14F00">
        <w:rPr>
          <w:rFonts w:cs="Arial"/>
          <w:szCs w:val="20"/>
        </w:rPr>
        <w:t xml:space="preserve">ATBC) or </w:t>
      </w:r>
      <w:proofErr w:type="spellStart"/>
      <w:r w:rsidRPr="00D14F00">
        <w:rPr>
          <w:rFonts w:cs="Arial"/>
          <w:szCs w:val="20"/>
        </w:rPr>
        <w:t>Capryol</w:t>
      </w:r>
      <w:proofErr w:type="spellEnd"/>
      <w:r w:rsidRPr="00D14F00">
        <w:rPr>
          <w:rFonts w:cs="Arial"/>
          <w:szCs w:val="20"/>
        </w:rPr>
        <w:t>® 90 (C-90) oil (0.1, 1, 2.5, 5, 10, 50 nmol L</w:t>
      </w:r>
      <w:r w:rsidRPr="00D14F00">
        <w:rPr>
          <w:rFonts w:cs="Arial"/>
          <w:szCs w:val="20"/>
          <w:vertAlign w:val="superscript"/>
        </w:rPr>
        <w:t>-1</w:t>
      </w:r>
      <w:r w:rsidRPr="00D14F00">
        <w:rPr>
          <w:rFonts w:cs="Arial"/>
          <w:szCs w:val="20"/>
        </w:rPr>
        <w:t>). The values are expressed as mean ± SD (n = 3). MTT, 3-(4,5-dimethylthiazol-2-yl)-2,5-diphenyltetrazolium bromide.</w:t>
      </w:r>
      <w:r w:rsidRPr="00D14F00">
        <w:rPr>
          <w:rFonts w:cs="Arial"/>
          <w:b/>
          <w:bCs/>
          <w:szCs w:val="20"/>
        </w:rPr>
        <w:t xml:space="preserve"> </w:t>
      </w:r>
    </w:p>
    <w:p w14:paraId="13D57A27" w14:textId="168CFA8F" w:rsidR="00D14F00" w:rsidRDefault="00D14F00" w:rsidP="00D14F00">
      <w:pPr>
        <w:pStyle w:val="Paragraphedeliste"/>
        <w:spacing w:line="480" w:lineRule="auto"/>
        <w:jc w:val="both"/>
        <w:rPr>
          <w:rFonts w:ascii="Arial" w:hAnsi="Arial" w:cs="Arial"/>
          <w:b/>
          <w:bCs/>
          <w:sz w:val="20"/>
          <w:szCs w:val="20"/>
        </w:rPr>
      </w:pPr>
      <w:r>
        <w:rPr>
          <w:noProof/>
          <w:lang w:val="fr-FR" w:eastAsia="fr-FR"/>
        </w:rPr>
        <w:lastRenderedPageBreak/>
        <w:drawing>
          <wp:inline distT="0" distB="0" distL="0" distR="0" wp14:anchorId="5B1760FE" wp14:editId="6E4857A5">
            <wp:extent cx="4953000" cy="2934834"/>
            <wp:effectExtent l="0" t="0" r="0" b="0"/>
            <wp:docPr id="497257716" name="Graphique 1">
              <a:extLst xmlns:a="http://schemas.openxmlformats.org/drawingml/2006/main">
                <a:ext uri="{FF2B5EF4-FFF2-40B4-BE49-F238E27FC236}">
                  <a16:creationId xmlns:a16="http://schemas.microsoft.com/office/drawing/2014/main" id="{45187DE4-A05E-4E6D-8CB6-D546A972D7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DC424B" w14:textId="2E552DD4" w:rsidR="001E0497" w:rsidRPr="001E0497" w:rsidRDefault="001E0497" w:rsidP="002F1F1E">
      <w:r w:rsidRPr="00D14F00">
        <w:rPr>
          <w:rFonts w:cs="Arial"/>
          <w:b/>
          <w:bCs/>
          <w:szCs w:val="20"/>
        </w:rPr>
        <w:t>Fig</w:t>
      </w:r>
      <w:r>
        <w:rPr>
          <w:rFonts w:cs="Arial"/>
          <w:b/>
          <w:bCs/>
          <w:szCs w:val="20"/>
        </w:rPr>
        <w:t>ure</w:t>
      </w:r>
      <w:r w:rsidRPr="00D14F00">
        <w:rPr>
          <w:rFonts w:cs="Arial"/>
          <w:b/>
          <w:bCs/>
          <w:szCs w:val="20"/>
        </w:rPr>
        <w:t xml:space="preserve"> </w:t>
      </w:r>
      <w:r>
        <w:rPr>
          <w:rFonts w:cs="Arial"/>
          <w:b/>
          <w:bCs/>
          <w:szCs w:val="20"/>
        </w:rPr>
        <w:t>S2</w:t>
      </w:r>
      <w:r w:rsidRPr="00D14F00">
        <w:rPr>
          <w:rFonts w:cs="Arial"/>
          <w:b/>
          <w:bCs/>
          <w:szCs w:val="20"/>
        </w:rPr>
        <w:t>.</w:t>
      </w:r>
      <w:r>
        <w:rPr>
          <w:rFonts w:cs="Arial"/>
          <w:b/>
          <w:bCs/>
          <w:szCs w:val="20"/>
        </w:rPr>
        <w:t xml:space="preserve"> </w:t>
      </w:r>
      <w:r w:rsidRPr="001E0497">
        <w:rPr>
          <w:rFonts w:cs="Arial"/>
          <w:bCs/>
          <w:szCs w:val="20"/>
        </w:rPr>
        <w:t xml:space="preserve">NDs </w:t>
      </w:r>
      <w:r>
        <w:rPr>
          <w:rFonts w:cs="Arial"/>
          <w:bCs/>
          <w:szCs w:val="20"/>
        </w:rPr>
        <w:t>s</w:t>
      </w:r>
      <w:r w:rsidRPr="001E0497">
        <w:rPr>
          <w:rFonts w:cs="Arial"/>
          <w:bCs/>
          <w:szCs w:val="20"/>
        </w:rPr>
        <w:t xml:space="preserve">ize distribution of </w:t>
      </w:r>
      <w:r>
        <w:rPr>
          <w:rFonts w:cs="Arial"/>
          <w:bCs/>
          <w:szCs w:val="20"/>
        </w:rPr>
        <w:t>t</w:t>
      </w:r>
      <w:r w:rsidRPr="001E0497">
        <w:rPr>
          <w:rFonts w:cs="Arial"/>
          <w:bCs/>
          <w:szCs w:val="20"/>
        </w:rPr>
        <w:t>he TEM image using ImageJ</w:t>
      </w:r>
      <w:r>
        <w:rPr>
          <w:rFonts w:cs="Arial"/>
          <w:b/>
          <w:bCs/>
          <w:szCs w:val="20"/>
        </w:rPr>
        <w:t xml:space="preserve"> </w:t>
      </w:r>
      <w:r w:rsidRPr="001E0497">
        <w:rPr>
          <w:rFonts w:cs="Arial"/>
          <w:bCs/>
          <w:szCs w:val="20"/>
        </w:rPr>
        <w:t>software</w:t>
      </w:r>
    </w:p>
    <w:p w14:paraId="1AE7EE19" w14:textId="02995256" w:rsidR="001E0497" w:rsidRPr="001E0497" w:rsidRDefault="002F1F1E" w:rsidP="001E0497">
      <w:pPr>
        <w:jc w:val="center"/>
      </w:pPr>
      <w:r>
        <w:rPr>
          <w:noProof/>
        </w:rPr>
        <w:drawing>
          <wp:inline distT="0" distB="0" distL="0" distR="0" wp14:anchorId="069C5AEE" wp14:editId="0F4B65B6">
            <wp:extent cx="2336800" cy="2692400"/>
            <wp:effectExtent l="0" t="0" r="0" b="0"/>
            <wp:docPr id="744563013" name="Image 3" descr="Une image contenant texte, diagramm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63013" name="Image 3" descr="Une image contenant texte, diagramme, Police, capture d’écra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6800" cy="2692400"/>
                    </a:xfrm>
                    <a:prstGeom prst="rect">
                      <a:avLst/>
                    </a:prstGeom>
                  </pic:spPr>
                </pic:pic>
              </a:graphicData>
            </a:graphic>
          </wp:inline>
        </w:drawing>
      </w:r>
    </w:p>
    <w:p w14:paraId="52F1F8B8" w14:textId="77777777" w:rsidR="001E0497" w:rsidRDefault="001E0497" w:rsidP="001E0497">
      <w:pPr>
        <w:pStyle w:val="Paragraphedeliste"/>
        <w:spacing w:line="480" w:lineRule="auto"/>
        <w:ind w:left="0"/>
        <w:jc w:val="both"/>
        <w:rPr>
          <w:rFonts w:ascii="Arial" w:hAnsi="Arial" w:cs="Arial"/>
          <w:b/>
          <w:bCs/>
          <w:sz w:val="20"/>
          <w:szCs w:val="20"/>
        </w:rPr>
      </w:pPr>
    </w:p>
    <w:p w14:paraId="599D802A" w14:textId="77777777" w:rsidR="001D2634" w:rsidRPr="001D2634" w:rsidRDefault="001D2634" w:rsidP="001E0497">
      <w:pPr>
        <w:jc w:val="both"/>
        <w:rPr>
          <w:rFonts w:cs="Arial"/>
          <w:b/>
          <w:bCs/>
        </w:rPr>
      </w:pPr>
      <w:r w:rsidRPr="001D2634">
        <w:rPr>
          <w:rFonts w:cs="Arial"/>
          <w:b/>
          <w:bCs/>
        </w:rPr>
        <w:t xml:space="preserve">Table S1. </w:t>
      </w:r>
      <w:r w:rsidRPr="001D2634">
        <w:rPr>
          <w:rFonts w:cs="Arial"/>
          <w:lang w:val="en-GB"/>
        </w:rPr>
        <w:t>Impact of trehalose concentration on nanodroplets size (D</w:t>
      </w:r>
      <w:r w:rsidRPr="001D2634">
        <w:rPr>
          <w:rFonts w:cs="Arial"/>
          <w:vertAlign w:val="subscript"/>
          <w:lang w:val="en-GB"/>
        </w:rPr>
        <w:t>H</w:t>
      </w:r>
      <w:r w:rsidRPr="001D2634">
        <w:rPr>
          <w:rFonts w:cs="Arial"/>
          <w:lang w:val="en-GB"/>
        </w:rPr>
        <w:t xml:space="preserve">) before freeze-drying and after rehydration of the freeze-dried emulsion. </w:t>
      </w:r>
    </w:p>
    <w:tbl>
      <w:tblPr>
        <w:tblW w:w="8925" w:type="dxa"/>
        <w:tblCellMar>
          <w:left w:w="0" w:type="dxa"/>
          <w:right w:w="0" w:type="dxa"/>
        </w:tblCellMar>
        <w:tblLook w:val="0600" w:firstRow="0" w:lastRow="0" w:firstColumn="0" w:lastColumn="0" w:noHBand="1" w:noVBand="1"/>
      </w:tblPr>
      <w:tblGrid>
        <w:gridCol w:w="2127"/>
        <w:gridCol w:w="1984"/>
        <w:gridCol w:w="1203"/>
        <w:gridCol w:w="1204"/>
        <w:gridCol w:w="1203"/>
        <w:gridCol w:w="1204"/>
      </w:tblGrid>
      <w:tr w:rsidR="001D2634" w:rsidRPr="001D2634" w14:paraId="545630FF" w14:textId="77777777" w:rsidTr="00FB0788">
        <w:trPr>
          <w:trHeight w:val="585"/>
        </w:trPr>
        <w:tc>
          <w:tcPr>
            <w:tcW w:w="2127" w:type="dxa"/>
            <w:tcBorders>
              <w:top w:val="single" w:sz="4" w:space="0" w:color="auto"/>
              <w:left w:val="nil"/>
              <w:bottom w:val="single" w:sz="8" w:space="0" w:color="000000"/>
              <w:right w:val="nil"/>
            </w:tcBorders>
            <w:tcMar>
              <w:top w:w="15" w:type="dxa"/>
              <w:left w:w="15" w:type="dxa"/>
              <w:bottom w:w="0" w:type="dxa"/>
              <w:right w:w="15" w:type="dxa"/>
            </w:tcMar>
            <w:vAlign w:val="center"/>
            <w:hideMark/>
          </w:tcPr>
          <w:p w14:paraId="0A4AA09B" w14:textId="77777777" w:rsidR="001D2634" w:rsidRPr="00220A65" w:rsidRDefault="001D2634" w:rsidP="00FB0788">
            <w:pPr>
              <w:rPr>
                <w:rFonts w:cs="Arial"/>
                <w:szCs w:val="20"/>
              </w:rPr>
            </w:pPr>
            <w:r w:rsidRPr="00220A65">
              <w:rPr>
                <w:rFonts w:cs="Arial"/>
                <w:color w:val="000000"/>
                <w:kern w:val="24"/>
                <w:szCs w:val="20"/>
              </w:rPr>
              <w:t> </w:t>
            </w:r>
          </w:p>
        </w:tc>
        <w:tc>
          <w:tcPr>
            <w:tcW w:w="1984" w:type="dxa"/>
            <w:tcBorders>
              <w:top w:val="single" w:sz="4" w:space="0" w:color="auto"/>
              <w:left w:val="nil"/>
              <w:bottom w:val="single" w:sz="8" w:space="0" w:color="000000"/>
              <w:right w:val="nil"/>
            </w:tcBorders>
            <w:tcMar>
              <w:top w:w="15" w:type="dxa"/>
              <w:left w:w="15" w:type="dxa"/>
              <w:bottom w:w="0" w:type="dxa"/>
              <w:right w:w="15" w:type="dxa"/>
            </w:tcMar>
            <w:vAlign w:val="center"/>
            <w:hideMark/>
          </w:tcPr>
          <w:p w14:paraId="6C000983" w14:textId="77777777" w:rsidR="001D2634" w:rsidRPr="00220A65" w:rsidRDefault="001D2634" w:rsidP="00FB0788">
            <w:pPr>
              <w:jc w:val="center"/>
              <w:rPr>
                <w:rFonts w:cs="Arial"/>
                <w:szCs w:val="20"/>
                <w:lang w:val="fr-FR"/>
              </w:rPr>
            </w:pPr>
            <w:proofErr w:type="spellStart"/>
            <w:r w:rsidRPr="00220A65">
              <w:rPr>
                <w:rFonts w:cs="Arial"/>
                <w:color w:val="000000"/>
                <w:kern w:val="24"/>
                <w:szCs w:val="20"/>
                <w:lang w:val="fr-FR"/>
              </w:rPr>
              <w:t>Before</w:t>
            </w:r>
            <w:proofErr w:type="spellEnd"/>
            <w:r w:rsidRPr="00220A65">
              <w:rPr>
                <w:rFonts w:cs="Arial"/>
                <w:color w:val="000000"/>
                <w:kern w:val="24"/>
                <w:szCs w:val="20"/>
                <w:lang w:val="fr-FR"/>
              </w:rPr>
              <w:t xml:space="preserve"> freeze-drying</w:t>
            </w:r>
          </w:p>
        </w:tc>
        <w:tc>
          <w:tcPr>
            <w:tcW w:w="4814" w:type="dxa"/>
            <w:gridSpan w:val="4"/>
            <w:tcBorders>
              <w:top w:val="single" w:sz="4" w:space="0" w:color="auto"/>
              <w:left w:val="nil"/>
              <w:bottom w:val="single" w:sz="8" w:space="0" w:color="000000"/>
              <w:right w:val="nil"/>
            </w:tcBorders>
            <w:tcMar>
              <w:top w:w="15" w:type="dxa"/>
              <w:left w:w="15" w:type="dxa"/>
              <w:bottom w:w="0" w:type="dxa"/>
              <w:right w:w="15" w:type="dxa"/>
            </w:tcMar>
            <w:vAlign w:val="center"/>
            <w:hideMark/>
          </w:tcPr>
          <w:p w14:paraId="5879D110" w14:textId="77777777" w:rsidR="001D2634" w:rsidRPr="00220A65" w:rsidRDefault="001D2634" w:rsidP="00FB0788">
            <w:pPr>
              <w:jc w:val="center"/>
              <w:rPr>
                <w:rFonts w:cs="Arial"/>
                <w:szCs w:val="20"/>
              </w:rPr>
            </w:pPr>
            <w:r w:rsidRPr="00220A65">
              <w:rPr>
                <w:rFonts w:cs="Arial"/>
                <w:color w:val="000000"/>
                <w:kern w:val="24"/>
                <w:szCs w:val="20"/>
              </w:rPr>
              <w:t xml:space="preserve">After rehydration of the freeze-dried emulsion </w:t>
            </w:r>
          </w:p>
        </w:tc>
      </w:tr>
      <w:tr w:rsidR="001D2634" w:rsidRPr="001D2634" w14:paraId="70D68DA4" w14:textId="77777777" w:rsidTr="00FB0788">
        <w:trPr>
          <w:trHeight w:val="585"/>
        </w:trPr>
        <w:tc>
          <w:tcPr>
            <w:tcW w:w="2127" w:type="dxa"/>
            <w:tcBorders>
              <w:top w:val="single" w:sz="8" w:space="0" w:color="000000"/>
              <w:left w:val="nil"/>
              <w:bottom w:val="nil"/>
              <w:right w:val="nil"/>
            </w:tcBorders>
            <w:tcMar>
              <w:top w:w="15" w:type="dxa"/>
              <w:left w:w="15" w:type="dxa"/>
              <w:bottom w:w="0" w:type="dxa"/>
              <w:right w:w="15" w:type="dxa"/>
            </w:tcMar>
            <w:vAlign w:val="center"/>
            <w:hideMark/>
          </w:tcPr>
          <w:p w14:paraId="09A28CD8" w14:textId="77777777" w:rsidR="001D2634" w:rsidRPr="00220A65" w:rsidRDefault="001D2634" w:rsidP="00FB0788">
            <w:pPr>
              <w:rPr>
                <w:rFonts w:cs="Arial"/>
                <w:szCs w:val="20"/>
                <w:lang w:val="fr-FR"/>
              </w:rPr>
            </w:pPr>
            <w:r w:rsidRPr="00220A65">
              <w:rPr>
                <w:rFonts w:cs="Arial"/>
                <w:color w:val="242021"/>
                <w:kern w:val="24"/>
                <w:szCs w:val="20"/>
                <w:lang w:val="pl-PL"/>
              </w:rPr>
              <w:t>% (w/v) of trehalose</w:t>
            </w:r>
            <w:r w:rsidRPr="00220A65">
              <w:rPr>
                <w:rFonts w:cs="Arial"/>
                <w:color w:val="242021"/>
                <w:kern w:val="24"/>
                <w:position w:val="7"/>
                <w:szCs w:val="20"/>
                <w:vertAlign w:val="superscript"/>
                <w:lang w:val="pl-PL"/>
              </w:rPr>
              <w:t>a)</w:t>
            </w:r>
          </w:p>
        </w:tc>
        <w:tc>
          <w:tcPr>
            <w:tcW w:w="1984" w:type="dxa"/>
            <w:tcBorders>
              <w:top w:val="single" w:sz="8" w:space="0" w:color="000000"/>
              <w:left w:val="nil"/>
              <w:bottom w:val="nil"/>
              <w:right w:val="nil"/>
            </w:tcBorders>
            <w:tcMar>
              <w:top w:w="15" w:type="dxa"/>
              <w:left w:w="15" w:type="dxa"/>
              <w:bottom w:w="0" w:type="dxa"/>
              <w:right w:w="15" w:type="dxa"/>
            </w:tcMar>
            <w:vAlign w:val="center"/>
            <w:hideMark/>
          </w:tcPr>
          <w:p w14:paraId="3C01E4A7" w14:textId="77777777" w:rsidR="001D2634" w:rsidRPr="00220A65" w:rsidRDefault="001D2634" w:rsidP="00FB0788">
            <w:pPr>
              <w:jc w:val="center"/>
              <w:rPr>
                <w:rFonts w:cs="Arial"/>
                <w:szCs w:val="20"/>
                <w:lang w:val="fr-FR"/>
              </w:rPr>
            </w:pPr>
            <w:r w:rsidRPr="00220A65">
              <w:rPr>
                <w:rFonts w:cs="Arial"/>
                <w:color w:val="000000"/>
                <w:kern w:val="24"/>
                <w:szCs w:val="20"/>
                <w:lang w:val="pl-PL"/>
              </w:rPr>
              <w:t> </w:t>
            </w:r>
          </w:p>
        </w:tc>
        <w:tc>
          <w:tcPr>
            <w:tcW w:w="1203" w:type="dxa"/>
            <w:tcBorders>
              <w:top w:val="single" w:sz="8" w:space="0" w:color="000000"/>
              <w:left w:val="nil"/>
              <w:bottom w:val="nil"/>
              <w:right w:val="nil"/>
            </w:tcBorders>
            <w:tcMar>
              <w:top w:w="15" w:type="dxa"/>
              <w:left w:w="15" w:type="dxa"/>
              <w:bottom w:w="0" w:type="dxa"/>
              <w:right w:w="15" w:type="dxa"/>
            </w:tcMar>
            <w:vAlign w:val="center"/>
            <w:hideMark/>
          </w:tcPr>
          <w:p w14:paraId="2FADBEA0" w14:textId="77777777" w:rsidR="001D2634" w:rsidRPr="00220A65" w:rsidRDefault="001D2634" w:rsidP="00FB0788">
            <w:pPr>
              <w:jc w:val="center"/>
              <w:rPr>
                <w:rFonts w:cs="Arial"/>
                <w:szCs w:val="20"/>
                <w:lang w:val="fr-FR"/>
              </w:rPr>
            </w:pPr>
            <w:r w:rsidRPr="00220A65">
              <w:rPr>
                <w:rFonts w:cs="Arial"/>
                <w:color w:val="000000"/>
                <w:kern w:val="24"/>
                <w:szCs w:val="20"/>
                <w:lang w:val="fr-FR"/>
              </w:rPr>
              <w:t>0</w:t>
            </w:r>
          </w:p>
        </w:tc>
        <w:tc>
          <w:tcPr>
            <w:tcW w:w="1204" w:type="dxa"/>
            <w:tcBorders>
              <w:top w:val="single" w:sz="8" w:space="0" w:color="000000"/>
              <w:left w:val="nil"/>
              <w:bottom w:val="nil"/>
              <w:right w:val="nil"/>
            </w:tcBorders>
            <w:tcMar>
              <w:top w:w="15" w:type="dxa"/>
              <w:left w:w="15" w:type="dxa"/>
              <w:bottom w:w="0" w:type="dxa"/>
              <w:right w:w="15" w:type="dxa"/>
            </w:tcMar>
            <w:vAlign w:val="center"/>
            <w:hideMark/>
          </w:tcPr>
          <w:p w14:paraId="3776BF71" w14:textId="77777777" w:rsidR="001D2634" w:rsidRPr="00220A65" w:rsidRDefault="001D2634" w:rsidP="00FB0788">
            <w:pPr>
              <w:jc w:val="center"/>
              <w:rPr>
                <w:rFonts w:cs="Arial"/>
                <w:szCs w:val="20"/>
                <w:lang w:val="fr-FR"/>
              </w:rPr>
            </w:pPr>
            <w:r w:rsidRPr="00220A65">
              <w:rPr>
                <w:rFonts w:cs="Arial"/>
                <w:color w:val="000000"/>
                <w:kern w:val="24"/>
                <w:szCs w:val="20"/>
                <w:lang w:val="fr-FR"/>
              </w:rPr>
              <w:t>5%</w:t>
            </w:r>
          </w:p>
        </w:tc>
        <w:tc>
          <w:tcPr>
            <w:tcW w:w="1203" w:type="dxa"/>
            <w:tcBorders>
              <w:top w:val="single" w:sz="8" w:space="0" w:color="000000"/>
              <w:left w:val="nil"/>
              <w:bottom w:val="nil"/>
              <w:right w:val="nil"/>
            </w:tcBorders>
            <w:tcMar>
              <w:top w:w="15" w:type="dxa"/>
              <w:left w:w="15" w:type="dxa"/>
              <w:bottom w:w="0" w:type="dxa"/>
              <w:right w:w="15" w:type="dxa"/>
            </w:tcMar>
            <w:vAlign w:val="center"/>
            <w:hideMark/>
          </w:tcPr>
          <w:p w14:paraId="619B182F" w14:textId="77777777" w:rsidR="001D2634" w:rsidRPr="00220A65" w:rsidRDefault="001D2634" w:rsidP="00FB0788">
            <w:pPr>
              <w:jc w:val="center"/>
              <w:rPr>
                <w:rFonts w:cs="Arial"/>
                <w:szCs w:val="20"/>
                <w:lang w:val="fr-FR"/>
              </w:rPr>
            </w:pPr>
            <w:r w:rsidRPr="00220A65">
              <w:rPr>
                <w:rFonts w:cs="Arial"/>
                <w:color w:val="000000"/>
                <w:kern w:val="24"/>
                <w:szCs w:val="20"/>
                <w:lang w:val="fr-FR"/>
              </w:rPr>
              <w:t>10%</w:t>
            </w:r>
          </w:p>
        </w:tc>
        <w:tc>
          <w:tcPr>
            <w:tcW w:w="1204" w:type="dxa"/>
            <w:tcBorders>
              <w:top w:val="single" w:sz="8" w:space="0" w:color="000000"/>
              <w:left w:val="nil"/>
              <w:bottom w:val="nil"/>
              <w:right w:val="nil"/>
            </w:tcBorders>
            <w:tcMar>
              <w:top w:w="15" w:type="dxa"/>
              <w:left w:w="15" w:type="dxa"/>
              <w:bottom w:w="0" w:type="dxa"/>
              <w:right w:w="15" w:type="dxa"/>
            </w:tcMar>
            <w:vAlign w:val="center"/>
            <w:hideMark/>
          </w:tcPr>
          <w:p w14:paraId="15FB9D84" w14:textId="77777777" w:rsidR="001D2634" w:rsidRPr="00220A65" w:rsidRDefault="001D2634" w:rsidP="00FB0788">
            <w:pPr>
              <w:jc w:val="center"/>
              <w:rPr>
                <w:rFonts w:cs="Arial"/>
                <w:szCs w:val="20"/>
                <w:lang w:val="fr-FR"/>
              </w:rPr>
            </w:pPr>
            <w:r w:rsidRPr="00220A65">
              <w:rPr>
                <w:rFonts w:cs="Arial"/>
                <w:color w:val="000000"/>
                <w:kern w:val="24"/>
                <w:szCs w:val="20"/>
                <w:lang w:val="fr-FR"/>
              </w:rPr>
              <w:t>15%</w:t>
            </w:r>
          </w:p>
        </w:tc>
      </w:tr>
      <w:tr w:rsidR="001D2634" w:rsidRPr="001D2634" w14:paraId="02F62C40" w14:textId="77777777" w:rsidTr="00FB0788">
        <w:trPr>
          <w:trHeight w:val="585"/>
        </w:trPr>
        <w:tc>
          <w:tcPr>
            <w:tcW w:w="2127" w:type="dxa"/>
            <w:tcBorders>
              <w:top w:val="nil"/>
              <w:left w:val="nil"/>
              <w:right w:val="nil"/>
            </w:tcBorders>
            <w:tcMar>
              <w:top w:w="15" w:type="dxa"/>
              <w:left w:w="15" w:type="dxa"/>
              <w:bottom w:w="0" w:type="dxa"/>
              <w:right w:w="15" w:type="dxa"/>
            </w:tcMar>
            <w:vAlign w:val="center"/>
            <w:hideMark/>
          </w:tcPr>
          <w:p w14:paraId="7204D1B9" w14:textId="77777777" w:rsidR="001D2634" w:rsidRPr="00220A65" w:rsidRDefault="001D2634" w:rsidP="00FB0788">
            <w:pPr>
              <w:spacing w:line="360" w:lineRule="auto"/>
              <w:rPr>
                <w:rFonts w:cs="Arial"/>
                <w:szCs w:val="20"/>
                <w:lang w:val="fr-FR"/>
              </w:rPr>
            </w:pPr>
            <w:r w:rsidRPr="00220A65">
              <w:rPr>
                <w:rFonts w:cs="Arial"/>
                <w:color w:val="000000"/>
                <w:kern w:val="24"/>
                <w:szCs w:val="20"/>
                <w:lang w:val="fr-FR"/>
              </w:rPr>
              <w:lastRenderedPageBreak/>
              <w:t>D</w:t>
            </w:r>
            <w:r w:rsidRPr="00220A65">
              <w:rPr>
                <w:rFonts w:cs="Arial"/>
                <w:color w:val="000000"/>
                <w:kern w:val="24"/>
                <w:position w:val="-6"/>
                <w:szCs w:val="20"/>
                <w:vertAlign w:val="subscript"/>
                <w:lang w:val="fr-FR"/>
              </w:rPr>
              <w:t>H</w:t>
            </w:r>
            <w:r w:rsidRPr="00220A65">
              <w:rPr>
                <w:rFonts w:cs="Arial"/>
                <w:color w:val="000000"/>
                <w:kern w:val="24"/>
                <w:szCs w:val="20"/>
                <w:lang w:val="fr-FR"/>
              </w:rPr>
              <w:t xml:space="preserve"> [Z-av in nm]</w:t>
            </w:r>
          </w:p>
        </w:tc>
        <w:tc>
          <w:tcPr>
            <w:tcW w:w="1984" w:type="dxa"/>
            <w:tcBorders>
              <w:top w:val="nil"/>
              <w:left w:val="nil"/>
              <w:right w:val="nil"/>
            </w:tcBorders>
            <w:tcMar>
              <w:top w:w="15" w:type="dxa"/>
              <w:left w:w="15" w:type="dxa"/>
              <w:bottom w:w="0" w:type="dxa"/>
              <w:right w:w="15" w:type="dxa"/>
            </w:tcMar>
            <w:vAlign w:val="center"/>
            <w:hideMark/>
          </w:tcPr>
          <w:p w14:paraId="3DEE9DDE" w14:textId="77777777" w:rsidR="001D2634" w:rsidRPr="00220A65" w:rsidRDefault="001D2634" w:rsidP="00FB0788">
            <w:pPr>
              <w:jc w:val="center"/>
              <w:rPr>
                <w:rFonts w:cs="Arial"/>
                <w:szCs w:val="20"/>
                <w:lang w:val="fr-FR"/>
              </w:rPr>
            </w:pPr>
            <w:r w:rsidRPr="00220A65">
              <w:rPr>
                <w:rFonts w:cs="Arial"/>
                <w:color w:val="000000"/>
                <w:kern w:val="24"/>
                <w:szCs w:val="20"/>
                <w:lang w:val="fr-FR"/>
              </w:rPr>
              <w:t>73 ± 8</w:t>
            </w:r>
          </w:p>
        </w:tc>
        <w:tc>
          <w:tcPr>
            <w:tcW w:w="1203" w:type="dxa"/>
            <w:tcBorders>
              <w:top w:val="nil"/>
              <w:left w:val="nil"/>
              <w:right w:val="nil"/>
            </w:tcBorders>
            <w:tcMar>
              <w:top w:w="15" w:type="dxa"/>
              <w:left w:w="15" w:type="dxa"/>
              <w:bottom w:w="0" w:type="dxa"/>
              <w:right w:w="15" w:type="dxa"/>
            </w:tcMar>
            <w:vAlign w:val="center"/>
            <w:hideMark/>
          </w:tcPr>
          <w:p w14:paraId="062B2AA3" w14:textId="77777777" w:rsidR="001D2634" w:rsidRPr="00220A65" w:rsidRDefault="001D2634" w:rsidP="00FB0788">
            <w:pPr>
              <w:jc w:val="center"/>
              <w:rPr>
                <w:rFonts w:cs="Arial"/>
                <w:szCs w:val="20"/>
                <w:lang w:val="fr-FR"/>
              </w:rPr>
            </w:pPr>
            <w:r w:rsidRPr="00220A65">
              <w:rPr>
                <w:rFonts w:cs="Arial"/>
                <w:color w:val="000000"/>
                <w:kern w:val="24"/>
                <w:szCs w:val="20"/>
                <w:lang w:val="fr-FR"/>
              </w:rPr>
              <w:t>211 ± 8</w:t>
            </w:r>
          </w:p>
        </w:tc>
        <w:tc>
          <w:tcPr>
            <w:tcW w:w="1204" w:type="dxa"/>
            <w:tcBorders>
              <w:top w:val="nil"/>
              <w:left w:val="nil"/>
              <w:right w:val="nil"/>
            </w:tcBorders>
            <w:tcMar>
              <w:top w:w="15" w:type="dxa"/>
              <w:left w:w="15" w:type="dxa"/>
              <w:bottom w:w="0" w:type="dxa"/>
              <w:right w:w="15" w:type="dxa"/>
            </w:tcMar>
            <w:vAlign w:val="center"/>
            <w:hideMark/>
          </w:tcPr>
          <w:p w14:paraId="410F72A7" w14:textId="77777777" w:rsidR="001D2634" w:rsidRPr="00220A65" w:rsidRDefault="001D2634" w:rsidP="00FB0788">
            <w:pPr>
              <w:jc w:val="center"/>
              <w:rPr>
                <w:rFonts w:cs="Arial"/>
                <w:szCs w:val="20"/>
                <w:lang w:val="fr-FR"/>
              </w:rPr>
            </w:pPr>
            <w:r w:rsidRPr="00220A65">
              <w:rPr>
                <w:rFonts w:cs="Arial"/>
                <w:color w:val="000000"/>
                <w:kern w:val="24"/>
                <w:szCs w:val="20"/>
                <w:lang w:val="fr-FR"/>
              </w:rPr>
              <w:t>99 ± 21</w:t>
            </w:r>
          </w:p>
        </w:tc>
        <w:tc>
          <w:tcPr>
            <w:tcW w:w="1203" w:type="dxa"/>
            <w:tcBorders>
              <w:top w:val="nil"/>
              <w:left w:val="nil"/>
              <w:right w:val="nil"/>
            </w:tcBorders>
            <w:tcMar>
              <w:top w:w="15" w:type="dxa"/>
              <w:left w:w="15" w:type="dxa"/>
              <w:bottom w:w="0" w:type="dxa"/>
              <w:right w:w="15" w:type="dxa"/>
            </w:tcMar>
            <w:vAlign w:val="center"/>
            <w:hideMark/>
          </w:tcPr>
          <w:p w14:paraId="08AE366E" w14:textId="77777777" w:rsidR="001D2634" w:rsidRPr="00220A65" w:rsidRDefault="001D2634" w:rsidP="00FB0788">
            <w:pPr>
              <w:jc w:val="center"/>
              <w:rPr>
                <w:rFonts w:cs="Arial"/>
                <w:szCs w:val="20"/>
                <w:lang w:val="fr-FR"/>
              </w:rPr>
            </w:pPr>
            <w:r w:rsidRPr="00220A65">
              <w:rPr>
                <w:rFonts w:cs="Arial"/>
                <w:color w:val="000000"/>
                <w:kern w:val="24"/>
                <w:szCs w:val="20"/>
                <w:lang w:val="fr-FR"/>
              </w:rPr>
              <w:t>82 ± 8</w:t>
            </w:r>
          </w:p>
        </w:tc>
        <w:tc>
          <w:tcPr>
            <w:tcW w:w="1204" w:type="dxa"/>
            <w:tcBorders>
              <w:top w:val="nil"/>
              <w:left w:val="nil"/>
              <w:right w:val="nil"/>
            </w:tcBorders>
            <w:tcMar>
              <w:top w:w="15" w:type="dxa"/>
              <w:left w:w="15" w:type="dxa"/>
              <w:bottom w:w="0" w:type="dxa"/>
              <w:right w:w="15" w:type="dxa"/>
            </w:tcMar>
            <w:vAlign w:val="center"/>
            <w:hideMark/>
          </w:tcPr>
          <w:p w14:paraId="1E6AD18F" w14:textId="77777777" w:rsidR="001D2634" w:rsidRPr="00220A65" w:rsidRDefault="001D2634" w:rsidP="00FB0788">
            <w:pPr>
              <w:jc w:val="center"/>
              <w:rPr>
                <w:rFonts w:cs="Arial"/>
                <w:szCs w:val="20"/>
                <w:lang w:val="fr-FR"/>
              </w:rPr>
            </w:pPr>
            <w:r w:rsidRPr="00220A65">
              <w:rPr>
                <w:rFonts w:cs="Arial"/>
                <w:color w:val="000000"/>
                <w:kern w:val="24"/>
                <w:szCs w:val="20"/>
                <w:lang w:val="fr-FR"/>
              </w:rPr>
              <w:t>89 ± 13</w:t>
            </w:r>
          </w:p>
        </w:tc>
      </w:tr>
      <w:tr w:rsidR="001D2634" w:rsidRPr="001D2634" w14:paraId="57541D06" w14:textId="77777777" w:rsidTr="00FB0788">
        <w:trPr>
          <w:trHeight w:val="585"/>
        </w:trPr>
        <w:tc>
          <w:tcPr>
            <w:tcW w:w="2127" w:type="dxa"/>
            <w:tcBorders>
              <w:top w:val="nil"/>
              <w:left w:val="nil"/>
              <w:bottom w:val="single" w:sz="4" w:space="0" w:color="auto"/>
              <w:right w:val="nil"/>
            </w:tcBorders>
            <w:tcMar>
              <w:top w:w="15" w:type="dxa"/>
              <w:left w:w="15" w:type="dxa"/>
              <w:bottom w:w="0" w:type="dxa"/>
              <w:right w:w="15" w:type="dxa"/>
            </w:tcMar>
            <w:vAlign w:val="center"/>
            <w:hideMark/>
          </w:tcPr>
          <w:p w14:paraId="390C49CC" w14:textId="77777777" w:rsidR="001D2634" w:rsidRPr="00220A65" w:rsidRDefault="001D2634" w:rsidP="00FB0788">
            <w:pPr>
              <w:rPr>
                <w:rFonts w:cs="Arial"/>
                <w:szCs w:val="20"/>
                <w:lang w:val="fr-FR"/>
              </w:rPr>
            </w:pPr>
            <w:r w:rsidRPr="00220A65">
              <w:rPr>
                <w:rFonts w:cs="Arial"/>
                <w:color w:val="000000"/>
                <w:kern w:val="24"/>
                <w:szCs w:val="20"/>
                <w:lang w:val="fr-FR"/>
              </w:rPr>
              <w:t>S</w:t>
            </w:r>
            <w:r w:rsidRPr="00220A65">
              <w:rPr>
                <w:rFonts w:cs="Arial"/>
                <w:color w:val="000000"/>
                <w:kern w:val="24"/>
                <w:position w:val="-6"/>
                <w:szCs w:val="20"/>
                <w:vertAlign w:val="subscript"/>
                <w:lang w:val="fr-FR"/>
              </w:rPr>
              <w:t>f</w:t>
            </w:r>
            <w:r w:rsidRPr="00220A65">
              <w:rPr>
                <w:rFonts w:cs="Arial"/>
                <w:color w:val="000000"/>
                <w:kern w:val="24"/>
                <w:szCs w:val="20"/>
                <w:lang w:val="fr-FR"/>
              </w:rPr>
              <w:t>/S</w:t>
            </w:r>
            <w:r w:rsidRPr="00220A65">
              <w:rPr>
                <w:rFonts w:cs="Arial"/>
                <w:color w:val="000000"/>
                <w:kern w:val="24"/>
                <w:position w:val="-6"/>
                <w:szCs w:val="20"/>
                <w:vertAlign w:val="subscript"/>
                <w:lang w:val="fr-FR"/>
              </w:rPr>
              <w:t>i</w:t>
            </w:r>
            <w:r w:rsidRPr="00220A65">
              <w:rPr>
                <w:rFonts w:cs="Arial"/>
                <w:color w:val="000000"/>
                <w:kern w:val="24"/>
                <w:position w:val="7"/>
                <w:szCs w:val="20"/>
                <w:vertAlign w:val="superscript"/>
                <w:lang w:val="fr-FR"/>
              </w:rPr>
              <w:t>b)</w:t>
            </w:r>
          </w:p>
        </w:tc>
        <w:tc>
          <w:tcPr>
            <w:tcW w:w="1984" w:type="dxa"/>
            <w:tcBorders>
              <w:top w:val="nil"/>
              <w:left w:val="nil"/>
              <w:bottom w:val="single" w:sz="4" w:space="0" w:color="auto"/>
              <w:right w:val="nil"/>
            </w:tcBorders>
            <w:tcMar>
              <w:top w:w="15" w:type="dxa"/>
              <w:left w:w="15" w:type="dxa"/>
              <w:bottom w:w="0" w:type="dxa"/>
              <w:right w:w="15" w:type="dxa"/>
            </w:tcMar>
            <w:vAlign w:val="center"/>
            <w:hideMark/>
          </w:tcPr>
          <w:p w14:paraId="2777F9F2" w14:textId="77777777" w:rsidR="001D2634" w:rsidRPr="00220A65" w:rsidRDefault="001D2634" w:rsidP="00FB0788">
            <w:pPr>
              <w:jc w:val="center"/>
              <w:rPr>
                <w:rFonts w:cs="Arial"/>
                <w:szCs w:val="20"/>
                <w:lang w:val="fr-FR"/>
              </w:rPr>
            </w:pPr>
            <w:r w:rsidRPr="00220A65">
              <w:rPr>
                <w:rFonts w:cs="Arial"/>
                <w:color w:val="000000"/>
                <w:kern w:val="24"/>
                <w:szCs w:val="20"/>
                <w:lang w:val="fr-FR"/>
              </w:rPr>
              <w:t> </w:t>
            </w:r>
          </w:p>
        </w:tc>
        <w:tc>
          <w:tcPr>
            <w:tcW w:w="1203" w:type="dxa"/>
            <w:tcBorders>
              <w:top w:val="nil"/>
              <w:left w:val="nil"/>
              <w:bottom w:val="single" w:sz="4" w:space="0" w:color="auto"/>
              <w:right w:val="nil"/>
            </w:tcBorders>
            <w:tcMar>
              <w:top w:w="15" w:type="dxa"/>
              <w:left w:w="15" w:type="dxa"/>
              <w:bottom w:w="0" w:type="dxa"/>
              <w:right w:w="15" w:type="dxa"/>
            </w:tcMar>
            <w:vAlign w:val="center"/>
            <w:hideMark/>
          </w:tcPr>
          <w:p w14:paraId="40BC736F" w14:textId="77777777" w:rsidR="001D2634" w:rsidRPr="00220A65" w:rsidRDefault="001D2634" w:rsidP="00FB0788">
            <w:pPr>
              <w:jc w:val="center"/>
              <w:rPr>
                <w:rFonts w:cs="Arial"/>
                <w:szCs w:val="20"/>
                <w:lang w:val="fr-FR"/>
              </w:rPr>
            </w:pPr>
            <w:r w:rsidRPr="00220A65">
              <w:rPr>
                <w:rFonts w:cs="Arial"/>
                <w:color w:val="000000"/>
                <w:kern w:val="24"/>
                <w:szCs w:val="20"/>
                <w:lang w:val="fr-FR"/>
              </w:rPr>
              <w:t>2.90</w:t>
            </w:r>
          </w:p>
        </w:tc>
        <w:tc>
          <w:tcPr>
            <w:tcW w:w="1204" w:type="dxa"/>
            <w:tcBorders>
              <w:top w:val="nil"/>
              <w:left w:val="nil"/>
              <w:bottom w:val="single" w:sz="4" w:space="0" w:color="auto"/>
              <w:right w:val="nil"/>
            </w:tcBorders>
            <w:tcMar>
              <w:top w:w="15" w:type="dxa"/>
              <w:left w:w="15" w:type="dxa"/>
              <w:bottom w:w="0" w:type="dxa"/>
              <w:right w:w="15" w:type="dxa"/>
            </w:tcMar>
            <w:vAlign w:val="center"/>
            <w:hideMark/>
          </w:tcPr>
          <w:p w14:paraId="18A53DD9" w14:textId="77777777" w:rsidR="001D2634" w:rsidRPr="00220A65" w:rsidRDefault="001D2634" w:rsidP="00FB0788">
            <w:pPr>
              <w:jc w:val="center"/>
              <w:rPr>
                <w:rFonts w:cs="Arial"/>
                <w:szCs w:val="20"/>
                <w:lang w:val="fr-FR"/>
              </w:rPr>
            </w:pPr>
            <w:r w:rsidRPr="00220A65">
              <w:rPr>
                <w:rFonts w:cs="Arial"/>
                <w:color w:val="000000"/>
                <w:kern w:val="24"/>
                <w:szCs w:val="20"/>
                <w:lang w:val="fr-FR"/>
              </w:rPr>
              <w:t>1.36</w:t>
            </w:r>
          </w:p>
        </w:tc>
        <w:tc>
          <w:tcPr>
            <w:tcW w:w="1203" w:type="dxa"/>
            <w:tcBorders>
              <w:top w:val="nil"/>
              <w:left w:val="nil"/>
              <w:bottom w:val="single" w:sz="4" w:space="0" w:color="auto"/>
              <w:right w:val="nil"/>
            </w:tcBorders>
            <w:tcMar>
              <w:top w:w="15" w:type="dxa"/>
              <w:left w:w="15" w:type="dxa"/>
              <w:bottom w:w="0" w:type="dxa"/>
              <w:right w:w="15" w:type="dxa"/>
            </w:tcMar>
            <w:vAlign w:val="center"/>
            <w:hideMark/>
          </w:tcPr>
          <w:p w14:paraId="16425D1D" w14:textId="77777777" w:rsidR="001D2634" w:rsidRPr="00220A65" w:rsidRDefault="001D2634" w:rsidP="00FB0788">
            <w:pPr>
              <w:jc w:val="center"/>
              <w:rPr>
                <w:rFonts w:cs="Arial"/>
                <w:szCs w:val="20"/>
                <w:lang w:val="fr-FR"/>
              </w:rPr>
            </w:pPr>
            <w:r w:rsidRPr="00220A65">
              <w:rPr>
                <w:rFonts w:cs="Arial"/>
                <w:color w:val="000000"/>
                <w:kern w:val="24"/>
                <w:szCs w:val="20"/>
                <w:lang w:val="fr-FR"/>
              </w:rPr>
              <w:t>1.13</w:t>
            </w:r>
          </w:p>
        </w:tc>
        <w:tc>
          <w:tcPr>
            <w:tcW w:w="1204" w:type="dxa"/>
            <w:tcBorders>
              <w:top w:val="nil"/>
              <w:left w:val="nil"/>
              <w:bottom w:val="single" w:sz="4" w:space="0" w:color="auto"/>
              <w:right w:val="nil"/>
            </w:tcBorders>
            <w:tcMar>
              <w:top w:w="15" w:type="dxa"/>
              <w:left w:w="15" w:type="dxa"/>
              <w:bottom w:w="0" w:type="dxa"/>
              <w:right w:w="15" w:type="dxa"/>
            </w:tcMar>
            <w:vAlign w:val="center"/>
            <w:hideMark/>
          </w:tcPr>
          <w:p w14:paraId="0AFAEC9E" w14:textId="77777777" w:rsidR="001D2634" w:rsidRPr="00220A65" w:rsidRDefault="001D2634" w:rsidP="00FB0788">
            <w:pPr>
              <w:jc w:val="center"/>
              <w:rPr>
                <w:rFonts w:cs="Arial"/>
                <w:szCs w:val="20"/>
                <w:lang w:val="fr-FR"/>
              </w:rPr>
            </w:pPr>
            <w:r w:rsidRPr="00220A65">
              <w:rPr>
                <w:rFonts w:cs="Arial"/>
                <w:color w:val="000000"/>
                <w:kern w:val="24"/>
                <w:szCs w:val="20"/>
                <w:lang w:val="fr-FR"/>
              </w:rPr>
              <w:t>1.23</w:t>
            </w:r>
          </w:p>
        </w:tc>
      </w:tr>
    </w:tbl>
    <w:p w14:paraId="252BBE80" w14:textId="3DC407E3" w:rsidR="001D2634" w:rsidRPr="001E0497" w:rsidRDefault="001D2634" w:rsidP="001E0497">
      <w:pPr>
        <w:spacing w:line="240" w:lineRule="auto"/>
        <w:jc w:val="both"/>
        <w:rPr>
          <w:rFonts w:cs="Arial"/>
          <w:szCs w:val="20"/>
        </w:rPr>
      </w:pPr>
      <w:proofErr w:type="gramStart"/>
      <w:r w:rsidRPr="001D2634">
        <w:rPr>
          <w:rFonts w:cs="Arial"/>
          <w:szCs w:val="20"/>
          <w:vertAlign w:val="superscript"/>
        </w:rPr>
        <w:t>a)</w:t>
      </w:r>
      <w:r w:rsidRPr="001D2634">
        <w:rPr>
          <w:rFonts w:cs="Arial"/>
          <w:szCs w:val="20"/>
        </w:rPr>
        <w:t>%</w:t>
      </w:r>
      <w:proofErr w:type="gramEnd"/>
      <w:r w:rsidRPr="001D2634">
        <w:rPr>
          <w:rFonts w:cs="Arial"/>
          <w:szCs w:val="20"/>
        </w:rPr>
        <w:t xml:space="preserve"> of trehalose after rehydration of the freeze-dried emulsion; </w:t>
      </w:r>
      <w:proofErr w:type="gramStart"/>
      <w:r w:rsidRPr="001D2634">
        <w:rPr>
          <w:rFonts w:cs="Arial"/>
          <w:szCs w:val="20"/>
          <w:vertAlign w:val="superscript"/>
        </w:rPr>
        <w:t>b)</w:t>
      </w:r>
      <w:r w:rsidRPr="001D2634">
        <w:rPr>
          <w:rFonts w:cs="Arial"/>
          <w:szCs w:val="20"/>
        </w:rPr>
        <w:t>Si</w:t>
      </w:r>
      <w:proofErr w:type="gramEnd"/>
      <w:r w:rsidRPr="001D2634">
        <w:rPr>
          <w:rFonts w:cs="Arial"/>
          <w:szCs w:val="20"/>
        </w:rPr>
        <w:t>: initial size of the parent emulsion before freeze-drying, Sf: final size after rehydration of the freeze-dried emulsion.</w:t>
      </w:r>
    </w:p>
    <w:sectPr w:rsidR="001D2634" w:rsidRPr="001E0497" w:rsidSect="00C94612">
      <w:footerReference w:type="even" r:id="rId9"/>
      <w:footerReference w:type="default" r:id="rId10"/>
      <w:footerReference w:type="first" r:id="rId11"/>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5419" w14:textId="77777777" w:rsidR="00A64B01" w:rsidRPr="00B915E4" w:rsidRDefault="00A64B01">
      <w:r w:rsidRPr="00B915E4">
        <w:separator/>
      </w:r>
    </w:p>
  </w:endnote>
  <w:endnote w:type="continuationSeparator" w:id="0">
    <w:p w14:paraId="207E9BAB" w14:textId="77777777" w:rsidR="00A64B01" w:rsidRPr="00B915E4" w:rsidRDefault="00A64B01">
      <w:r w:rsidRPr="00B9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9816" w14:textId="77777777" w:rsidR="006C5368" w:rsidRPr="00B915E4" w:rsidRDefault="006C5368" w:rsidP="00FF2660">
    <w:pPr>
      <w:pStyle w:val="Pieddepage"/>
      <w:framePr w:wrap="around" w:vAnchor="text" w:hAnchor="margin" w:xAlign="center" w:y="1"/>
      <w:rPr>
        <w:rStyle w:val="Numrodepage"/>
      </w:rPr>
    </w:pPr>
    <w:r w:rsidRPr="00B915E4">
      <w:rPr>
        <w:rStyle w:val="Numrodepage"/>
      </w:rPr>
      <w:fldChar w:fldCharType="begin"/>
    </w:r>
    <w:r w:rsidRPr="00B915E4">
      <w:rPr>
        <w:rStyle w:val="Numrodepage"/>
      </w:rPr>
      <w:instrText xml:space="preserve">PAGE  </w:instrText>
    </w:r>
    <w:r w:rsidRPr="00B915E4">
      <w:rPr>
        <w:rStyle w:val="Numrodepage"/>
      </w:rPr>
      <w:fldChar w:fldCharType="end"/>
    </w:r>
  </w:p>
  <w:p w14:paraId="2CAF2E2E" w14:textId="77777777" w:rsidR="006C5368" w:rsidRPr="00B915E4" w:rsidRDefault="006C53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67A7" w14:textId="6FB5C562" w:rsidR="006C5368" w:rsidRPr="00B915E4" w:rsidRDefault="00D82CEA" w:rsidP="00FF2660">
    <w:pPr>
      <w:pStyle w:val="Pieddepage"/>
      <w:framePr w:wrap="around" w:vAnchor="text" w:hAnchor="margin" w:xAlign="center" w:y="1"/>
      <w:rPr>
        <w:rStyle w:val="Numrodepage"/>
      </w:rPr>
    </w:pPr>
    <w:r w:rsidRPr="00B915E4">
      <w:rPr>
        <w:noProof/>
      </w:rPr>
      <mc:AlternateContent>
        <mc:Choice Requires="wps">
          <w:drawing>
            <wp:anchor distT="0" distB="0" distL="114300" distR="114300" simplePos="0" relativeHeight="251657216" behindDoc="0" locked="0" layoutInCell="0" allowOverlap="1" wp14:anchorId="7AB8E50F" wp14:editId="33DE3C22">
              <wp:simplePos x="0" y="0"/>
              <wp:positionH relativeFrom="page">
                <wp:posOffset>0</wp:posOffset>
              </wp:positionH>
              <wp:positionV relativeFrom="page">
                <wp:posOffset>9603740</wp:posOffset>
              </wp:positionV>
              <wp:extent cx="7772400" cy="264160"/>
              <wp:effectExtent l="0" t="2540" r="0" b="0"/>
              <wp:wrapNone/>
              <wp:docPr id="622757308"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" o:allowincell="f" filled="f" stroked="f">
              <v:textbox inset="20pt,0,,0">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r w:rsidR="006C5368" w:rsidRPr="00B915E4">
      <w:rPr>
        <w:rStyle w:val="Numrodepage"/>
      </w:rPr>
      <w:fldChar w:fldCharType="begin"/>
    </w:r>
    <w:r w:rsidR="006C5368" w:rsidRPr="00B915E4">
      <w:rPr>
        <w:rStyle w:val="Numrodepage"/>
      </w:rPr>
      <w:instrText xml:space="preserve">PAGE  </w:instrText>
    </w:r>
    <w:r w:rsidR="006C5368" w:rsidRPr="00B915E4">
      <w:rPr>
        <w:rStyle w:val="Numrodepage"/>
      </w:rPr>
      <w:fldChar w:fldCharType="separate"/>
    </w:r>
    <w:r w:rsidR="00C94612" w:rsidRPr="00B915E4">
      <w:rPr>
        <w:rStyle w:val="Numrodepage"/>
      </w:rPr>
      <w:t>5</w:t>
    </w:r>
    <w:r w:rsidR="006C5368" w:rsidRPr="00B915E4">
      <w:rPr>
        <w:rStyle w:val="Numrodepage"/>
      </w:rPr>
      <w:fldChar w:fldCharType="end"/>
    </w:r>
  </w:p>
  <w:p w14:paraId="57E037CD" w14:textId="77777777" w:rsidR="006C5368" w:rsidRPr="00B915E4" w:rsidRDefault="006C53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9367" w14:textId="2D5073CE" w:rsidR="00740F67" w:rsidRPr="00B915E4" w:rsidRDefault="00D82CEA">
    <w:pPr>
      <w:pStyle w:val="Pieddepage"/>
    </w:pPr>
    <w:r w:rsidRPr="00B915E4">
      <w:rPr>
        <w:noProof/>
      </w:rPr>
      <mc:AlternateContent>
        <mc:Choice Requires="wps">
          <w:drawing>
            <wp:anchor distT="0" distB="0" distL="114300" distR="114300" simplePos="0" relativeHeight="251658240" behindDoc="0" locked="0" layoutInCell="0" allowOverlap="1" wp14:anchorId="2D742D44" wp14:editId="27777857">
              <wp:simplePos x="0" y="0"/>
              <wp:positionH relativeFrom="page">
                <wp:posOffset>0</wp:posOffset>
              </wp:positionH>
              <wp:positionV relativeFrom="page">
                <wp:posOffset>9603740</wp:posOffset>
              </wp:positionV>
              <wp:extent cx="7772400" cy="264160"/>
              <wp:effectExtent l="0" t="2540" r="0" b="0"/>
              <wp:wrapNone/>
              <wp:docPr id="1861909695"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2F40394D"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2D44"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" o:allowincell="f" filled="f" stroked="f">
              <v:textbox inset="20pt,0,,0">
                <w:txbxContent>
                  <w:p w14:paraId="640858B6" w14:textId="2F40394D"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7C63" w14:textId="77777777" w:rsidR="00A64B01" w:rsidRPr="00B915E4" w:rsidRDefault="00A64B01">
      <w:r w:rsidRPr="00B915E4">
        <w:separator/>
      </w:r>
    </w:p>
  </w:footnote>
  <w:footnote w:type="continuationSeparator" w:id="0">
    <w:p w14:paraId="2D06B425" w14:textId="77777777" w:rsidR="00A64B01" w:rsidRPr="00B915E4" w:rsidRDefault="00A64B01">
      <w:r w:rsidRPr="00B915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E21006"/>
    <w:multiLevelType w:val="multilevel"/>
    <w:tmpl w:val="275414F0"/>
    <w:lvl w:ilvl="0">
      <w:start w:val="1"/>
      <w:numFmt w:val="decimal"/>
      <w:lvlText w:val="%1."/>
      <w:lvlJc w:val="right"/>
      <w:pPr>
        <w:ind w:left="720" w:hanging="360"/>
      </w:pPr>
      <w:rPr>
        <w:rFonts w:hint="default"/>
        <w:sz w:val="22"/>
        <w:szCs w:val="22"/>
      </w:rPr>
    </w:lvl>
    <w:lvl w:ilvl="1">
      <w:start w:val="1"/>
      <w:numFmt w:val="decimal"/>
      <w:isLgl/>
      <w:lvlText w:val="%1.%2."/>
      <w:lvlJc w:val="left"/>
      <w:pPr>
        <w:ind w:left="720" w:hanging="360"/>
      </w:pPr>
      <w:rPr>
        <w:rFonts w:hint="default"/>
        <w:b/>
        <w:bCs w:val="0"/>
        <w:sz w:val="24"/>
        <w:szCs w:val="24"/>
        <w:lang w:val="en-US"/>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6281377">
    <w:abstractNumId w:val="1"/>
  </w:num>
  <w:num w:numId="2" w16cid:durableId="1240554459">
    <w:abstractNumId w:val="2"/>
  </w:num>
  <w:num w:numId="3" w16cid:durableId="950894375">
    <w:abstractNumId w:val="6"/>
  </w:num>
  <w:num w:numId="4" w16cid:durableId="1016150720">
    <w:abstractNumId w:val="4"/>
  </w:num>
  <w:num w:numId="5" w16cid:durableId="4331161">
    <w:abstractNumId w:val="0"/>
  </w:num>
  <w:num w:numId="6" w16cid:durableId="1380588040">
    <w:abstractNumId w:val="5"/>
  </w:num>
  <w:num w:numId="7" w16cid:durableId="353001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33695"/>
    <w:rsid w:val="000342A0"/>
    <w:rsid w:val="00035CCC"/>
    <w:rsid w:val="00043C1E"/>
    <w:rsid w:val="0005257A"/>
    <w:rsid w:val="00054361"/>
    <w:rsid w:val="00062025"/>
    <w:rsid w:val="000666AF"/>
    <w:rsid w:val="0007252D"/>
    <w:rsid w:val="000774B1"/>
    <w:rsid w:val="0008401B"/>
    <w:rsid w:val="00087F9B"/>
    <w:rsid w:val="000A4388"/>
    <w:rsid w:val="000B2BC9"/>
    <w:rsid w:val="000C59ED"/>
    <w:rsid w:val="000D3E37"/>
    <w:rsid w:val="000D5360"/>
    <w:rsid w:val="000E6B48"/>
    <w:rsid w:val="000E7758"/>
    <w:rsid w:val="000F3098"/>
    <w:rsid w:val="00117777"/>
    <w:rsid w:val="00127CD5"/>
    <w:rsid w:val="001337FB"/>
    <w:rsid w:val="0017004E"/>
    <w:rsid w:val="00170F20"/>
    <w:rsid w:val="00173279"/>
    <w:rsid w:val="00191756"/>
    <w:rsid w:val="00191F49"/>
    <w:rsid w:val="001D2634"/>
    <w:rsid w:val="001E0497"/>
    <w:rsid w:val="001E7479"/>
    <w:rsid w:val="001E79D7"/>
    <w:rsid w:val="00203209"/>
    <w:rsid w:val="00212E22"/>
    <w:rsid w:val="00217D65"/>
    <w:rsid w:val="00220A65"/>
    <w:rsid w:val="0022632E"/>
    <w:rsid w:val="00240E76"/>
    <w:rsid w:val="00246A32"/>
    <w:rsid w:val="00270A96"/>
    <w:rsid w:val="00272487"/>
    <w:rsid w:val="00285503"/>
    <w:rsid w:val="00286E82"/>
    <w:rsid w:val="00294CB0"/>
    <w:rsid w:val="002A2D9E"/>
    <w:rsid w:val="002D1A3E"/>
    <w:rsid w:val="002F1F1E"/>
    <w:rsid w:val="002F4012"/>
    <w:rsid w:val="00302402"/>
    <w:rsid w:val="003155A1"/>
    <w:rsid w:val="00320521"/>
    <w:rsid w:val="00324666"/>
    <w:rsid w:val="00342717"/>
    <w:rsid w:val="0037212B"/>
    <w:rsid w:val="0038573C"/>
    <w:rsid w:val="0038598C"/>
    <w:rsid w:val="0039041E"/>
    <w:rsid w:val="003948EC"/>
    <w:rsid w:val="003A6F39"/>
    <w:rsid w:val="003B4083"/>
    <w:rsid w:val="003D69BD"/>
    <w:rsid w:val="00410570"/>
    <w:rsid w:val="00411796"/>
    <w:rsid w:val="00416C1A"/>
    <w:rsid w:val="0042633D"/>
    <w:rsid w:val="00431388"/>
    <w:rsid w:val="00441D51"/>
    <w:rsid w:val="00473BF1"/>
    <w:rsid w:val="004754C9"/>
    <w:rsid w:val="004B52C5"/>
    <w:rsid w:val="004C5313"/>
    <w:rsid w:val="004C5DB2"/>
    <w:rsid w:val="004E0368"/>
    <w:rsid w:val="004E2F6D"/>
    <w:rsid w:val="004E782D"/>
    <w:rsid w:val="00511DB2"/>
    <w:rsid w:val="005516CA"/>
    <w:rsid w:val="00553800"/>
    <w:rsid w:val="00556F09"/>
    <w:rsid w:val="00565970"/>
    <w:rsid w:val="005A6431"/>
    <w:rsid w:val="005E1ECB"/>
    <w:rsid w:val="00600B5C"/>
    <w:rsid w:val="0060400B"/>
    <w:rsid w:val="00611C5F"/>
    <w:rsid w:val="00616A5D"/>
    <w:rsid w:val="0062140C"/>
    <w:rsid w:val="00646CF0"/>
    <w:rsid w:val="00661C2D"/>
    <w:rsid w:val="00662E52"/>
    <w:rsid w:val="00664525"/>
    <w:rsid w:val="00667BDF"/>
    <w:rsid w:val="00680193"/>
    <w:rsid w:val="006C5368"/>
    <w:rsid w:val="006C58F2"/>
    <w:rsid w:val="006C6E88"/>
    <w:rsid w:val="006D0474"/>
    <w:rsid w:val="006D142F"/>
    <w:rsid w:val="006D4AC5"/>
    <w:rsid w:val="006E12DF"/>
    <w:rsid w:val="006E7713"/>
    <w:rsid w:val="00711171"/>
    <w:rsid w:val="00723455"/>
    <w:rsid w:val="007265D3"/>
    <w:rsid w:val="00740F67"/>
    <w:rsid w:val="00745C2A"/>
    <w:rsid w:val="00753E6B"/>
    <w:rsid w:val="00776A7C"/>
    <w:rsid w:val="00780A29"/>
    <w:rsid w:val="007900DA"/>
    <w:rsid w:val="007A1BDB"/>
    <w:rsid w:val="007A2AB8"/>
    <w:rsid w:val="007A3BEE"/>
    <w:rsid w:val="007C30BC"/>
    <w:rsid w:val="007E39E1"/>
    <w:rsid w:val="007E5D6F"/>
    <w:rsid w:val="007F32DA"/>
    <w:rsid w:val="007F3E8B"/>
    <w:rsid w:val="00802877"/>
    <w:rsid w:val="00827FC5"/>
    <w:rsid w:val="00852799"/>
    <w:rsid w:val="00856C41"/>
    <w:rsid w:val="00872BF6"/>
    <w:rsid w:val="0088598F"/>
    <w:rsid w:val="00887016"/>
    <w:rsid w:val="008A08C0"/>
    <w:rsid w:val="008A4036"/>
    <w:rsid w:val="008A52A5"/>
    <w:rsid w:val="008B697C"/>
    <w:rsid w:val="008B7AD5"/>
    <w:rsid w:val="008C361E"/>
    <w:rsid w:val="008C3D5E"/>
    <w:rsid w:val="008E3EA8"/>
    <w:rsid w:val="00900663"/>
    <w:rsid w:val="00901244"/>
    <w:rsid w:val="0091401F"/>
    <w:rsid w:val="009147B3"/>
    <w:rsid w:val="00927DE6"/>
    <w:rsid w:val="009345FC"/>
    <w:rsid w:val="00937F3D"/>
    <w:rsid w:val="00946800"/>
    <w:rsid w:val="009563F4"/>
    <w:rsid w:val="00956C4D"/>
    <w:rsid w:val="009828D3"/>
    <w:rsid w:val="009858DB"/>
    <w:rsid w:val="00992CB9"/>
    <w:rsid w:val="009A1F5A"/>
    <w:rsid w:val="009A3534"/>
    <w:rsid w:val="009A4057"/>
    <w:rsid w:val="009B1D49"/>
    <w:rsid w:val="009D3AD0"/>
    <w:rsid w:val="00A06800"/>
    <w:rsid w:val="00A10913"/>
    <w:rsid w:val="00A20FFB"/>
    <w:rsid w:val="00A3756A"/>
    <w:rsid w:val="00A445D7"/>
    <w:rsid w:val="00A526C7"/>
    <w:rsid w:val="00A6170F"/>
    <w:rsid w:val="00A63CD7"/>
    <w:rsid w:val="00A64B01"/>
    <w:rsid w:val="00A70251"/>
    <w:rsid w:val="00AB389E"/>
    <w:rsid w:val="00AB47E4"/>
    <w:rsid w:val="00AC1F93"/>
    <w:rsid w:val="00AC40EE"/>
    <w:rsid w:val="00AC5480"/>
    <w:rsid w:val="00AD76B0"/>
    <w:rsid w:val="00AE5062"/>
    <w:rsid w:val="00B26A6E"/>
    <w:rsid w:val="00B30BC3"/>
    <w:rsid w:val="00B7570E"/>
    <w:rsid w:val="00B82724"/>
    <w:rsid w:val="00B86FEB"/>
    <w:rsid w:val="00B915E4"/>
    <w:rsid w:val="00B96017"/>
    <w:rsid w:val="00BB027B"/>
    <w:rsid w:val="00BC1848"/>
    <w:rsid w:val="00BD6666"/>
    <w:rsid w:val="00C27B5D"/>
    <w:rsid w:val="00C43B3D"/>
    <w:rsid w:val="00C548FC"/>
    <w:rsid w:val="00C701F9"/>
    <w:rsid w:val="00C94612"/>
    <w:rsid w:val="00CB0023"/>
    <w:rsid w:val="00CC1ADF"/>
    <w:rsid w:val="00CD758F"/>
    <w:rsid w:val="00CE79D7"/>
    <w:rsid w:val="00CE7DDC"/>
    <w:rsid w:val="00CF3FFF"/>
    <w:rsid w:val="00D00B4B"/>
    <w:rsid w:val="00D10823"/>
    <w:rsid w:val="00D14F00"/>
    <w:rsid w:val="00D20F53"/>
    <w:rsid w:val="00D50641"/>
    <w:rsid w:val="00D51863"/>
    <w:rsid w:val="00D578A6"/>
    <w:rsid w:val="00D700C3"/>
    <w:rsid w:val="00D7204D"/>
    <w:rsid w:val="00D81B3E"/>
    <w:rsid w:val="00D82CEA"/>
    <w:rsid w:val="00D94F22"/>
    <w:rsid w:val="00DB0A0D"/>
    <w:rsid w:val="00DB24C1"/>
    <w:rsid w:val="00DB423B"/>
    <w:rsid w:val="00DE5F42"/>
    <w:rsid w:val="00DF4C7F"/>
    <w:rsid w:val="00DF6A1F"/>
    <w:rsid w:val="00E021BA"/>
    <w:rsid w:val="00E031E1"/>
    <w:rsid w:val="00E1216B"/>
    <w:rsid w:val="00E1328D"/>
    <w:rsid w:val="00E225F8"/>
    <w:rsid w:val="00E45ED2"/>
    <w:rsid w:val="00E628F2"/>
    <w:rsid w:val="00E95B70"/>
    <w:rsid w:val="00E96D45"/>
    <w:rsid w:val="00EC0D75"/>
    <w:rsid w:val="00ED4D96"/>
    <w:rsid w:val="00EE0017"/>
    <w:rsid w:val="00EE2FBA"/>
    <w:rsid w:val="00F03012"/>
    <w:rsid w:val="00F05A9C"/>
    <w:rsid w:val="00F05E46"/>
    <w:rsid w:val="00F16121"/>
    <w:rsid w:val="00F210A1"/>
    <w:rsid w:val="00F24210"/>
    <w:rsid w:val="00F41860"/>
    <w:rsid w:val="00F424C5"/>
    <w:rsid w:val="00F56A5E"/>
    <w:rsid w:val="00F67733"/>
    <w:rsid w:val="00F82795"/>
    <w:rsid w:val="00F91124"/>
    <w:rsid w:val="00F9503E"/>
    <w:rsid w:val="00FA2EA1"/>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Titre1">
    <w:name w:val="heading 1"/>
    <w:basedOn w:val="Normal"/>
    <w:next w:val="Normal"/>
    <w:qFormat/>
    <w:rsid w:val="0060400B"/>
    <w:pPr>
      <w:keepNext/>
      <w:spacing w:before="240" w:after="60"/>
      <w:outlineLvl w:val="0"/>
    </w:pPr>
    <w:rPr>
      <w:rFonts w:cs="Arial"/>
      <w:b/>
      <w:bCs/>
      <w:kern w:val="32"/>
      <w:sz w:val="32"/>
      <w:szCs w:val="32"/>
    </w:rPr>
  </w:style>
  <w:style w:type="paragraph" w:styleId="Titre2">
    <w:name w:val="heading 2"/>
    <w:basedOn w:val="Normal"/>
    <w:next w:val="Normal"/>
    <w:qFormat/>
    <w:rsid w:val="0060400B"/>
    <w:pPr>
      <w:keepNext/>
      <w:spacing w:before="240" w:after="60"/>
      <w:outlineLvl w:val="1"/>
    </w:pPr>
    <w:rPr>
      <w:rFonts w:cs="Arial"/>
      <w:b/>
      <w:bCs/>
      <w:i/>
      <w:iCs/>
      <w:sz w:val="28"/>
      <w:szCs w:val="28"/>
    </w:rPr>
  </w:style>
  <w:style w:type="paragraph" w:styleId="Titre3">
    <w:name w:val="heading 3"/>
    <w:basedOn w:val="Normal"/>
    <w:next w:val="Normal"/>
    <w:qFormat/>
    <w:rsid w:val="0060400B"/>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F82795"/>
    <w:pPr>
      <w:tabs>
        <w:tab w:val="center" w:pos="4320"/>
        <w:tab w:val="right" w:pos="8640"/>
      </w:tabs>
    </w:pPr>
  </w:style>
  <w:style w:type="character" w:styleId="Numrodepage">
    <w:name w:val="page number"/>
    <w:basedOn w:val="Policepardfaut"/>
    <w:rsid w:val="00F82795"/>
  </w:style>
  <w:style w:type="character" w:styleId="Accentuation">
    <w:name w:val="Emphasis"/>
    <w:qFormat/>
    <w:rsid w:val="00FF6EA8"/>
    <w:rPr>
      <w:b/>
      <w:bCs/>
      <w:i w:val="0"/>
      <w:iCs w:val="0"/>
    </w:rPr>
  </w:style>
  <w:style w:type="character" w:styleId="Lienhypertexte">
    <w:name w:val="Hyperlink"/>
    <w:rsid w:val="00887016"/>
    <w:rPr>
      <w:color w:val="0000FF"/>
      <w:u w:val="single"/>
    </w:rPr>
  </w:style>
  <w:style w:type="character" w:styleId="Marquedecommentaire">
    <w:name w:val="annotation reference"/>
    <w:semiHidden/>
    <w:rsid w:val="00D00B4B"/>
    <w:rPr>
      <w:sz w:val="16"/>
      <w:szCs w:val="16"/>
    </w:rPr>
  </w:style>
  <w:style w:type="paragraph" w:styleId="Commentaire">
    <w:name w:val="annotation text"/>
    <w:basedOn w:val="Normal"/>
    <w:semiHidden/>
    <w:rsid w:val="00D00B4B"/>
    <w:rPr>
      <w:szCs w:val="20"/>
    </w:rPr>
  </w:style>
  <w:style w:type="paragraph" w:styleId="Objetducommentaire">
    <w:name w:val="annotation subject"/>
    <w:basedOn w:val="Commentaire"/>
    <w:next w:val="Commentaire"/>
    <w:semiHidden/>
    <w:rsid w:val="00D00B4B"/>
    <w:rPr>
      <w:b/>
      <w:bCs/>
    </w:rPr>
  </w:style>
  <w:style w:type="paragraph" w:styleId="Textedebulles">
    <w:name w:val="Balloon Text"/>
    <w:basedOn w:val="Normal"/>
    <w:semiHidden/>
    <w:rsid w:val="00D00B4B"/>
    <w:rPr>
      <w:rFonts w:ascii="Tahoma" w:hAnsi="Tahoma" w:cs="Tahoma"/>
      <w:sz w:val="16"/>
      <w:szCs w:val="16"/>
    </w:rPr>
  </w:style>
  <w:style w:type="character" w:styleId="Numrodeligne">
    <w:name w:val="line number"/>
    <w:rsid w:val="00C94612"/>
  </w:style>
  <w:style w:type="paragraph" w:styleId="En-tte">
    <w:name w:val="header"/>
    <w:basedOn w:val="Normal"/>
    <w:link w:val="En-tteCar"/>
    <w:rsid w:val="00740F67"/>
    <w:pPr>
      <w:tabs>
        <w:tab w:val="center" w:pos="4680"/>
        <w:tab w:val="right" w:pos="9360"/>
      </w:tabs>
    </w:pPr>
  </w:style>
  <w:style w:type="character" w:customStyle="1" w:styleId="En-tteCar">
    <w:name w:val="En-tête Car"/>
    <w:link w:val="En-tte"/>
    <w:rsid w:val="00740F67"/>
    <w:rPr>
      <w:rFonts w:ascii="Arial" w:hAnsi="Arial"/>
      <w:szCs w:val="24"/>
      <w:lang w:val="en-US" w:eastAsia="en-US"/>
    </w:rPr>
  </w:style>
  <w:style w:type="paragraph" w:styleId="Rvision">
    <w:name w:val="Revision"/>
    <w:hidden/>
    <w:uiPriority w:val="99"/>
    <w:semiHidden/>
    <w:rsid w:val="00A526C7"/>
    <w:rPr>
      <w:rFonts w:ascii="Arial" w:hAnsi="Arial"/>
      <w:szCs w:val="24"/>
    </w:rPr>
  </w:style>
  <w:style w:type="character" w:styleId="Lienhypertextesuivivisit">
    <w:name w:val="FollowedHyperlink"/>
    <w:basedOn w:val="Policepardfaut"/>
    <w:rsid w:val="00441D51"/>
    <w:rPr>
      <w:color w:val="954F72" w:themeColor="followedHyperlink"/>
      <w:u w:val="single"/>
    </w:rPr>
  </w:style>
  <w:style w:type="character" w:styleId="Mentionnonrsolue">
    <w:name w:val="Unresolved Mention"/>
    <w:basedOn w:val="Policepardfaut"/>
    <w:uiPriority w:val="99"/>
    <w:semiHidden/>
    <w:unhideWhenUsed/>
    <w:rsid w:val="00441D51"/>
    <w:rPr>
      <w:color w:val="605E5C"/>
      <w:shd w:val="clear" w:color="auto" w:fill="E1DFDD"/>
    </w:rPr>
  </w:style>
  <w:style w:type="character" w:customStyle="1" w:styleId="cf01">
    <w:name w:val="cf01"/>
    <w:basedOn w:val="Policepardfaut"/>
    <w:rsid w:val="00872BF6"/>
    <w:rPr>
      <w:rFonts w:ascii="Segoe UI" w:hAnsi="Segoe UI" w:cs="Segoe UI" w:hint="default"/>
      <w:sz w:val="18"/>
      <w:szCs w:val="18"/>
    </w:rPr>
  </w:style>
  <w:style w:type="paragraph" w:styleId="Paragraphedeliste">
    <w:name w:val="List Paragraph"/>
    <w:basedOn w:val="Normal"/>
    <w:uiPriority w:val="34"/>
    <w:qFormat/>
    <w:rsid w:val="00D14F00"/>
    <w:pPr>
      <w:spacing w:line="240" w:lineRule="auto"/>
      <w:ind w:left="720"/>
      <w:contextualSpacing/>
    </w:pPr>
    <w:rPr>
      <w:rFonts w:asciiTheme="minorHAnsi" w:eastAsiaTheme="minorEastAsia" w:hAnsiTheme="minorHAnsi" w:cstheme="minorBidi"/>
      <w:kern w:val="2"/>
      <w:sz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charlotte\Desktop\Bilan%20U87-DTX-DMSO-ATBC-C90%20artic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72003499562555"/>
          <c:y val="0.12411230072978574"/>
          <c:w val="0.7482071471835251"/>
          <c:h val="0.69809467929020863"/>
        </c:manualLayout>
      </c:layout>
      <c:scatterChart>
        <c:scatterStyle val="smoothMarker"/>
        <c:varyColors val="0"/>
        <c:ser>
          <c:idx val="1"/>
          <c:order val="0"/>
          <c:tx>
            <c:v>DMSO/DTX</c:v>
          </c:tx>
          <c:spPr>
            <a:ln w="12700" cap="sq">
              <a:solidFill>
                <a:schemeClr val="bg1">
                  <a:lumMod val="75000"/>
                </a:schemeClr>
              </a:solidFill>
              <a:prstDash val="dash"/>
              <a:round/>
            </a:ln>
            <a:effectLst/>
          </c:spPr>
          <c:marker>
            <c:symbol val="circle"/>
            <c:size val="4"/>
            <c:spPr>
              <a:solidFill>
                <a:schemeClr val="bg1">
                  <a:lumMod val="75000"/>
                </a:schemeClr>
              </a:solidFill>
              <a:ln w="9525">
                <a:solidFill>
                  <a:schemeClr val="bg1">
                    <a:lumMod val="75000"/>
                  </a:schemeClr>
                </a:solidFill>
              </a:ln>
              <a:effectLst/>
            </c:spPr>
          </c:marker>
          <c:errBars>
            <c:errDir val="y"/>
            <c:errBarType val="both"/>
            <c:errValType val="cust"/>
            <c:noEndCap val="0"/>
            <c:plus>
              <c:numRef>
                <c:f>BILAN!$Q$7:$W$7</c:f>
                <c:numCache>
                  <c:formatCode>General</c:formatCode>
                  <c:ptCount val="7"/>
                  <c:pt idx="0">
                    <c:v>0</c:v>
                  </c:pt>
                  <c:pt idx="1">
                    <c:v>6.5048865840871013</c:v>
                  </c:pt>
                  <c:pt idx="2">
                    <c:v>8.9970600325178687</c:v>
                  </c:pt>
                  <c:pt idx="3">
                    <c:v>4.4423397355581056</c:v>
                  </c:pt>
                  <c:pt idx="4">
                    <c:v>4.3308061903807546</c:v>
                  </c:pt>
                  <c:pt idx="5">
                    <c:v>1.1726129554304272</c:v>
                  </c:pt>
                  <c:pt idx="6">
                    <c:v>0.25654339278040944</c:v>
                  </c:pt>
                </c:numCache>
              </c:numRef>
            </c:plus>
            <c:minus>
              <c:numRef>
                <c:f>BILAN!$Q$7:$W$7</c:f>
                <c:numCache>
                  <c:formatCode>General</c:formatCode>
                  <c:ptCount val="7"/>
                  <c:pt idx="0">
                    <c:v>0</c:v>
                  </c:pt>
                  <c:pt idx="1">
                    <c:v>6.5048865840871013</c:v>
                  </c:pt>
                  <c:pt idx="2">
                    <c:v>8.9970600325178687</c:v>
                  </c:pt>
                  <c:pt idx="3">
                    <c:v>4.4423397355581056</c:v>
                  </c:pt>
                  <c:pt idx="4">
                    <c:v>4.3308061903807546</c:v>
                  </c:pt>
                  <c:pt idx="5">
                    <c:v>1.1726129554304272</c:v>
                  </c:pt>
                  <c:pt idx="6">
                    <c:v>0.25654339278040944</c:v>
                  </c:pt>
                </c:numCache>
              </c:numRef>
            </c:minus>
            <c:spPr>
              <a:noFill/>
              <a:ln w="9525" cap="flat" cmpd="sng" algn="ctr">
                <a:solidFill>
                  <a:schemeClr val="tx1">
                    <a:lumMod val="65000"/>
                    <a:lumOff val="35000"/>
                  </a:schemeClr>
                </a:solidFill>
                <a:round/>
              </a:ln>
              <a:effectLst/>
            </c:spPr>
          </c:errBars>
          <c:xVal>
            <c:numRef>
              <c:f>BILAN!$Q$5:$W$5</c:f>
              <c:numCache>
                <c:formatCode>General</c:formatCode>
                <c:ptCount val="7"/>
                <c:pt idx="0">
                  <c:v>1E-4</c:v>
                </c:pt>
                <c:pt idx="1">
                  <c:v>0.1</c:v>
                </c:pt>
                <c:pt idx="2">
                  <c:v>1</c:v>
                </c:pt>
                <c:pt idx="3">
                  <c:v>2.5</c:v>
                </c:pt>
                <c:pt idx="4">
                  <c:v>5</c:v>
                </c:pt>
                <c:pt idx="5">
                  <c:v>10</c:v>
                </c:pt>
                <c:pt idx="6">
                  <c:v>50</c:v>
                </c:pt>
              </c:numCache>
            </c:numRef>
          </c:xVal>
          <c:yVal>
            <c:numRef>
              <c:f>BILAN!$Q$6:$W$6</c:f>
              <c:numCache>
                <c:formatCode>0.00</c:formatCode>
                <c:ptCount val="7"/>
                <c:pt idx="0" formatCode="General">
                  <c:v>100</c:v>
                </c:pt>
                <c:pt idx="1">
                  <c:v>90.573449112209474</c:v>
                </c:pt>
                <c:pt idx="2">
                  <c:v>77.072658545275956</c:v>
                </c:pt>
                <c:pt idx="3">
                  <c:v>59.092063486621214</c:v>
                </c:pt>
                <c:pt idx="4">
                  <c:v>37.418313078475798</c:v>
                </c:pt>
                <c:pt idx="5">
                  <c:v>26.687748559424289</c:v>
                </c:pt>
                <c:pt idx="6">
                  <c:v>20.409264696307922</c:v>
                </c:pt>
              </c:numCache>
            </c:numRef>
          </c:yVal>
          <c:smooth val="1"/>
          <c:extLst>
            <c:ext xmlns:c16="http://schemas.microsoft.com/office/drawing/2014/chart" uri="{C3380CC4-5D6E-409C-BE32-E72D297353CC}">
              <c16:uniqueId val="{00000000-8D5D-1B43-A343-37C9A72C81BF}"/>
            </c:ext>
          </c:extLst>
        </c:ser>
        <c:ser>
          <c:idx val="0"/>
          <c:order val="1"/>
          <c:tx>
            <c:v>ATBC/DTX</c:v>
          </c:tx>
          <c:spPr>
            <a:ln w="12700" cap="rnd">
              <a:solidFill>
                <a:schemeClr val="tx1">
                  <a:lumMod val="50000"/>
                  <a:lumOff val="50000"/>
                </a:schemeClr>
              </a:solidFill>
              <a:round/>
            </a:ln>
            <a:effectLst/>
          </c:spPr>
          <c:marker>
            <c:symbol val="circle"/>
            <c:size val="4"/>
            <c:spPr>
              <a:solidFill>
                <a:schemeClr val="tx1">
                  <a:lumMod val="50000"/>
                  <a:lumOff val="50000"/>
                </a:schemeClr>
              </a:solidFill>
              <a:ln w="9525">
                <a:solidFill>
                  <a:schemeClr val="tx1">
                    <a:lumMod val="50000"/>
                    <a:lumOff val="50000"/>
                  </a:schemeClr>
                </a:solidFill>
              </a:ln>
              <a:effectLst/>
            </c:spPr>
          </c:marker>
          <c:errBars>
            <c:errDir val="y"/>
            <c:errBarType val="both"/>
            <c:errValType val="cust"/>
            <c:noEndCap val="0"/>
            <c:plus>
              <c:numRef>
                <c:f>BILAN!$D$12:$J$12</c:f>
                <c:numCache>
                  <c:formatCode>General</c:formatCode>
                  <c:ptCount val="7"/>
                  <c:pt idx="0">
                    <c:v>0</c:v>
                  </c:pt>
                  <c:pt idx="1">
                    <c:v>5.3543173397107147</c:v>
                  </c:pt>
                  <c:pt idx="2">
                    <c:v>2.0955219121975994</c:v>
                  </c:pt>
                  <c:pt idx="3">
                    <c:v>3.5431654434967039</c:v>
                  </c:pt>
                  <c:pt idx="4">
                    <c:v>3.0829544274475071</c:v>
                  </c:pt>
                  <c:pt idx="5">
                    <c:v>1.1636614119910156</c:v>
                  </c:pt>
                  <c:pt idx="6">
                    <c:v>1.1974205648561531</c:v>
                  </c:pt>
                </c:numCache>
              </c:numRef>
            </c:plus>
            <c:minus>
              <c:numRef>
                <c:f>BILAN!$D$12:$J$12</c:f>
                <c:numCache>
                  <c:formatCode>General</c:formatCode>
                  <c:ptCount val="7"/>
                  <c:pt idx="0">
                    <c:v>0</c:v>
                  </c:pt>
                  <c:pt idx="1">
                    <c:v>5.3543173397107147</c:v>
                  </c:pt>
                  <c:pt idx="2">
                    <c:v>2.0955219121975994</c:v>
                  </c:pt>
                  <c:pt idx="3">
                    <c:v>3.5431654434967039</c:v>
                  </c:pt>
                  <c:pt idx="4">
                    <c:v>3.0829544274475071</c:v>
                  </c:pt>
                  <c:pt idx="5">
                    <c:v>1.1636614119910156</c:v>
                  </c:pt>
                  <c:pt idx="6">
                    <c:v>1.1974205648561531</c:v>
                  </c:pt>
                </c:numCache>
              </c:numRef>
            </c:minus>
            <c:spPr>
              <a:noFill/>
              <a:ln w="9525" cap="flat" cmpd="sng" algn="ctr">
                <a:solidFill>
                  <a:schemeClr val="tx1">
                    <a:lumMod val="65000"/>
                    <a:lumOff val="35000"/>
                  </a:schemeClr>
                </a:solidFill>
                <a:round/>
              </a:ln>
              <a:effectLst/>
            </c:spPr>
          </c:errBars>
          <c:xVal>
            <c:numRef>
              <c:f>BILAN!$D$5:$J$5</c:f>
              <c:numCache>
                <c:formatCode>General</c:formatCode>
                <c:ptCount val="7"/>
                <c:pt idx="0">
                  <c:v>1E-4</c:v>
                </c:pt>
                <c:pt idx="1">
                  <c:v>0.1</c:v>
                </c:pt>
                <c:pt idx="2">
                  <c:v>1</c:v>
                </c:pt>
                <c:pt idx="3">
                  <c:v>2.5</c:v>
                </c:pt>
                <c:pt idx="4">
                  <c:v>5</c:v>
                </c:pt>
                <c:pt idx="5">
                  <c:v>10</c:v>
                </c:pt>
                <c:pt idx="6">
                  <c:v>50</c:v>
                </c:pt>
              </c:numCache>
            </c:numRef>
          </c:xVal>
          <c:yVal>
            <c:numRef>
              <c:f>BILAN!$D$11:$J$11</c:f>
              <c:numCache>
                <c:formatCode>0.00</c:formatCode>
                <c:ptCount val="7"/>
                <c:pt idx="0">
                  <c:v>100</c:v>
                </c:pt>
                <c:pt idx="1">
                  <c:v>100.42972991732735</c:v>
                </c:pt>
                <c:pt idx="2">
                  <c:v>79.030864045787595</c:v>
                </c:pt>
                <c:pt idx="3">
                  <c:v>44.597487416708752</c:v>
                </c:pt>
                <c:pt idx="4">
                  <c:v>28.421210273769862</c:v>
                </c:pt>
                <c:pt idx="5">
                  <c:v>22.460591778332496</c:v>
                </c:pt>
                <c:pt idx="6">
                  <c:v>18.502087832678178</c:v>
                </c:pt>
              </c:numCache>
            </c:numRef>
          </c:yVal>
          <c:smooth val="1"/>
          <c:extLst>
            <c:ext xmlns:c16="http://schemas.microsoft.com/office/drawing/2014/chart" uri="{C3380CC4-5D6E-409C-BE32-E72D297353CC}">
              <c16:uniqueId val="{00000001-8D5D-1B43-A343-37C9A72C81BF}"/>
            </c:ext>
          </c:extLst>
        </c:ser>
        <c:ser>
          <c:idx val="2"/>
          <c:order val="2"/>
          <c:tx>
            <c:v>C90/DTX</c:v>
          </c:tx>
          <c:spPr>
            <a:ln w="12700" cap="rnd">
              <a:solidFill>
                <a:schemeClr val="tx1">
                  <a:lumMod val="75000"/>
                  <a:lumOff val="25000"/>
                </a:schemeClr>
              </a:solidFill>
              <a:prstDash val="sysDot"/>
              <a:round/>
            </a:ln>
            <a:effectLst/>
          </c:spPr>
          <c:marker>
            <c:symbol val="circle"/>
            <c:size val="4"/>
            <c:spPr>
              <a:solidFill>
                <a:schemeClr val="tx1">
                  <a:lumMod val="75000"/>
                  <a:lumOff val="25000"/>
                </a:schemeClr>
              </a:solidFill>
              <a:ln w="9525">
                <a:solidFill>
                  <a:schemeClr val="tx1">
                    <a:lumMod val="75000"/>
                    <a:lumOff val="25000"/>
                  </a:schemeClr>
                </a:solidFill>
              </a:ln>
              <a:effectLst/>
            </c:spPr>
          </c:marker>
          <c:errBars>
            <c:errDir val="y"/>
            <c:errBarType val="both"/>
            <c:errValType val="cust"/>
            <c:noEndCap val="0"/>
            <c:plus>
              <c:numRef>
                <c:f>BILAN!$D$16:$J$16</c:f>
                <c:numCache>
                  <c:formatCode>General</c:formatCode>
                  <c:ptCount val="7"/>
                  <c:pt idx="0">
                    <c:v>0</c:v>
                  </c:pt>
                  <c:pt idx="1">
                    <c:v>3.8429301140825425</c:v>
                  </c:pt>
                  <c:pt idx="2">
                    <c:v>3.6177969474689369</c:v>
                  </c:pt>
                  <c:pt idx="3">
                    <c:v>2.2057426430107188</c:v>
                  </c:pt>
                  <c:pt idx="4">
                    <c:v>0.93412270621367399</c:v>
                  </c:pt>
                  <c:pt idx="5">
                    <c:v>3.8461849561811943</c:v>
                  </c:pt>
                  <c:pt idx="6">
                    <c:v>1.998454864601616</c:v>
                  </c:pt>
                </c:numCache>
              </c:numRef>
            </c:plus>
            <c:minus>
              <c:numRef>
                <c:f>BILAN!$D$16:$J$16</c:f>
                <c:numCache>
                  <c:formatCode>General</c:formatCode>
                  <c:ptCount val="7"/>
                  <c:pt idx="0">
                    <c:v>0</c:v>
                  </c:pt>
                  <c:pt idx="1">
                    <c:v>3.8429301140825425</c:v>
                  </c:pt>
                  <c:pt idx="2">
                    <c:v>3.6177969474689369</c:v>
                  </c:pt>
                  <c:pt idx="3">
                    <c:v>2.2057426430107188</c:v>
                  </c:pt>
                  <c:pt idx="4">
                    <c:v>0.93412270621367399</c:v>
                  </c:pt>
                  <c:pt idx="5">
                    <c:v>3.8461849561811943</c:v>
                  </c:pt>
                  <c:pt idx="6">
                    <c:v>1.998454864601616</c:v>
                  </c:pt>
                </c:numCache>
              </c:numRef>
            </c:minus>
            <c:spPr>
              <a:noFill/>
              <a:ln w="9525" cap="flat" cmpd="sng" algn="ctr">
                <a:solidFill>
                  <a:schemeClr val="tx1">
                    <a:lumMod val="65000"/>
                    <a:lumOff val="35000"/>
                  </a:schemeClr>
                </a:solidFill>
                <a:round/>
              </a:ln>
              <a:effectLst/>
            </c:spPr>
          </c:errBars>
          <c:xVal>
            <c:numRef>
              <c:f>BILAN!$D$5:$J$5</c:f>
              <c:numCache>
                <c:formatCode>General</c:formatCode>
                <c:ptCount val="7"/>
                <c:pt idx="0">
                  <c:v>1E-4</c:v>
                </c:pt>
                <c:pt idx="1">
                  <c:v>0.1</c:v>
                </c:pt>
                <c:pt idx="2">
                  <c:v>1</c:v>
                </c:pt>
                <c:pt idx="3">
                  <c:v>2.5</c:v>
                </c:pt>
                <c:pt idx="4">
                  <c:v>5</c:v>
                </c:pt>
                <c:pt idx="5">
                  <c:v>10</c:v>
                </c:pt>
                <c:pt idx="6">
                  <c:v>50</c:v>
                </c:pt>
              </c:numCache>
            </c:numRef>
          </c:xVal>
          <c:yVal>
            <c:numRef>
              <c:f>BILAN!$D$15:$J$15</c:f>
              <c:numCache>
                <c:formatCode>0.00</c:formatCode>
                <c:ptCount val="7"/>
                <c:pt idx="0">
                  <c:v>100</c:v>
                </c:pt>
                <c:pt idx="1">
                  <c:v>104.00561941980693</c:v>
                </c:pt>
                <c:pt idx="2">
                  <c:v>93.242956283339254</c:v>
                </c:pt>
                <c:pt idx="3">
                  <c:v>71.687573286972281</c:v>
                </c:pt>
                <c:pt idx="4">
                  <c:v>45.402335044976475</c:v>
                </c:pt>
                <c:pt idx="5">
                  <c:v>28.373270194687894</c:v>
                </c:pt>
                <c:pt idx="6">
                  <c:v>21.888826883776016</c:v>
                </c:pt>
              </c:numCache>
            </c:numRef>
          </c:yVal>
          <c:smooth val="1"/>
          <c:extLst>
            <c:ext xmlns:c16="http://schemas.microsoft.com/office/drawing/2014/chart" uri="{C3380CC4-5D6E-409C-BE32-E72D297353CC}">
              <c16:uniqueId val="{00000002-8D5D-1B43-A343-37C9A72C81BF}"/>
            </c:ext>
          </c:extLst>
        </c:ser>
        <c:dLbls>
          <c:showLegendKey val="0"/>
          <c:showVal val="0"/>
          <c:showCatName val="0"/>
          <c:showSerName val="0"/>
          <c:showPercent val="0"/>
          <c:showBubbleSize val="0"/>
        </c:dLbls>
        <c:axId val="325750952"/>
        <c:axId val="325751736"/>
      </c:scatterChart>
      <c:valAx>
        <c:axId val="325750952"/>
        <c:scaling>
          <c:logBase val="10"/>
          <c:orientation val="minMax"/>
          <c:min val="1.0000000000000002E-3"/>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DTX concentration [nmol L-1]</a:t>
                </a:r>
              </a:p>
            </c:rich>
          </c:tx>
          <c:layout>
            <c:manualLayout>
              <c:xMode val="edge"/>
              <c:yMode val="edge"/>
              <c:x val="0.3296632344033919"/>
              <c:y val="0.90061822917412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crossAx val="325751736"/>
        <c:crosses val="autoZero"/>
        <c:crossBetween val="midCat"/>
      </c:valAx>
      <c:valAx>
        <c:axId val="325751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Cell viability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crossAx val="325750952"/>
        <c:crossesAt val="1.0000000000000002E-3"/>
        <c:crossBetween val="midCat"/>
      </c:valAx>
      <c:spPr>
        <a:noFill/>
        <a:ln>
          <a:noFill/>
        </a:ln>
        <a:effectLst/>
      </c:spPr>
    </c:plotArea>
    <c:legend>
      <c:legendPos val="r"/>
      <c:layout>
        <c:manualLayout>
          <c:xMode val="edge"/>
          <c:yMode val="edge"/>
          <c:x val="0.18585867151221483"/>
          <c:y val="0.5538163316903103"/>
          <c:w val="0.21894932364223701"/>
          <c:h val="0.23437664041994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652</Words>
  <Characters>3590</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Manuscript template</vt:lpstr>
      <vt:lpstr>The contraceptive implant</vt:lpstr>
    </vt:vector>
  </TitlesOfParts>
  <Company>Dove Medical Press</Company>
  <LinksUpToDate>false</LinksUpToDate>
  <CharactersWithSpaces>4234</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BERARD Charlotte</cp:lastModifiedBy>
  <cp:revision>3</cp:revision>
  <cp:lastPrinted>2009-01-07T21:57:00Z</cp:lastPrinted>
  <dcterms:created xsi:type="dcterms:W3CDTF">2026-01-19T16:37:00Z</dcterms:created>
  <dcterms:modified xsi:type="dcterms:W3CDTF">2026-01-19T19:27:00Z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