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487AB">
      <w:pPr>
        <w:widowControl w:val="0"/>
        <w:rPr>
          <w:rFonts w:hint="default" w:ascii="Arial" w:hAnsi="Arial" w:eastAsia="宋体" w:cs="Arial"/>
          <w:color w:val="auto"/>
          <w:szCs w:val="20"/>
          <w:lang w:val="en-US" w:eastAsia="zh-CN"/>
        </w:rPr>
      </w:pPr>
      <w:r>
        <w:rPr>
          <w:rFonts w:hint="default" w:ascii="Arial" w:hAnsi="Arial" w:cs="Arial"/>
          <w:b/>
          <w:color w:val="auto"/>
          <w:szCs w:val="20"/>
        </w:rPr>
        <w:t>Supplementary Table S</w:t>
      </w:r>
      <w:r>
        <w:rPr>
          <w:rFonts w:hint="default" w:ascii="Arial" w:hAnsi="Arial" w:eastAsia="宋体" w:cs="Arial"/>
          <w:b/>
          <w:color w:val="auto"/>
          <w:szCs w:val="20"/>
          <w:lang w:val="en-US" w:eastAsia="zh-CN"/>
        </w:rPr>
        <w:t xml:space="preserve">1 </w:t>
      </w:r>
      <w:r>
        <w:rPr>
          <w:rFonts w:hint="default" w:ascii="Arial" w:hAnsi="Arial" w:cs="Arial"/>
          <w:color w:val="auto"/>
          <w:szCs w:val="20"/>
        </w:rPr>
        <w:t>Age</w:t>
      </w:r>
      <w:r>
        <w:rPr>
          <w:rFonts w:hint="eastAsia" w:ascii="Arial" w:hAnsi="Arial" w:eastAsia="宋体" w:cs="Arial"/>
          <w:color w:val="auto"/>
          <w:szCs w:val="20"/>
          <w:lang w:val="en-US" w:eastAsia="zh-CN"/>
        </w:rPr>
        <w:t>-</w:t>
      </w:r>
      <w:r>
        <w:rPr>
          <w:rFonts w:hint="default" w:ascii="Arial" w:hAnsi="Arial" w:cs="Arial"/>
          <w:color w:val="auto"/>
          <w:szCs w:val="20"/>
        </w:rPr>
        <w:t xml:space="preserve">stratified associations between thyroid hormone sensitivity indices and PAD in euthyroid patients with </w:t>
      </w:r>
      <w:r>
        <w:rPr>
          <w:rFonts w:hint="default" w:ascii="Arial" w:hAnsi="Arial" w:eastAsia="宋体" w:cs="Arial"/>
          <w:color w:val="auto"/>
          <w:szCs w:val="20"/>
          <w:lang w:val="en-US" w:eastAsia="zh-CN"/>
        </w:rPr>
        <w:t>T2DM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497"/>
        <w:gridCol w:w="2263"/>
        <w:gridCol w:w="2263"/>
        <w:gridCol w:w="1361"/>
      </w:tblGrid>
      <w:tr w14:paraId="2083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15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EA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Exposure / Age group</w:t>
            </w: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0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auto"/>
              </w:rPr>
              <w:t>≤</w:t>
            </w:r>
            <w:r>
              <w:rPr>
                <w:rFonts w:hint="eastAsia" w:eastAsia="宋体" w:cs="Arial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 (OR, 95% CI, P)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35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˃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  (OR, 95% CI, P)</w:t>
            </w:r>
          </w:p>
        </w:tc>
        <w:tc>
          <w:tcPr>
            <w:tcW w:w="79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4C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 for interaction</w:t>
            </w:r>
          </w:p>
        </w:tc>
      </w:tr>
      <w:tr w14:paraId="48C5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80E4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TFQI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1416B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E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40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2F9BC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F7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B27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905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univariable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3A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1.985 (0.873–4.632), 0.106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F6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1.97 (1.006–3.928), 0.05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D2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56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F754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ACC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multivariable</w:t>
            </w:r>
          </w:p>
        </w:tc>
        <w:tc>
          <w:tcPr>
            <w:tcW w:w="13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82DC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2.095 (0.894–5.05), 0.092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D3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1.885 (0.947–3.816), 0.074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89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0.867</w:t>
            </w:r>
          </w:p>
        </w:tc>
      </w:tr>
      <w:tr w14:paraId="2A50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0F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TSHI</w:t>
            </w: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F6642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AF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88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A5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90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FA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5C66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univariable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9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1.668 (0.912–3.121), 0.102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5E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1.595 (0.992–2.607), 0.057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FA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8E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2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C58C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multivariable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11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1.777 (0.945–3.426), 0.079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69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1.508 (0.927–2.492), 0.102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05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0.796</w:t>
            </w:r>
          </w:p>
        </w:tc>
      </w:tr>
      <w:tr w14:paraId="60C4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70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TT4RI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D8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4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4D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E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7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1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671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univariable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CC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1.026 (1.001–1.052), 0.043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8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1.015 (0.995–1.036), 0.135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8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C8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C51A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14AE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multivariable</w:t>
            </w:r>
          </w:p>
        </w:tc>
        <w:tc>
          <w:tcPr>
            <w:tcW w:w="13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17E9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1.031 (1.003–1.059), 0.028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6D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1.013 (0.993–1.034), 0.202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C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0.448</w:t>
            </w:r>
          </w:p>
        </w:tc>
      </w:tr>
      <w:tr w14:paraId="23BC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C7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FT3/FT4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0E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C3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A0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A8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F9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2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3F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univariable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C9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 (0–0.667), 0.041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B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0.005 (0–0.785), 0.043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1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94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1CC7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C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multivariable</w:t>
            </w:r>
          </w:p>
        </w:tc>
        <w:tc>
          <w:tcPr>
            <w:tcW w:w="132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5390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 (0–0.913), 0.051</w:t>
            </w:r>
          </w:p>
        </w:tc>
        <w:tc>
          <w:tcPr>
            <w:tcW w:w="1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D4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0.006 (0–1.004), 0.054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FF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0.702</w:t>
            </w:r>
          </w:p>
        </w:tc>
      </w:tr>
    </w:tbl>
    <w:p w14:paraId="657E358B">
      <w:pPr>
        <w:widowControl w:val="0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b/>
          <w:bCs/>
          <w:color w:val="auto"/>
        </w:rPr>
        <w:t>Notes:</w:t>
      </w:r>
      <w:r>
        <w:rPr>
          <w:rFonts w:hint="default" w:ascii="Arial" w:hAnsi="Arial" w:eastAsia="Segoe UI" w:cs="Arial"/>
          <w:i w:val="0"/>
          <w:iCs w:val="0"/>
          <w:caps w:val="0"/>
          <w:color w:val="auto"/>
          <w:spacing w:val="0"/>
          <w:sz w:val="18"/>
          <w:szCs w:val="18"/>
          <w:shd w:val="clear" w:fill="F7F2EB"/>
        </w:rPr>
        <w:t xml:space="preserve"> </w:t>
      </w:r>
      <w:r>
        <w:rPr>
          <w:rFonts w:hint="eastAsia" w:ascii="Arial" w:hAnsi="Arial" w:eastAsia="宋体" w:cs="Arial"/>
          <w:color w:val="auto"/>
          <w:lang w:val="en-US" w:eastAsia="zh-CN"/>
        </w:rPr>
        <w:t>OR</w:t>
      </w:r>
      <w:r>
        <w:rPr>
          <w:rFonts w:hint="default" w:ascii="Arial" w:hAnsi="Arial" w:cs="Arial"/>
          <w:color w:val="auto"/>
        </w:rPr>
        <w:t xml:space="preserve"> and 95% </w:t>
      </w:r>
      <w:r>
        <w:rPr>
          <w:rFonts w:hint="eastAsia" w:ascii="Arial" w:hAnsi="Arial" w:eastAsia="宋体" w:cs="Arial"/>
          <w:color w:val="auto"/>
          <w:lang w:val="en-US" w:eastAsia="zh-CN"/>
        </w:rPr>
        <w:t>CI</w:t>
      </w:r>
      <w:r>
        <w:rPr>
          <w:rFonts w:hint="default" w:ascii="Arial" w:hAnsi="Arial" w:cs="Arial"/>
          <w:color w:val="auto"/>
        </w:rPr>
        <w:t xml:space="preserve"> were derived from multivariable logistic regression models within each age stratum. Models were adjusted for sex, hypertension, smoking, alcohol drinking, duration, HbA1c, LDL</w:t>
      </w:r>
      <w:r>
        <w:rPr>
          <w:rFonts w:hint="default" w:ascii="Arial" w:hAnsi="Arial" w:cs="Arial"/>
          <w:color w:val="auto"/>
        </w:rPr>
        <w:noBreakHyphen/>
      </w:r>
      <w:r>
        <w:rPr>
          <w:rFonts w:hint="default" w:ascii="Arial" w:hAnsi="Arial" w:cs="Arial"/>
          <w:color w:val="auto"/>
        </w:rPr>
        <w:t>C, and eGFR (age was not included as a covariate in the age</w:t>
      </w:r>
      <w:r>
        <w:rPr>
          <w:rFonts w:hint="default" w:ascii="Arial" w:hAnsi="Arial" w:cs="Arial"/>
          <w:color w:val="auto"/>
        </w:rPr>
        <w:noBreakHyphen/>
      </w:r>
      <w:r>
        <w:rPr>
          <w:rFonts w:hint="default" w:ascii="Arial" w:hAnsi="Arial" w:cs="Arial"/>
          <w:color w:val="auto"/>
        </w:rPr>
        <w:t>stratified models). P for interaction was obtained by adding a cross</w:t>
      </w:r>
      <w:r>
        <w:rPr>
          <w:rFonts w:hint="default" w:ascii="Arial" w:hAnsi="Arial" w:cs="Arial"/>
          <w:color w:val="auto"/>
        </w:rPr>
        <w:noBreakHyphen/>
      </w:r>
      <w:r>
        <w:rPr>
          <w:rFonts w:hint="default" w:ascii="Arial" w:hAnsi="Arial" w:cs="Arial"/>
          <w:color w:val="auto"/>
        </w:rPr>
        <w:t>product term between the continuous thyroid hormone sensitivity index and the categorical age group into the overall model.</w:t>
      </w:r>
    </w:p>
    <w:p w14:paraId="0982AB38">
      <w:pPr>
        <w:widowControl w:val="0"/>
        <w:rPr>
          <w:rFonts w:hint="default" w:ascii="Arial" w:hAnsi="Arial" w:cs="Arial"/>
          <w:color w:val="auto"/>
          <w:szCs w:val="20"/>
        </w:rPr>
      </w:pPr>
      <w:r>
        <w:rPr>
          <w:rFonts w:hint="default" w:ascii="Arial" w:hAnsi="Arial" w:cs="Arial"/>
          <w:color w:val="auto"/>
          <w:szCs w:val="20"/>
        </w:rPr>
        <w:t xml:space="preserve"> </w:t>
      </w:r>
      <w:r>
        <w:rPr>
          <w:rFonts w:hint="default" w:ascii="Arial" w:hAnsi="Arial" w:cs="Arial"/>
          <w:b/>
          <w:bCs/>
          <w:color w:val="auto"/>
        </w:rPr>
        <w:t>Abbreviations:</w:t>
      </w:r>
      <w:r>
        <w:rPr>
          <w:rFonts w:hint="eastAsia" w:eastAsia="宋体" w:cs="Arial"/>
          <w:b/>
          <w:bCs/>
          <w:color w:val="auto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szCs w:val="20"/>
        </w:rPr>
        <w:t>TFQI, thyroid feedback quantile-based index; TSHI, thyroid</w:t>
      </w:r>
    </w:p>
    <w:p w14:paraId="4AD12314">
      <w:pPr>
        <w:widowControl w:val="0"/>
        <w:rPr>
          <w:rFonts w:hint="default" w:ascii="Arial" w:hAnsi="Arial" w:cs="Arial"/>
          <w:color w:val="auto"/>
          <w:lang w:val="en-US" w:eastAsia="zh-CN"/>
        </w:rPr>
      </w:pPr>
      <w:r>
        <w:rPr>
          <w:rFonts w:hint="default" w:ascii="Arial" w:hAnsi="Arial" w:cs="Arial"/>
          <w:color w:val="auto"/>
          <w:szCs w:val="20"/>
        </w:rPr>
        <w:t>stimulating hormone index; TT4RI, thyrotropin thyroxine resistance index; FT3/FT4, free triiodothyronine/free thyroxine</w:t>
      </w:r>
    </w:p>
    <w:p w14:paraId="0B55A51B">
      <w:pPr>
        <w:widowControl w:val="0"/>
        <w:rPr>
          <w:rFonts w:hint="default" w:ascii="Arial" w:hAnsi="Arial" w:cs="Arial"/>
          <w:color w:val="auto"/>
          <w:szCs w:val="20"/>
        </w:rPr>
      </w:pPr>
      <w:r>
        <w:rPr>
          <w:rFonts w:hint="default" w:ascii="Arial" w:hAnsi="Arial" w:cs="Arial"/>
          <w:b/>
          <w:color w:val="auto"/>
          <w:szCs w:val="20"/>
        </w:rPr>
        <w:t>Supplementary Table S</w:t>
      </w:r>
      <w:r>
        <w:rPr>
          <w:rFonts w:hint="default" w:ascii="Arial" w:hAnsi="Arial" w:eastAsia="宋体" w:cs="Arial"/>
          <w:b/>
          <w:color w:val="auto"/>
          <w:szCs w:val="20"/>
          <w:lang w:val="en-US" w:eastAsia="zh-CN"/>
        </w:rPr>
        <w:t>2</w:t>
      </w:r>
      <w:r>
        <w:rPr>
          <w:rFonts w:hint="default" w:ascii="Arial" w:hAnsi="Arial" w:cs="Arial"/>
          <w:color w:val="auto"/>
          <w:szCs w:val="20"/>
        </w:rPr>
        <w:t>. Sensitivity analyses replacing LDL‑C with other lipid parameters in multivariable models of PAD</w:t>
      </w:r>
    </w:p>
    <w:tbl>
      <w:tblPr>
        <w:tblStyle w:val="2"/>
        <w:tblW w:w="72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96"/>
        <w:gridCol w:w="2016"/>
        <w:gridCol w:w="2280"/>
      </w:tblGrid>
      <w:tr w14:paraId="6080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B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0C5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Index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0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OR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9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</w:tr>
      <w:tr w14:paraId="7A48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8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F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TFQI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8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8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0.218–2.951</w:t>
            </w:r>
          </w:p>
        </w:tc>
      </w:tr>
      <w:tr w14:paraId="7224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1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0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TSHI</w:t>
            </w:r>
          </w:p>
          <w:p w14:paraId="402FD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TT4RI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0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1.208</w:t>
            </w:r>
          </w:p>
          <w:p w14:paraId="56B56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0.259–5.630</w:t>
            </w:r>
          </w:p>
          <w:p w14:paraId="76CB4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0.968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–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1.068</w:t>
            </w:r>
          </w:p>
        </w:tc>
      </w:tr>
      <w:tr w14:paraId="4A48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4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2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FT3</w:t>
            </w:r>
            <w:r>
              <w:rPr>
                <w:rFonts w:hint="eastAsia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5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E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0.000–0.487</w:t>
            </w:r>
          </w:p>
        </w:tc>
      </w:tr>
      <w:tr w14:paraId="00BC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3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HDL-C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2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TFQI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2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2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0.224–3.041</w:t>
            </w:r>
          </w:p>
        </w:tc>
      </w:tr>
      <w:tr w14:paraId="21F1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F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E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TSHI</w:t>
            </w:r>
          </w:p>
          <w:p w14:paraId="06298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TT4RI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6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1.172</w:t>
            </w:r>
          </w:p>
          <w:p w14:paraId="3780A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7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0.249–5.509</w:t>
            </w:r>
          </w:p>
          <w:p w14:paraId="503F8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0.968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–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1.069</w:t>
            </w:r>
          </w:p>
        </w:tc>
      </w:tr>
      <w:tr w14:paraId="2875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B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8E0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FT3</w:t>
            </w:r>
            <w:r>
              <w:rPr>
                <w:rFonts w:hint="eastAsia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3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5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0.000–0.478</w:t>
            </w:r>
          </w:p>
        </w:tc>
      </w:tr>
      <w:tr w14:paraId="74DE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4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6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TFQI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3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0.809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F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0.220–2.968</w:t>
            </w:r>
          </w:p>
        </w:tc>
      </w:tr>
      <w:tr w14:paraId="4B35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8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TSHI</w:t>
            </w:r>
          </w:p>
          <w:p w14:paraId="63EC4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TT4RI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E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1.202</w:t>
            </w:r>
          </w:p>
          <w:p w14:paraId="28823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9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0.258–5.610</w:t>
            </w:r>
          </w:p>
          <w:p w14:paraId="4957D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0.968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–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1.068</w:t>
            </w:r>
          </w:p>
        </w:tc>
      </w:tr>
      <w:tr w14:paraId="6602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9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6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FT3</w:t>
            </w:r>
            <w:r>
              <w:rPr>
                <w:rFonts w:hint="eastAsia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E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9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0.000–0.476</w:t>
            </w:r>
          </w:p>
        </w:tc>
      </w:tr>
      <w:tr w14:paraId="16CE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3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TC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E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TFQI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C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1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0.227–3.094</w:t>
            </w:r>
          </w:p>
        </w:tc>
      </w:tr>
      <w:tr w14:paraId="2440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8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TSHI</w:t>
            </w:r>
          </w:p>
          <w:p w14:paraId="3D681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TT4RI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9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1.174</w:t>
            </w:r>
          </w:p>
          <w:p w14:paraId="25D60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A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0.251–5.492</w:t>
            </w:r>
          </w:p>
          <w:p w14:paraId="256C6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0.968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–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1.068</w:t>
            </w:r>
          </w:p>
        </w:tc>
      </w:tr>
      <w:tr w14:paraId="4CF7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4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8D1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FT3</w:t>
            </w:r>
            <w:r>
              <w:rPr>
                <w:rFonts w:hint="eastAsia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FT4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4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E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0.000–0.450</w:t>
            </w:r>
          </w:p>
        </w:tc>
      </w:tr>
    </w:tbl>
    <w:p w14:paraId="7326A30E">
      <w:pPr>
        <w:widowControl w:val="0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b/>
          <w:bCs/>
          <w:color w:val="auto"/>
        </w:rPr>
        <w:t xml:space="preserve">Notes:  </w:t>
      </w:r>
      <w:r>
        <w:rPr>
          <w:rFonts w:hint="default" w:ascii="Arial" w:hAnsi="Arial" w:cs="Arial"/>
          <w:color w:val="auto"/>
        </w:rPr>
        <w:t>All models are multivariable logistic regression models with PAD as the dependent variable and include the four thyroid hormone sensitivity indices (TFQI, TSHI, FT3/FT4, TT4RI) simultaneously.</w:t>
      </w:r>
      <w:bookmarkStart w:id="0" w:name="_GoBack"/>
      <w:bookmarkEnd w:id="0"/>
    </w:p>
    <w:p w14:paraId="31CBC419">
      <w:pPr>
        <w:widowControl w:val="0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Covariates are sex, age, hypertension, smoking, alcohol drinking, duration, HbA1c, and eGFR.</w:t>
      </w:r>
    </w:p>
    <w:p w14:paraId="1B10B681">
      <w:pPr>
        <w:widowControl w:val="0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In the main model, LDL</w:t>
      </w:r>
      <w:r>
        <w:rPr>
          <w:rFonts w:hint="eastAsia" w:ascii="Arial" w:hAnsi="Arial" w:eastAsia="宋体" w:cs="Arial"/>
          <w:color w:val="auto"/>
          <w:lang w:val="en-US" w:eastAsia="zh-CN"/>
        </w:rPr>
        <w:t>-</w:t>
      </w:r>
      <w:r>
        <w:rPr>
          <w:rFonts w:hint="default" w:ascii="Arial" w:hAnsi="Arial" w:cs="Arial"/>
          <w:color w:val="auto"/>
        </w:rPr>
        <w:t>C was included as the lipid parameter. In the sensitivity models, LDL</w:t>
      </w:r>
      <w:r>
        <w:rPr>
          <w:rFonts w:hint="eastAsia" w:ascii="Arial" w:hAnsi="Arial" w:eastAsia="宋体" w:cs="Arial"/>
          <w:color w:val="auto"/>
          <w:lang w:val="en-US" w:eastAsia="zh-CN"/>
        </w:rPr>
        <w:t>-</w:t>
      </w:r>
      <w:r>
        <w:rPr>
          <w:rFonts w:hint="default" w:ascii="Arial" w:hAnsi="Arial" w:cs="Arial"/>
          <w:color w:val="auto"/>
        </w:rPr>
        <w:t>C was replaced by HDL</w:t>
      </w:r>
      <w:r>
        <w:rPr>
          <w:rFonts w:hint="eastAsia" w:ascii="Arial" w:hAnsi="Arial" w:eastAsia="宋体" w:cs="Arial"/>
          <w:color w:val="auto"/>
          <w:lang w:val="en-US" w:eastAsia="zh-CN"/>
        </w:rPr>
        <w:t>-</w:t>
      </w:r>
      <w:r>
        <w:rPr>
          <w:rFonts w:hint="default" w:ascii="Arial" w:hAnsi="Arial" w:cs="Arial"/>
          <w:color w:val="auto"/>
        </w:rPr>
        <w:t xml:space="preserve">C, </w:t>
      </w:r>
      <w:r>
        <w:rPr>
          <w:rFonts w:hint="eastAsia" w:ascii="Arial" w:hAnsi="Arial" w:eastAsia="宋体" w:cs="Arial"/>
          <w:color w:val="auto"/>
          <w:lang w:val="en-US" w:eastAsia="zh-CN"/>
        </w:rPr>
        <w:t>TG</w:t>
      </w:r>
      <w:r>
        <w:rPr>
          <w:rFonts w:hint="default" w:ascii="Arial" w:hAnsi="Arial" w:cs="Arial"/>
          <w:color w:val="auto"/>
        </w:rPr>
        <w:t xml:space="preserve">, or </w:t>
      </w:r>
      <w:r>
        <w:rPr>
          <w:rFonts w:hint="eastAsia" w:ascii="Arial" w:hAnsi="Arial" w:eastAsia="宋体" w:cs="Arial"/>
          <w:color w:val="auto"/>
          <w:lang w:val="en-US" w:eastAsia="zh-CN"/>
        </w:rPr>
        <w:t>TC</w:t>
      </w:r>
      <w:r>
        <w:rPr>
          <w:rFonts w:hint="default" w:ascii="Arial" w:hAnsi="Arial" w:cs="Arial"/>
          <w:color w:val="auto"/>
        </w:rPr>
        <w:t>, respectively, while all other covariates were kept unchanged.</w:t>
      </w:r>
    </w:p>
    <w:p w14:paraId="68481D94">
      <w:pPr>
        <w:widowControl w:val="0"/>
        <w:rPr>
          <w:rFonts w:hint="default" w:ascii="Arial" w:hAnsi="Arial" w:cs="Arial"/>
          <w:color w:val="auto"/>
          <w:szCs w:val="20"/>
        </w:rPr>
      </w:pPr>
      <w:r>
        <w:rPr>
          <w:rFonts w:hint="default" w:ascii="Arial" w:hAnsi="Arial" w:cs="Arial"/>
          <w:b/>
          <w:bCs/>
          <w:color w:val="auto"/>
        </w:rPr>
        <w:t>Abbreviations:</w:t>
      </w:r>
      <w:r>
        <w:rPr>
          <w:rFonts w:hint="default" w:ascii="Arial" w:hAnsi="Arial" w:cs="Arial"/>
          <w:color w:val="auto"/>
        </w:rPr>
        <w:t xml:space="preserve"> </w:t>
      </w:r>
      <w:r>
        <w:rPr>
          <w:rFonts w:hint="default" w:ascii="Arial" w:hAnsi="Arial" w:cs="Arial"/>
          <w:color w:val="auto"/>
          <w:szCs w:val="20"/>
        </w:rPr>
        <w:t>TFQI, thyroid feedback quantile-based index; TSHI, thyroid</w:t>
      </w:r>
    </w:p>
    <w:p w14:paraId="44367FF9">
      <w:pPr>
        <w:widowControl w:val="0"/>
        <w:rPr>
          <w:rFonts w:hint="default" w:ascii="Arial" w:hAnsi="Arial" w:cs="Arial"/>
          <w:color w:val="auto"/>
          <w:lang w:val="en-US"/>
        </w:rPr>
      </w:pPr>
      <w:r>
        <w:rPr>
          <w:rFonts w:hint="default" w:ascii="Arial" w:hAnsi="Arial" w:cs="Arial"/>
          <w:color w:val="auto"/>
          <w:szCs w:val="20"/>
        </w:rPr>
        <w:t>stimulating hormone index; TT4RI, thyrotropin thyroxine resistance index; FT3/FT4, free triiodothyronine/free thyroxine</w:t>
      </w:r>
      <w:r>
        <w:rPr>
          <w:rFonts w:hint="eastAsia" w:eastAsia="宋体" w:cs="Arial"/>
          <w:color w:val="auto"/>
          <w:szCs w:val="20"/>
          <w:lang w:val="en-US" w:eastAsia="zh-CN"/>
        </w:rPr>
        <w:t xml:space="preserve">; </w:t>
      </w:r>
      <w:r>
        <w:rPr>
          <w:rFonts w:hint="eastAsia" w:ascii="Arial" w:hAnsi="Arial" w:eastAsia="宋体" w:cs="Arial"/>
          <w:color w:val="auto"/>
          <w:lang w:val="en-US" w:eastAsia="zh-CN"/>
        </w:rPr>
        <w:t>LDL-C, low-density lipoprotein cholesterol; HDL-C, high-density lipoprotein Cholesterol; TG, triglycerides; TC, total cholesterol.</w:t>
      </w:r>
    </w:p>
    <w:p w14:paraId="5032CB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4253E"/>
    <w:rsid w:val="43E4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Times New Roman" w:cs="Times New Roman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2026-02-10T21:30:00Z</dcterms:created>
  <dc:creator>叶勇健</dc:creator>
  <cp:lastModifiedBy>叶勇健</cp:lastModifiedBy>
  <dcterms:modified xsi:type="dcterms:W3CDTF">2026-02-10T21:38:18Z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2DBA6E604DEE402BBD16E0EDF49909F1_11</vt:lpwstr>
  </property>
  <property fmtid="{D5CDD505-2E9C-101B-9397-08002B2CF9AE}" pid="4" name="KSOTemplateDocerSaveRecord">
    <vt:lpwstr>eyJoZGlkIjoiZjFmZWIzNDg2MmIzZjExOTIzMmViNTBmYTMwYTk0ZWYiLCJ1c2VySWQiOiIyMjU2NTkyMzcifQ==</vt:lpwstr>
  </property>
</Properties>
</file>