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BDFC" w14:textId="21B44A7C" w:rsidR="00EE0017" w:rsidRDefault="00EE0017" w:rsidP="00EE0017">
      <w:pPr>
        <w:widowControl w:val="0"/>
        <w:rPr>
          <w:rFonts w:cs="Arial"/>
          <w:color w:val="000000" w:themeColor="text1"/>
          <w:lang w:eastAsia="zh-TW"/>
        </w:rPr>
      </w:pPr>
      <w:r w:rsidRPr="00B915E4">
        <w:rPr>
          <w:rFonts w:cs="Arial"/>
          <w:b/>
          <w:bCs/>
        </w:rPr>
        <w:t xml:space="preserve">Table </w:t>
      </w:r>
      <w:r w:rsidR="00A96D2D">
        <w:rPr>
          <w:rFonts w:cs="Arial"/>
          <w:b/>
          <w:bCs/>
        </w:rPr>
        <w:t>S</w:t>
      </w:r>
      <w:r w:rsidRPr="00B915E4">
        <w:rPr>
          <w:rFonts w:cs="Arial"/>
          <w:b/>
          <w:bCs/>
        </w:rPr>
        <w:t>1</w:t>
      </w:r>
      <w:r w:rsidRPr="008C42BF">
        <w:rPr>
          <w:rFonts w:cs="Arial"/>
          <w:color w:val="000000" w:themeColor="text1"/>
        </w:rPr>
        <w:t xml:space="preserve"> </w:t>
      </w:r>
      <w:r w:rsidR="008C42BF" w:rsidRPr="008C42BF">
        <w:rPr>
          <w:rFonts w:cs="Arial" w:hint="eastAsia"/>
          <w:color w:val="000000" w:themeColor="text1"/>
          <w:lang w:eastAsia="zh-TW"/>
        </w:rPr>
        <w:t>Missing Percentage</w:t>
      </w:r>
    </w:p>
    <w:tbl>
      <w:tblPr>
        <w:tblStyle w:val="TableGrid"/>
        <w:tblW w:w="8630" w:type="dxa"/>
        <w:tblLook w:val="04A0" w:firstRow="1" w:lastRow="0" w:firstColumn="1" w:lastColumn="0" w:noHBand="0" w:noVBand="1"/>
      </w:tblPr>
      <w:tblGrid>
        <w:gridCol w:w="4315"/>
        <w:gridCol w:w="4315"/>
      </w:tblGrid>
      <w:tr w:rsidR="00BD0FA3" w:rsidRPr="001B02EA" w14:paraId="48FE2332" w14:textId="77777777" w:rsidTr="001B02EA">
        <w:trPr>
          <w:trHeight w:val="330"/>
        </w:trPr>
        <w:tc>
          <w:tcPr>
            <w:tcW w:w="4315" w:type="dxa"/>
          </w:tcPr>
          <w:p w14:paraId="2227582A" w14:textId="647F206A" w:rsidR="00BD0FA3" w:rsidRPr="00F778DE" w:rsidRDefault="00BD0FA3" w:rsidP="001B02EA">
            <w:pPr>
              <w:spacing w:line="240" w:lineRule="auto"/>
              <w:rPr>
                <w:rFonts w:eastAsia="PMingLiU" w:cs="Arial"/>
                <w:b/>
                <w:bCs/>
                <w:color w:val="000000"/>
                <w:szCs w:val="20"/>
                <w:lang w:eastAsia="zh-TW"/>
              </w:rPr>
            </w:pPr>
            <w:r w:rsidRPr="00F778DE">
              <w:rPr>
                <w:rFonts w:eastAsia="PMingLiU" w:cs="Arial"/>
                <w:b/>
                <w:bCs/>
                <w:color w:val="000000"/>
                <w:szCs w:val="20"/>
                <w:lang w:eastAsia="zh-TW"/>
              </w:rPr>
              <w:t>Variable</w:t>
            </w:r>
          </w:p>
        </w:tc>
        <w:tc>
          <w:tcPr>
            <w:tcW w:w="4315" w:type="dxa"/>
            <w:noWrap/>
          </w:tcPr>
          <w:p w14:paraId="5A6DFFE0" w14:textId="5EC13B2E" w:rsidR="00BD0FA3" w:rsidRPr="00F778DE" w:rsidRDefault="009166D4" w:rsidP="00F778DE">
            <w:pPr>
              <w:spacing w:line="240" w:lineRule="auto"/>
              <w:jc w:val="center"/>
              <w:rPr>
                <w:rFonts w:eastAsia="PMingLiU" w:cs="Arial"/>
                <w:b/>
                <w:bCs/>
                <w:color w:val="000000"/>
                <w:szCs w:val="20"/>
                <w:lang w:eastAsia="zh-TW"/>
              </w:rPr>
            </w:pPr>
            <w:r w:rsidRPr="00F778DE">
              <w:rPr>
                <w:rFonts w:eastAsia="PMingLiU" w:cs="Arial"/>
                <w:b/>
                <w:bCs/>
                <w:color w:val="000000"/>
                <w:szCs w:val="20"/>
                <w:lang w:eastAsia="zh-TW"/>
              </w:rPr>
              <w:t xml:space="preserve">Missing </w:t>
            </w:r>
            <w:r w:rsidR="00BD0FA3" w:rsidRPr="00F778DE">
              <w:rPr>
                <w:rFonts w:eastAsia="PMingLiU" w:cs="Arial"/>
                <w:b/>
                <w:bCs/>
                <w:color w:val="000000"/>
                <w:szCs w:val="20"/>
                <w:lang w:eastAsia="zh-TW"/>
              </w:rPr>
              <w:t>Percentage</w:t>
            </w:r>
            <w:r w:rsidRPr="00F778DE">
              <w:rPr>
                <w:rFonts w:eastAsia="PMingLiU" w:cs="Arial"/>
                <w:b/>
                <w:bCs/>
                <w:color w:val="000000"/>
                <w:szCs w:val="20"/>
                <w:lang w:eastAsia="zh-TW"/>
              </w:rPr>
              <w:t xml:space="preserve"> (%)</w:t>
            </w:r>
          </w:p>
        </w:tc>
      </w:tr>
      <w:tr w:rsidR="00BD0FA3" w:rsidRPr="00BD0FA3" w14:paraId="68B13B4A" w14:textId="77777777" w:rsidTr="001B02EA">
        <w:trPr>
          <w:trHeight w:val="330"/>
        </w:trPr>
        <w:tc>
          <w:tcPr>
            <w:tcW w:w="4315" w:type="dxa"/>
            <w:hideMark/>
          </w:tcPr>
          <w:p w14:paraId="74A2314B"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Age</w:t>
            </w:r>
          </w:p>
        </w:tc>
        <w:tc>
          <w:tcPr>
            <w:tcW w:w="4315" w:type="dxa"/>
            <w:noWrap/>
            <w:hideMark/>
          </w:tcPr>
          <w:p w14:paraId="0D49F10D"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0</w:t>
            </w:r>
          </w:p>
        </w:tc>
      </w:tr>
      <w:tr w:rsidR="00BD0FA3" w:rsidRPr="00BD0FA3" w14:paraId="4CDDE992" w14:textId="77777777" w:rsidTr="001B02EA">
        <w:trPr>
          <w:trHeight w:val="330"/>
        </w:trPr>
        <w:tc>
          <w:tcPr>
            <w:tcW w:w="4315" w:type="dxa"/>
            <w:hideMark/>
          </w:tcPr>
          <w:p w14:paraId="723C6F3B"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Sex</w:t>
            </w:r>
          </w:p>
        </w:tc>
        <w:tc>
          <w:tcPr>
            <w:tcW w:w="4315" w:type="dxa"/>
            <w:noWrap/>
            <w:hideMark/>
          </w:tcPr>
          <w:p w14:paraId="1384131D"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0</w:t>
            </w:r>
          </w:p>
        </w:tc>
      </w:tr>
      <w:tr w:rsidR="00BD0FA3" w:rsidRPr="00BD0FA3" w14:paraId="0C46D930" w14:textId="77777777" w:rsidTr="001B02EA">
        <w:trPr>
          <w:trHeight w:val="330"/>
        </w:trPr>
        <w:tc>
          <w:tcPr>
            <w:tcW w:w="4315" w:type="dxa"/>
            <w:hideMark/>
          </w:tcPr>
          <w:p w14:paraId="78565C0E"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BMI</w:t>
            </w:r>
          </w:p>
        </w:tc>
        <w:tc>
          <w:tcPr>
            <w:tcW w:w="4315" w:type="dxa"/>
            <w:noWrap/>
            <w:hideMark/>
          </w:tcPr>
          <w:p w14:paraId="24167302"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2.3</w:t>
            </w:r>
          </w:p>
        </w:tc>
      </w:tr>
      <w:tr w:rsidR="00BD0FA3" w:rsidRPr="00BD0FA3" w14:paraId="1696F048" w14:textId="77777777" w:rsidTr="001B02EA">
        <w:trPr>
          <w:trHeight w:val="330"/>
        </w:trPr>
        <w:tc>
          <w:tcPr>
            <w:tcW w:w="4315" w:type="dxa"/>
            <w:hideMark/>
          </w:tcPr>
          <w:p w14:paraId="1506C887"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WBC 10</w:t>
            </w:r>
            <w:r w:rsidRPr="00BD0FA3">
              <w:rPr>
                <w:rFonts w:eastAsia="PMingLiU" w:cs="Arial"/>
                <w:color w:val="000000"/>
                <w:szCs w:val="20"/>
                <w:vertAlign w:val="superscript"/>
                <w:lang w:eastAsia="zh-TW"/>
              </w:rPr>
              <w:t>3</w:t>
            </w:r>
            <w:r w:rsidRPr="00BD0FA3">
              <w:rPr>
                <w:rFonts w:eastAsia="PMingLiU" w:cs="Arial"/>
                <w:color w:val="000000"/>
                <w:szCs w:val="20"/>
                <w:lang w:eastAsia="zh-TW"/>
              </w:rPr>
              <w:t>/uL</w:t>
            </w:r>
          </w:p>
        </w:tc>
        <w:tc>
          <w:tcPr>
            <w:tcW w:w="4315" w:type="dxa"/>
            <w:noWrap/>
            <w:hideMark/>
          </w:tcPr>
          <w:p w14:paraId="40479E76"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3.43</w:t>
            </w:r>
          </w:p>
        </w:tc>
      </w:tr>
      <w:tr w:rsidR="00BD0FA3" w:rsidRPr="00BD0FA3" w14:paraId="320EE165" w14:textId="77777777" w:rsidTr="001B02EA">
        <w:trPr>
          <w:trHeight w:val="330"/>
        </w:trPr>
        <w:tc>
          <w:tcPr>
            <w:tcW w:w="4315" w:type="dxa"/>
            <w:hideMark/>
          </w:tcPr>
          <w:p w14:paraId="378CC4B6"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Hb g/dL</w:t>
            </w:r>
          </w:p>
        </w:tc>
        <w:tc>
          <w:tcPr>
            <w:tcW w:w="4315" w:type="dxa"/>
            <w:noWrap/>
            <w:hideMark/>
          </w:tcPr>
          <w:p w14:paraId="2E6349B1"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3.43</w:t>
            </w:r>
          </w:p>
        </w:tc>
      </w:tr>
      <w:tr w:rsidR="00BD0FA3" w:rsidRPr="00BD0FA3" w14:paraId="5B402B3D" w14:textId="77777777" w:rsidTr="001B02EA">
        <w:trPr>
          <w:trHeight w:val="330"/>
        </w:trPr>
        <w:tc>
          <w:tcPr>
            <w:tcW w:w="4315" w:type="dxa"/>
            <w:hideMark/>
          </w:tcPr>
          <w:p w14:paraId="7FE9AE36"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PLT 10</w:t>
            </w:r>
            <w:r w:rsidRPr="00BD0FA3">
              <w:rPr>
                <w:rFonts w:eastAsia="PMingLiU" w:cs="Arial"/>
                <w:color w:val="000000"/>
                <w:szCs w:val="20"/>
                <w:vertAlign w:val="superscript"/>
                <w:lang w:eastAsia="zh-TW"/>
              </w:rPr>
              <w:t>9</w:t>
            </w:r>
            <w:r w:rsidRPr="00BD0FA3">
              <w:rPr>
                <w:rFonts w:eastAsia="PMingLiU" w:cs="Arial"/>
                <w:color w:val="000000"/>
                <w:szCs w:val="20"/>
                <w:lang w:eastAsia="zh-TW"/>
              </w:rPr>
              <w:t xml:space="preserve"> /L</w:t>
            </w:r>
          </w:p>
        </w:tc>
        <w:tc>
          <w:tcPr>
            <w:tcW w:w="4315" w:type="dxa"/>
            <w:noWrap/>
            <w:hideMark/>
          </w:tcPr>
          <w:p w14:paraId="42CD5B9B"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3.43</w:t>
            </w:r>
          </w:p>
        </w:tc>
      </w:tr>
      <w:tr w:rsidR="00BD0FA3" w:rsidRPr="00BD0FA3" w14:paraId="5E67713D" w14:textId="77777777" w:rsidTr="001B02EA">
        <w:trPr>
          <w:trHeight w:val="330"/>
        </w:trPr>
        <w:tc>
          <w:tcPr>
            <w:tcW w:w="4315" w:type="dxa"/>
            <w:hideMark/>
          </w:tcPr>
          <w:p w14:paraId="47C7AC82"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BUN mg/dL</w:t>
            </w:r>
          </w:p>
        </w:tc>
        <w:tc>
          <w:tcPr>
            <w:tcW w:w="4315" w:type="dxa"/>
            <w:noWrap/>
            <w:hideMark/>
          </w:tcPr>
          <w:p w14:paraId="5231DFE7"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9.44</w:t>
            </w:r>
          </w:p>
        </w:tc>
      </w:tr>
      <w:tr w:rsidR="00BD0FA3" w:rsidRPr="00BD0FA3" w14:paraId="292467A4" w14:textId="77777777" w:rsidTr="001B02EA">
        <w:trPr>
          <w:trHeight w:val="330"/>
        </w:trPr>
        <w:tc>
          <w:tcPr>
            <w:tcW w:w="4315" w:type="dxa"/>
            <w:hideMark/>
          </w:tcPr>
          <w:p w14:paraId="41702693" w14:textId="27ADB18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Cre</w:t>
            </w:r>
            <w:r w:rsidR="000272BB">
              <w:rPr>
                <w:rFonts w:eastAsia="PMingLiU" w:cs="Arial" w:hint="eastAsia"/>
                <w:color w:val="000000"/>
                <w:szCs w:val="20"/>
                <w:lang w:eastAsia="zh-TW"/>
              </w:rPr>
              <w:t>atinine</w:t>
            </w:r>
            <w:r w:rsidRPr="00BD0FA3">
              <w:rPr>
                <w:rFonts w:eastAsia="PMingLiU" w:cs="Arial"/>
                <w:color w:val="000000"/>
                <w:szCs w:val="20"/>
                <w:lang w:eastAsia="zh-TW"/>
              </w:rPr>
              <w:t xml:space="preserve"> mg/dL</w:t>
            </w:r>
          </w:p>
        </w:tc>
        <w:tc>
          <w:tcPr>
            <w:tcW w:w="4315" w:type="dxa"/>
            <w:noWrap/>
            <w:hideMark/>
          </w:tcPr>
          <w:p w14:paraId="0684A115"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4.92</w:t>
            </w:r>
          </w:p>
        </w:tc>
      </w:tr>
      <w:tr w:rsidR="00BD0FA3" w:rsidRPr="00BD0FA3" w14:paraId="472A51A6" w14:textId="77777777" w:rsidTr="001B02EA">
        <w:trPr>
          <w:trHeight w:val="330"/>
        </w:trPr>
        <w:tc>
          <w:tcPr>
            <w:tcW w:w="4315" w:type="dxa"/>
            <w:hideMark/>
          </w:tcPr>
          <w:p w14:paraId="74A8BD37"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Na mmol/L</w:t>
            </w:r>
          </w:p>
        </w:tc>
        <w:tc>
          <w:tcPr>
            <w:tcW w:w="4315" w:type="dxa"/>
            <w:noWrap/>
            <w:hideMark/>
          </w:tcPr>
          <w:p w14:paraId="086FE17E"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5.53</w:t>
            </w:r>
          </w:p>
        </w:tc>
      </w:tr>
      <w:tr w:rsidR="00BD0FA3" w:rsidRPr="00BD0FA3" w14:paraId="7AA0553A" w14:textId="77777777" w:rsidTr="001B02EA">
        <w:trPr>
          <w:trHeight w:val="330"/>
        </w:trPr>
        <w:tc>
          <w:tcPr>
            <w:tcW w:w="4315" w:type="dxa"/>
            <w:hideMark/>
          </w:tcPr>
          <w:p w14:paraId="3D8B33F5"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K mmol/L</w:t>
            </w:r>
          </w:p>
        </w:tc>
        <w:tc>
          <w:tcPr>
            <w:tcW w:w="4315" w:type="dxa"/>
            <w:noWrap/>
            <w:hideMark/>
          </w:tcPr>
          <w:p w14:paraId="20551200"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5.12</w:t>
            </w:r>
          </w:p>
        </w:tc>
      </w:tr>
      <w:tr w:rsidR="00BD0FA3" w:rsidRPr="00BD0FA3" w14:paraId="6465EF34" w14:textId="77777777" w:rsidTr="001B02EA">
        <w:trPr>
          <w:trHeight w:val="492"/>
        </w:trPr>
        <w:tc>
          <w:tcPr>
            <w:tcW w:w="4315" w:type="dxa"/>
            <w:hideMark/>
          </w:tcPr>
          <w:p w14:paraId="73F279FE" w14:textId="369DDBE4"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Body temperature (</w:t>
            </w:r>
            <w:r w:rsidR="002C518C" w:rsidRPr="002C518C">
              <w:rPr>
                <w:rFonts w:eastAsia="PMingLiU" w:cs="Arial"/>
                <w:color w:val="000000"/>
                <w:szCs w:val="20"/>
                <w:lang w:eastAsia="zh-TW"/>
              </w:rPr>
              <w:t>°C</w:t>
            </w:r>
            <w:r w:rsidRPr="00BD0FA3">
              <w:rPr>
                <w:rFonts w:eastAsia="PMingLiU" w:cs="Arial"/>
                <w:color w:val="000000"/>
                <w:szCs w:val="20"/>
                <w:lang w:eastAsia="zh-TW"/>
              </w:rPr>
              <w:t>)</w:t>
            </w:r>
          </w:p>
        </w:tc>
        <w:tc>
          <w:tcPr>
            <w:tcW w:w="4315" w:type="dxa"/>
            <w:noWrap/>
            <w:hideMark/>
          </w:tcPr>
          <w:p w14:paraId="383F0314"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1.43</w:t>
            </w:r>
          </w:p>
        </w:tc>
      </w:tr>
      <w:tr w:rsidR="00BD0FA3" w:rsidRPr="00BD0FA3" w14:paraId="726D41B1" w14:textId="77777777" w:rsidTr="001B02EA">
        <w:trPr>
          <w:trHeight w:val="330"/>
        </w:trPr>
        <w:tc>
          <w:tcPr>
            <w:tcW w:w="4315" w:type="dxa"/>
            <w:hideMark/>
          </w:tcPr>
          <w:p w14:paraId="35968F09"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Heart rate / min</w:t>
            </w:r>
          </w:p>
        </w:tc>
        <w:tc>
          <w:tcPr>
            <w:tcW w:w="4315" w:type="dxa"/>
            <w:noWrap/>
            <w:hideMark/>
          </w:tcPr>
          <w:p w14:paraId="6BFA0A62"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1.41</w:t>
            </w:r>
          </w:p>
        </w:tc>
      </w:tr>
      <w:tr w:rsidR="00BD0FA3" w:rsidRPr="00BD0FA3" w14:paraId="49EE48E6" w14:textId="77777777" w:rsidTr="001B02EA">
        <w:trPr>
          <w:trHeight w:val="330"/>
        </w:trPr>
        <w:tc>
          <w:tcPr>
            <w:tcW w:w="4315" w:type="dxa"/>
            <w:hideMark/>
          </w:tcPr>
          <w:p w14:paraId="647E1950"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Respiratory rate / min</w:t>
            </w:r>
          </w:p>
        </w:tc>
        <w:tc>
          <w:tcPr>
            <w:tcW w:w="4315" w:type="dxa"/>
            <w:noWrap/>
            <w:hideMark/>
          </w:tcPr>
          <w:p w14:paraId="549DEF33"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1.47</w:t>
            </w:r>
          </w:p>
        </w:tc>
      </w:tr>
      <w:tr w:rsidR="00BD0FA3" w:rsidRPr="00BD0FA3" w14:paraId="7B30DB85" w14:textId="77777777" w:rsidTr="001B02EA">
        <w:trPr>
          <w:trHeight w:val="330"/>
        </w:trPr>
        <w:tc>
          <w:tcPr>
            <w:tcW w:w="4315" w:type="dxa"/>
            <w:hideMark/>
          </w:tcPr>
          <w:p w14:paraId="556F836F"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SBP mmHg</w:t>
            </w:r>
          </w:p>
        </w:tc>
        <w:tc>
          <w:tcPr>
            <w:tcW w:w="4315" w:type="dxa"/>
            <w:noWrap/>
            <w:hideMark/>
          </w:tcPr>
          <w:p w14:paraId="32121809"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1.45</w:t>
            </w:r>
          </w:p>
        </w:tc>
      </w:tr>
      <w:tr w:rsidR="00BD0FA3" w:rsidRPr="00BD0FA3" w14:paraId="5FE848B6" w14:textId="77777777" w:rsidTr="001B02EA">
        <w:trPr>
          <w:trHeight w:val="330"/>
        </w:trPr>
        <w:tc>
          <w:tcPr>
            <w:tcW w:w="4315" w:type="dxa"/>
            <w:hideMark/>
          </w:tcPr>
          <w:p w14:paraId="1C627DBF"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DBP mmHg</w:t>
            </w:r>
          </w:p>
        </w:tc>
        <w:tc>
          <w:tcPr>
            <w:tcW w:w="4315" w:type="dxa"/>
            <w:noWrap/>
            <w:hideMark/>
          </w:tcPr>
          <w:p w14:paraId="097EC8C1"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1.45</w:t>
            </w:r>
          </w:p>
        </w:tc>
      </w:tr>
      <w:tr w:rsidR="00BD0FA3" w:rsidRPr="00BD0FA3" w14:paraId="74924C97" w14:textId="77777777" w:rsidTr="001B02EA">
        <w:trPr>
          <w:trHeight w:val="330"/>
        </w:trPr>
        <w:tc>
          <w:tcPr>
            <w:tcW w:w="4315" w:type="dxa"/>
            <w:hideMark/>
          </w:tcPr>
          <w:p w14:paraId="6D3A5B96" w14:textId="7777777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MBP mmHg</w:t>
            </w:r>
          </w:p>
        </w:tc>
        <w:tc>
          <w:tcPr>
            <w:tcW w:w="4315" w:type="dxa"/>
            <w:noWrap/>
            <w:hideMark/>
          </w:tcPr>
          <w:p w14:paraId="72D871CA"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1.45</w:t>
            </w:r>
          </w:p>
        </w:tc>
      </w:tr>
      <w:tr w:rsidR="00BD0FA3" w:rsidRPr="00BD0FA3" w14:paraId="6DA04211" w14:textId="77777777" w:rsidTr="001B02EA">
        <w:trPr>
          <w:trHeight w:val="330"/>
        </w:trPr>
        <w:tc>
          <w:tcPr>
            <w:tcW w:w="4315" w:type="dxa"/>
            <w:hideMark/>
          </w:tcPr>
          <w:p w14:paraId="2B912096" w14:textId="06907395" w:rsidR="00BD0FA3" w:rsidRPr="00BD0FA3" w:rsidRDefault="002E5F10" w:rsidP="001B02EA">
            <w:pPr>
              <w:spacing w:line="240" w:lineRule="auto"/>
              <w:rPr>
                <w:rFonts w:eastAsia="PMingLiU" w:cs="Arial"/>
                <w:color w:val="000000"/>
                <w:szCs w:val="20"/>
                <w:lang w:eastAsia="zh-TW"/>
              </w:rPr>
            </w:pPr>
            <w:r w:rsidRPr="002E5F10">
              <w:rPr>
                <w:rFonts w:eastAsia="PMingLiU" w:cs="Arial"/>
                <w:color w:val="000000"/>
                <w:szCs w:val="20"/>
                <w:lang w:eastAsia="zh-TW"/>
              </w:rPr>
              <w:t>Echocardiographic parameters</w:t>
            </w:r>
          </w:p>
        </w:tc>
        <w:tc>
          <w:tcPr>
            <w:tcW w:w="4315" w:type="dxa"/>
            <w:noWrap/>
            <w:hideMark/>
          </w:tcPr>
          <w:p w14:paraId="799BEB56"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82.29</w:t>
            </w:r>
          </w:p>
        </w:tc>
      </w:tr>
      <w:tr w:rsidR="00BD0FA3" w:rsidRPr="00BD0FA3" w14:paraId="163FBA78" w14:textId="77777777" w:rsidTr="001B02EA">
        <w:trPr>
          <w:trHeight w:val="330"/>
        </w:trPr>
        <w:tc>
          <w:tcPr>
            <w:tcW w:w="4315" w:type="dxa"/>
            <w:hideMark/>
          </w:tcPr>
          <w:p w14:paraId="381381E2" w14:textId="6AB365DD"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ALT</w:t>
            </w:r>
            <w:r w:rsidR="00575EEF">
              <w:rPr>
                <w:rFonts w:eastAsia="PMingLiU" w:cs="Arial" w:hint="eastAsia"/>
                <w:color w:val="000000"/>
                <w:szCs w:val="20"/>
                <w:lang w:eastAsia="zh-TW"/>
              </w:rPr>
              <w:t xml:space="preserve"> </w:t>
            </w:r>
            <w:r w:rsidR="00575EEF" w:rsidRPr="00575EEF">
              <w:rPr>
                <w:rFonts w:eastAsia="PMingLiU" w:cs="Arial"/>
                <w:color w:val="000000"/>
                <w:szCs w:val="20"/>
                <w:lang w:eastAsia="zh-TW"/>
              </w:rPr>
              <w:t>U/L</w:t>
            </w:r>
          </w:p>
        </w:tc>
        <w:tc>
          <w:tcPr>
            <w:tcW w:w="4315" w:type="dxa"/>
            <w:noWrap/>
            <w:hideMark/>
          </w:tcPr>
          <w:p w14:paraId="5F6A90BE"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25</w:t>
            </w:r>
          </w:p>
        </w:tc>
      </w:tr>
      <w:tr w:rsidR="00BD0FA3" w:rsidRPr="00BD0FA3" w14:paraId="23B5C1CA" w14:textId="77777777" w:rsidTr="001B02EA">
        <w:trPr>
          <w:trHeight w:val="330"/>
        </w:trPr>
        <w:tc>
          <w:tcPr>
            <w:tcW w:w="4315" w:type="dxa"/>
            <w:hideMark/>
          </w:tcPr>
          <w:p w14:paraId="25E14139" w14:textId="0BA1DFE7"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AST</w:t>
            </w:r>
            <w:r w:rsidR="008225E6">
              <w:rPr>
                <w:rFonts w:eastAsia="PMingLiU" w:cs="Arial" w:hint="eastAsia"/>
                <w:color w:val="000000"/>
                <w:szCs w:val="20"/>
                <w:lang w:eastAsia="zh-TW"/>
              </w:rPr>
              <w:t xml:space="preserve"> </w:t>
            </w:r>
            <w:r w:rsidR="008225E6" w:rsidRPr="008225E6">
              <w:rPr>
                <w:rFonts w:eastAsia="PMingLiU" w:cs="Arial"/>
                <w:color w:val="000000"/>
                <w:szCs w:val="20"/>
                <w:lang w:eastAsia="zh-TW"/>
              </w:rPr>
              <w:t>U/L</w:t>
            </w:r>
          </w:p>
        </w:tc>
        <w:tc>
          <w:tcPr>
            <w:tcW w:w="4315" w:type="dxa"/>
            <w:noWrap/>
            <w:hideMark/>
          </w:tcPr>
          <w:p w14:paraId="4D8FE0F4"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15</w:t>
            </w:r>
          </w:p>
        </w:tc>
      </w:tr>
      <w:tr w:rsidR="00BD0FA3" w:rsidRPr="00BD0FA3" w14:paraId="37B6F07B" w14:textId="77777777" w:rsidTr="001B02EA">
        <w:trPr>
          <w:trHeight w:val="330"/>
        </w:trPr>
        <w:tc>
          <w:tcPr>
            <w:tcW w:w="4315" w:type="dxa"/>
            <w:noWrap/>
            <w:hideMark/>
          </w:tcPr>
          <w:p w14:paraId="0ED8315C" w14:textId="7B52316A"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Total bilirubin</w:t>
            </w:r>
            <w:r w:rsidR="00CE4831">
              <w:rPr>
                <w:rFonts w:eastAsia="PMingLiU" w:cs="Arial" w:hint="eastAsia"/>
                <w:color w:val="000000"/>
                <w:szCs w:val="20"/>
                <w:lang w:eastAsia="zh-TW"/>
              </w:rPr>
              <w:t xml:space="preserve"> </w:t>
            </w:r>
            <w:r w:rsidR="00CE4831" w:rsidRPr="00CE4831">
              <w:rPr>
                <w:rFonts w:eastAsia="PMingLiU" w:cs="Arial"/>
                <w:color w:val="000000"/>
                <w:szCs w:val="20"/>
                <w:lang w:eastAsia="zh-TW"/>
              </w:rPr>
              <w:t>mg/dL</w:t>
            </w:r>
          </w:p>
        </w:tc>
        <w:tc>
          <w:tcPr>
            <w:tcW w:w="4315" w:type="dxa"/>
            <w:noWrap/>
            <w:hideMark/>
          </w:tcPr>
          <w:p w14:paraId="16EA5B22"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28</w:t>
            </w:r>
          </w:p>
        </w:tc>
      </w:tr>
      <w:tr w:rsidR="00BD0FA3" w:rsidRPr="00BD0FA3" w14:paraId="4D97AC57" w14:textId="77777777" w:rsidTr="001B02EA">
        <w:trPr>
          <w:trHeight w:val="330"/>
        </w:trPr>
        <w:tc>
          <w:tcPr>
            <w:tcW w:w="4315" w:type="dxa"/>
            <w:hideMark/>
          </w:tcPr>
          <w:p w14:paraId="00348351" w14:textId="76AE14F9" w:rsidR="00BD0FA3" w:rsidRPr="00BD0FA3" w:rsidRDefault="00BD0FA3" w:rsidP="001B02EA">
            <w:pPr>
              <w:spacing w:line="240" w:lineRule="auto"/>
              <w:rPr>
                <w:rFonts w:eastAsia="PMingLiU" w:cs="Arial"/>
                <w:color w:val="000000"/>
                <w:szCs w:val="20"/>
                <w:lang w:eastAsia="zh-TW"/>
              </w:rPr>
            </w:pPr>
            <w:r w:rsidRPr="00BD0FA3">
              <w:rPr>
                <w:rFonts w:eastAsia="PMingLiU" w:cs="Arial"/>
                <w:color w:val="000000"/>
                <w:szCs w:val="20"/>
                <w:lang w:eastAsia="zh-TW"/>
              </w:rPr>
              <w:t>Alb</w:t>
            </w:r>
            <w:r w:rsidR="00A321B7">
              <w:rPr>
                <w:rFonts w:eastAsia="PMingLiU" w:cs="Arial" w:hint="eastAsia"/>
                <w:color w:val="000000"/>
                <w:szCs w:val="20"/>
                <w:lang w:eastAsia="zh-TW"/>
              </w:rPr>
              <w:t xml:space="preserve"> </w:t>
            </w:r>
            <w:r w:rsidR="00A321B7" w:rsidRPr="00A321B7">
              <w:rPr>
                <w:rFonts w:eastAsia="PMingLiU" w:cs="Arial"/>
                <w:color w:val="000000"/>
                <w:szCs w:val="20"/>
                <w:lang w:eastAsia="zh-TW"/>
              </w:rPr>
              <w:t>g/dL</w:t>
            </w:r>
          </w:p>
        </w:tc>
        <w:tc>
          <w:tcPr>
            <w:tcW w:w="4315" w:type="dxa"/>
            <w:noWrap/>
            <w:hideMark/>
          </w:tcPr>
          <w:p w14:paraId="799E6BBA" w14:textId="77777777" w:rsidR="00BD0FA3" w:rsidRPr="00BD0FA3" w:rsidRDefault="00BD0FA3" w:rsidP="00F778DE">
            <w:pPr>
              <w:spacing w:line="240" w:lineRule="auto"/>
              <w:jc w:val="center"/>
              <w:rPr>
                <w:rFonts w:eastAsia="PMingLiU" w:cs="Arial"/>
                <w:color w:val="000000"/>
                <w:szCs w:val="20"/>
                <w:lang w:eastAsia="zh-TW"/>
              </w:rPr>
            </w:pPr>
            <w:r w:rsidRPr="00BD0FA3">
              <w:rPr>
                <w:rFonts w:eastAsia="PMingLiU" w:cs="Arial"/>
                <w:color w:val="000000"/>
                <w:szCs w:val="20"/>
                <w:lang w:eastAsia="zh-TW"/>
              </w:rPr>
              <w:t>48</w:t>
            </w:r>
          </w:p>
        </w:tc>
      </w:tr>
    </w:tbl>
    <w:p w14:paraId="5B631A74" w14:textId="77777777" w:rsidR="00B53AA4" w:rsidRDefault="00B53AA4" w:rsidP="001B02EA">
      <w:pPr>
        <w:rPr>
          <w:rFonts w:cs="Arial"/>
          <w:b/>
          <w:szCs w:val="20"/>
        </w:rPr>
      </w:pPr>
    </w:p>
    <w:p w14:paraId="36AD015D" w14:textId="77777777" w:rsidR="00F211FE" w:rsidRPr="00B915E4" w:rsidRDefault="00F211FE" w:rsidP="00F211FE">
      <w:pPr>
        <w:widowControl w:val="0"/>
        <w:rPr>
          <w:rFonts w:cs="Arial"/>
          <w:szCs w:val="20"/>
        </w:rPr>
      </w:pPr>
      <w:bookmarkStart w:id="0" w:name="_Hlk210942858"/>
      <w:r w:rsidRPr="00B915E4">
        <w:rPr>
          <w:rFonts w:cs="Arial"/>
          <w:b/>
          <w:szCs w:val="20"/>
        </w:rPr>
        <w:t>Notes:</w:t>
      </w:r>
      <w:bookmarkEnd w:id="0"/>
      <w:r w:rsidRPr="00B915E4">
        <w:rPr>
          <w:rFonts w:cs="Arial"/>
          <w:szCs w:val="20"/>
        </w:rPr>
        <w:t xml:space="preserve"> </w:t>
      </w:r>
      <w:r w:rsidRPr="008C4B44">
        <w:rPr>
          <w:rFonts w:cs="Arial"/>
          <w:szCs w:val="20"/>
        </w:rPr>
        <w:t>Missing percentage values indicate the proportion of cases with unavailable data for each variable used in model development.</w:t>
      </w:r>
    </w:p>
    <w:p w14:paraId="1ED3D6E4" w14:textId="65473AE4" w:rsidR="00B13DE9" w:rsidRDefault="00F211FE" w:rsidP="00F211FE">
      <w:pPr>
        <w:rPr>
          <w:rFonts w:cs="Arial"/>
          <w:szCs w:val="20"/>
        </w:rPr>
      </w:pPr>
      <w:bookmarkStart w:id="1" w:name="_Hlk210942867"/>
      <w:r w:rsidRPr="00B915E4">
        <w:rPr>
          <w:rFonts w:cs="Arial"/>
          <w:b/>
          <w:szCs w:val="20"/>
        </w:rPr>
        <w:t>Abbreviations:</w:t>
      </w:r>
      <w:r w:rsidRPr="00B915E4">
        <w:rPr>
          <w:rFonts w:cs="Arial"/>
          <w:szCs w:val="20"/>
        </w:rPr>
        <w:t xml:space="preserve"> </w:t>
      </w:r>
      <w:bookmarkEnd w:id="1"/>
      <w:r w:rsidRPr="008C4B44">
        <w:rPr>
          <w:rFonts w:cs="Arial"/>
          <w:szCs w:val="20"/>
        </w:rPr>
        <w:t xml:space="preserve">Alb, albumin; ALT, alanine aminotransferase; AST, aspartate aminotransferase; BMI, body mass index; BUN, blood urea nitrogen; Cre, </w:t>
      </w:r>
      <w:r w:rsidR="00357FE9">
        <w:rPr>
          <w:rFonts w:cs="Arial" w:hint="eastAsia"/>
          <w:szCs w:val="20"/>
          <w:lang w:eastAsia="zh-TW"/>
        </w:rPr>
        <w:t xml:space="preserve">serum </w:t>
      </w:r>
      <w:r w:rsidRPr="008C4B44">
        <w:rPr>
          <w:rFonts w:cs="Arial"/>
          <w:szCs w:val="20"/>
        </w:rPr>
        <w:t xml:space="preserve">creatinine; DBP, diastolic blood pressure; Hb, hemoglobin; K, </w:t>
      </w:r>
      <w:r w:rsidR="005026C8">
        <w:rPr>
          <w:rFonts w:cs="Arial" w:hint="eastAsia"/>
          <w:szCs w:val="20"/>
          <w:lang w:eastAsia="zh-TW"/>
        </w:rPr>
        <w:t xml:space="preserve">serum </w:t>
      </w:r>
      <w:r w:rsidRPr="008C4B44">
        <w:rPr>
          <w:rFonts w:cs="Arial"/>
          <w:szCs w:val="20"/>
        </w:rPr>
        <w:t xml:space="preserve">potassium; MBP, mean blood pressure; Na, </w:t>
      </w:r>
      <w:r w:rsidR="005026C8">
        <w:rPr>
          <w:rFonts w:cs="Arial" w:hint="eastAsia"/>
          <w:szCs w:val="20"/>
          <w:lang w:eastAsia="zh-TW"/>
        </w:rPr>
        <w:t xml:space="preserve">serum </w:t>
      </w:r>
      <w:r w:rsidRPr="008C4B44">
        <w:rPr>
          <w:rFonts w:cs="Arial"/>
          <w:szCs w:val="20"/>
        </w:rPr>
        <w:t>sodium; PLT, platelet count; SBP, systolic blood pressure; WBC, white blood cell count.</w:t>
      </w:r>
    </w:p>
    <w:p w14:paraId="76D95C46" w14:textId="77777777" w:rsidR="00A96D2D" w:rsidRDefault="00A96D2D" w:rsidP="00F211FE">
      <w:pPr>
        <w:rPr>
          <w:rFonts w:cs="Arial"/>
          <w:szCs w:val="20"/>
        </w:rPr>
      </w:pPr>
    </w:p>
    <w:p w14:paraId="26530955" w14:textId="77777777" w:rsidR="00A96D2D" w:rsidRPr="00B915E4" w:rsidRDefault="00A96D2D" w:rsidP="00A96D2D">
      <w:pPr>
        <w:pStyle w:val="Heading1"/>
        <w:rPr>
          <w:lang w:eastAsia="zh-TW"/>
        </w:rPr>
      </w:pPr>
      <w:r>
        <w:rPr>
          <w:rFonts w:hint="eastAsia"/>
          <w:lang w:eastAsia="zh-TW"/>
        </w:rPr>
        <w:lastRenderedPageBreak/>
        <w:t>Supplemen</w:t>
      </w:r>
      <w:r>
        <w:rPr>
          <w:lang w:eastAsia="zh-TW"/>
        </w:rPr>
        <w:t>tary Material 1:</w:t>
      </w:r>
      <w:r>
        <w:rPr>
          <w:rFonts w:hint="eastAsia"/>
          <w:lang w:eastAsia="zh-TW"/>
        </w:rPr>
        <w:t xml:space="preserve"> Introduction of five predictive models</w:t>
      </w:r>
    </w:p>
    <w:p w14:paraId="5A99C011" w14:textId="77777777" w:rsidR="00A96D2D" w:rsidRDefault="00A96D2D" w:rsidP="00A96D2D">
      <w:pPr>
        <w:ind w:firstLine="720"/>
      </w:pPr>
      <w:r>
        <w:t>Five supervised learning algorithms were applied in this study to develop predictive models for in-hospital cardiac arrest: Logistic Regression, Decision Tree, Random Forest, XGBoost, and Multivariate Adaptive Regression Splines (MARS). The principles of each model are summarized below.</w:t>
      </w:r>
    </w:p>
    <w:p w14:paraId="576A433C" w14:textId="77777777" w:rsidR="00A96D2D" w:rsidRPr="00B915E4" w:rsidRDefault="00A96D2D" w:rsidP="00A96D2D">
      <w:pPr>
        <w:pStyle w:val="Heading2"/>
        <w:rPr>
          <w:b w:val="0"/>
          <w:bCs w:val="0"/>
          <w:i w:val="0"/>
          <w:iCs w:val="0"/>
          <w:color w:val="FF0000"/>
          <w:sz w:val="20"/>
        </w:rPr>
      </w:pPr>
      <w:r>
        <w:t>Logistic Regression</w:t>
      </w:r>
    </w:p>
    <w:p w14:paraId="22A246B1" w14:textId="77777777" w:rsidR="00A96D2D" w:rsidRDefault="00A96D2D" w:rsidP="00A96D2D">
      <w:pPr>
        <w:ind w:firstLine="720"/>
      </w:pPr>
      <w:r>
        <w:t>Logistic regression is a well-established statistical approach widely used for classification tasks. Although it shares conceptual similarities with linear regression in modeling the relationship between dependent and independent variables, logistic regression differs in that the dependent variable is categorical rather than continuous. This characteristic makes it particularly suitable for binary classification problems, such as distinguishing between the presence or absence of a condition-an approach conceptually related to discriminant analysis.</w:t>
      </w:r>
    </w:p>
    <w:p w14:paraId="467EAB5F" w14:textId="77777777" w:rsidR="00A96D2D" w:rsidRDefault="00A96D2D" w:rsidP="00A96D2D">
      <w:pPr>
        <w:ind w:firstLine="720"/>
      </w:pPr>
      <w:r>
        <w:t>In medical research, logistic regression is commonly applied to estimate disease probabilities and examine associations between risk factors and clinical outcomes. In the field of machine learning, it also serves as a fundamental baseline model for classification, providing a reference point for evaluating the performance of more advanced algorithms.</w:t>
      </w:r>
    </w:p>
    <w:p w14:paraId="048148C3" w14:textId="77777777" w:rsidR="00A96D2D" w:rsidRPr="00071C4E" w:rsidRDefault="00A96D2D" w:rsidP="00A96D2D">
      <w:pPr>
        <w:pStyle w:val="Heading2"/>
        <w:rPr>
          <w:b w:val="0"/>
          <w:bCs w:val="0"/>
          <w:i w:val="0"/>
          <w:iCs w:val="0"/>
          <w:color w:val="FF0000"/>
          <w:sz w:val="20"/>
        </w:rPr>
      </w:pPr>
      <w:r>
        <w:t>Decision Tree</w:t>
      </w:r>
    </w:p>
    <w:p w14:paraId="6ED10DDF" w14:textId="77777777" w:rsidR="00A96D2D" w:rsidRDefault="00A96D2D" w:rsidP="00A96D2D">
      <w:pPr>
        <w:ind w:firstLine="720"/>
      </w:pPr>
      <w:r>
        <w:t xml:space="preserve">Decision trees are supervised learning models that use a hierarchical, tree-like structure to perform both classification and regression tasks. When the target variable is continuous, the model functions as a regression tree; when it is categorical, it is referred to as a classification tree. A decision tree is constructed through a process of recursive binary splitting, starting from a root node that represents the initial decision point. From there, branches extend to leaf nodes, with each branch corresponding to a specific decision rule and each leaf node representing </w:t>
      </w:r>
      <w:proofErr w:type="gramStart"/>
      <w:r>
        <w:t xml:space="preserve">a final </w:t>
      </w:r>
      <w:r>
        <w:lastRenderedPageBreak/>
        <w:t>outcome</w:t>
      </w:r>
      <w:proofErr w:type="gramEnd"/>
      <w:r>
        <w:t xml:space="preserve">. This hierarchical design mirrors the sequential, rule-based decision-making process characteristic of the model. </w:t>
      </w:r>
    </w:p>
    <w:p w14:paraId="650E0438" w14:textId="77777777" w:rsidR="00A96D2D" w:rsidRPr="00071C4E" w:rsidRDefault="00A96D2D" w:rsidP="00A96D2D">
      <w:pPr>
        <w:pStyle w:val="Heading2"/>
        <w:rPr>
          <w:b w:val="0"/>
          <w:bCs w:val="0"/>
          <w:i w:val="0"/>
          <w:iCs w:val="0"/>
          <w:color w:val="FF0000"/>
          <w:sz w:val="20"/>
        </w:rPr>
      </w:pPr>
      <w:r>
        <w:t>Random Forest</w:t>
      </w:r>
    </w:p>
    <w:p w14:paraId="65C4BADF" w14:textId="77777777" w:rsidR="00A96D2D" w:rsidRDefault="00A96D2D" w:rsidP="00A96D2D">
      <w:pPr>
        <w:ind w:firstLine="720"/>
      </w:pPr>
      <w:r>
        <w:t xml:space="preserve">Random Forest is an ensemble learning method developed to enhance the predictive performance and stability of decision trees. By constructing </w:t>
      </w:r>
      <w:proofErr w:type="gramStart"/>
      <w:r>
        <w:t>a large number of</w:t>
      </w:r>
      <w:proofErr w:type="gramEnd"/>
      <w:r>
        <w:t xml:space="preserve"> individual trees and introducing randomization during both data sampling and feature selection, Random Forest effectively mitigates the high variance commonly associated with single decision trees. The ensemble then aggregates the predictions of individual trees-typically through majority voting in classification tasks or averaging in regression tasks-to produce a more robust and accurate overall prediction.</w:t>
      </w:r>
    </w:p>
    <w:p w14:paraId="4741F7BE" w14:textId="77777777" w:rsidR="00A96D2D" w:rsidRDefault="00A96D2D" w:rsidP="00A96D2D">
      <w:pPr>
        <w:ind w:firstLine="720"/>
      </w:pPr>
      <w:r>
        <w:t>The Random Forest algorithm employs the bootstrap aggregating (Bagging) technique, whereby multiple training datasets are generated from random samples drawn with replacement. Approximately 40% of the original data, known as the Out-of-Bag (OOB) subset, is excluded from each bootstrap sample. This OOB data is used both to estimate the model’s generalization error and to assess the relative importance of each feature, providing valuable insights into the contribution of predictors within the model.</w:t>
      </w:r>
    </w:p>
    <w:p w14:paraId="48CA2218" w14:textId="77777777" w:rsidR="00A96D2D" w:rsidRPr="00CF75C9" w:rsidRDefault="00A96D2D" w:rsidP="00A96D2D">
      <w:pPr>
        <w:pStyle w:val="Heading2"/>
        <w:rPr>
          <w:b w:val="0"/>
          <w:bCs w:val="0"/>
          <w:i w:val="0"/>
          <w:iCs w:val="0"/>
          <w:color w:val="FF0000"/>
          <w:sz w:val="20"/>
        </w:rPr>
      </w:pPr>
      <w:r>
        <w:t xml:space="preserve">XGBoost </w:t>
      </w:r>
    </w:p>
    <w:p w14:paraId="0D8AC60B" w14:textId="77777777" w:rsidR="00A96D2D" w:rsidRDefault="00A96D2D" w:rsidP="00A96D2D">
      <w:pPr>
        <w:ind w:firstLine="720"/>
      </w:pPr>
      <w:r>
        <w:t>XGBoost (</w:t>
      </w:r>
      <w:proofErr w:type="gramStart"/>
      <w:r>
        <w:t>eXtreme</w:t>
      </w:r>
      <w:proofErr w:type="gramEnd"/>
      <w:r>
        <w:t xml:space="preserve"> Gradient Boosting) is an advanced implementation of the gradient boosting framework designed to optimize both computational efficiency and predictive performance. As an ensemble learning method, it integrates multiple weak learners-typically decision trees-into a strong predictive model through iterative boosting. XGBoost is distinguished by its efficiency, scalability, and flexibility, incorporating features such as parallel processing, automated handling of missing data, and regularization techniques that help prevent overfitting. These characteristics make it highly effective for both classification and regression tasks across a wide range of applications.</w:t>
      </w:r>
    </w:p>
    <w:p w14:paraId="1FDC46E0" w14:textId="77777777" w:rsidR="00A96D2D" w:rsidRDefault="00A96D2D" w:rsidP="00A96D2D">
      <w:pPr>
        <w:ind w:firstLine="720"/>
      </w:pPr>
      <w:r>
        <w:lastRenderedPageBreak/>
        <w:t>XGBoost has gained broad recognition for its outstanding performance in structured data analysis, consistently achieving state-of-the-art results in machine learning benchmarks and competitions. Its versatility has led to successful applications in fields such as healthcare, finance, and marketing, where it has been employed for tasks including disease risk prediction, fraud detection, and customer segmentation.</w:t>
      </w:r>
    </w:p>
    <w:p w14:paraId="6097BFA9" w14:textId="77777777" w:rsidR="00A96D2D" w:rsidRPr="00CF75C9" w:rsidRDefault="00A96D2D" w:rsidP="00A96D2D">
      <w:pPr>
        <w:pStyle w:val="Heading2"/>
        <w:rPr>
          <w:b w:val="0"/>
          <w:bCs w:val="0"/>
          <w:i w:val="0"/>
          <w:iCs w:val="0"/>
          <w:color w:val="FF0000"/>
          <w:sz w:val="20"/>
        </w:rPr>
      </w:pPr>
      <w:r>
        <w:t xml:space="preserve">MARS </w:t>
      </w:r>
    </w:p>
    <w:p w14:paraId="38A0B0C1" w14:textId="77777777" w:rsidR="00A96D2D" w:rsidRDefault="00A96D2D" w:rsidP="00A96D2D">
      <w:pPr>
        <w:ind w:firstLine="720"/>
      </w:pPr>
      <w:r>
        <w:t>Multivariate Adaptive Regression Splines (MARS) is a nonlinear regression technique that extends traditional spline regression through a flexible and adaptive modeling approach. MARS constructs predictive models using multiple piecewise linear segments, or splines, each characterized by distinct slopes. The algorithm partitions the data space into regions by treating each observation as a potential “knot,” enabling localized linear relationships to be fitted iteratively within each segment.</w:t>
      </w:r>
    </w:p>
    <w:p w14:paraId="07A9A758" w14:textId="77777777" w:rsidR="00A96D2D" w:rsidRPr="00B915E4" w:rsidRDefault="00A96D2D" w:rsidP="00A96D2D">
      <w:pPr>
        <w:ind w:firstLine="720"/>
      </w:pPr>
      <w:r>
        <w:t xml:space="preserve">The MARS modeling process consists of two main stages. In the forward selection phase, the algorithm generates a comprehensive set of candidate basis functions and their corresponding knots by progressively adding terms that improve model </w:t>
      </w:r>
      <w:proofErr w:type="gramStart"/>
      <w:r>
        <w:t>fit</w:t>
      </w:r>
      <w:proofErr w:type="gramEnd"/>
      <w:r>
        <w:t>. This is followed by a backward elimination phase, which prunes less significant terms to prevent overfitting and identify the most informative predictors. Through this iterative process, MARS achieves an optimal balance between model complexity and predictive accuracy.</w:t>
      </w:r>
      <w:r w:rsidRPr="00B915E4">
        <w:t xml:space="preserve"> </w:t>
      </w:r>
    </w:p>
    <w:p w14:paraId="330650D5" w14:textId="77777777" w:rsidR="00A96D2D" w:rsidRPr="001B02EA" w:rsidRDefault="00A96D2D" w:rsidP="00F211FE">
      <w:pPr>
        <w:rPr>
          <w:rFonts w:cs="Arial"/>
          <w:szCs w:val="20"/>
        </w:rPr>
      </w:pPr>
    </w:p>
    <w:sectPr w:rsidR="00A96D2D" w:rsidRPr="001B02EA" w:rsidSect="00C9461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610C" w14:textId="77777777" w:rsidR="00F37246" w:rsidRPr="00B915E4" w:rsidRDefault="00F37246">
      <w:r w:rsidRPr="00B915E4">
        <w:separator/>
      </w:r>
    </w:p>
  </w:endnote>
  <w:endnote w:type="continuationSeparator" w:id="0">
    <w:p w14:paraId="4EEFE206" w14:textId="77777777" w:rsidR="00F37246" w:rsidRPr="00B915E4" w:rsidRDefault="00F37246">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79E1050D" w:rsidR="00740F67" w:rsidRPr="00B915E4" w:rsidRDefault="0074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9AFE" w14:textId="77777777" w:rsidR="00F37246" w:rsidRPr="00B915E4" w:rsidRDefault="00F37246">
      <w:r w:rsidRPr="00B915E4">
        <w:separator/>
      </w:r>
    </w:p>
  </w:footnote>
  <w:footnote w:type="continuationSeparator" w:id="0">
    <w:p w14:paraId="35F1AE85" w14:textId="77777777" w:rsidR="00F37246" w:rsidRPr="00B915E4" w:rsidRDefault="00F37246">
      <w:r w:rsidRPr="00B91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340D" w14:textId="77777777" w:rsidR="00593CE4" w:rsidRDefault="00593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4254" w14:textId="77777777" w:rsidR="00593CE4" w:rsidRDefault="00593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CD3D" w14:textId="77777777" w:rsidR="00593CE4" w:rsidRDefault="00593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272BB"/>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59ED"/>
    <w:rsid w:val="000D3E37"/>
    <w:rsid w:val="000D5360"/>
    <w:rsid w:val="000E6B48"/>
    <w:rsid w:val="000E7758"/>
    <w:rsid w:val="000F3098"/>
    <w:rsid w:val="00117777"/>
    <w:rsid w:val="00124429"/>
    <w:rsid w:val="00127CD5"/>
    <w:rsid w:val="001337FB"/>
    <w:rsid w:val="0017004E"/>
    <w:rsid w:val="00170F20"/>
    <w:rsid w:val="00173279"/>
    <w:rsid w:val="00191F49"/>
    <w:rsid w:val="001B02EA"/>
    <w:rsid w:val="001E7479"/>
    <w:rsid w:val="00203209"/>
    <w:rsid w:val="002068C9"/>
    <w:rsid w:val="00212E22"/>
    <w:rsid w:val="00217D65"/>
    <w:rsid w:val="0022632E"/>
    <w:rsid w:val="00240E76"/>
    <w:rsid w:val="00246A32"/>
    <w:rsid w:val="00253E03"/>
    <w:rsid w:val="00270A96"/>
    <w:rsid w:val="00272487"/>
    <w:rsid w:val="00285503"/>
    <w:rsid w:val="00286E82"/>
    <w:rsid w:val="00294CB0"/>
    <w:rsid w:val="002A2D9E"/>
    <w:rsid w:val="002C518C"/>
    <w:rsid w:val="002D1A3E"/>
    <w:rsid w:val="002E5F10"/>
    <w:rsid w:val="002F4012"/>
    <w:rsid w:val="00302402"/>
    <w:rsid w:val="003155A1"/>
    <w:rsid w:val="00320521"/>
    <w:rsid w:val="00324666"/>
    <w:rsid w:val="00342717"/>
    <w:rsid w:val="00357FE9"/>
    <w:rsid w:val="0037212B"/>
    <w:rsid w:val="0038573C"/>
    <w:rsid w:val="0038598C"/>
    <w:rsid w:val="0039041E"/>
    <w:rsid w:val="003948EC"/>
    <w:rsid w:val="003A6F39"/>
    <w:rsid w:val="003B4083"/>
    <w:rsid w:val="003D69BD"/>
    <w:rsid w:val="004019CA"/>
    <w:rsid w:val="00405135"/>
    <w:rsid w:val="00410570"/>
    <w:rsid w:val="00411796"/>
    <w:rsid w:val="00416C1A"/>
    <w:rsid w:val="0042633D"/>
    <w:rsid w:val="00431388"/>
    <w:rsid w:val="00441D51"/>
    <w:rsid w:val="00473BF1"/>
    <w:rsid w:val="004754C9"/>
    <w:rsid w:val="004B52C5"/>
    <w:rsid w:val="004B5739"/>
    <w:rsid w:val="004C5313"/>
    <w:rsid w:val="004C5DB2"/>
    <w:rsid w:val="004E0368"/>
    <w:rsid w:val="004E2F6D"/>
    <w:rsid w:val="004E782D"/>
    <w:rsid w:val="005026C8"/>
    <w:rsid w:val="00511DB2"/>
    <w:rsid w:val="00553800"/>
    <w:rsid w:val="00556F09"/>
    <w:rsid w:val="00565970"/>
    <w:rsid w:val="00575EEF"/>
    <w:rsid w:val="00593CE4"/>
    <w:rsid w:val="005A6431"/>
    <w:rsid w:val="005E1ECB"/>
    <w:rsid w:val="00600B5C"/>
    <w:rsid w:val="00602F9B"/>
    <w:rsid w:val="0060400B"/>
    <w:rsid w:val="00611C5F"/>
    <w:rsid w:val="00616A5D"/>
    <w:rsid w:val="0062140C"/>
    <w:rsid w:val="00646CF0"/>
    <w:rsid w:val="00661C2D"/>
    <w:rsid w:val="00662E52"/>
    <w:rsid w:val="00664525"/>
    <w:rsid w:val="00664D1E"/>
    <w:rsid w:val="00667BDF"/>
    <w:rsid w:val="00680193"/>
    <w:rsid w:val="006847B6"/>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C30BC"/>
    <w:rsid w:val="007E39E1"/>
    <w:rsid w:val="007E5D6F"/>
    <w:rsid w:val="007F32DA"/>
    <w:rsid w:val="007F3E8B"/>
    <w:rsid w:val="008225E6"/>
    <w:rsid w:val="00827FC5"/>
    <w:rsid w:val="00852799"/>
    <w:rsid w:val="00872BF6"/>
    <w:rsid w:val="0088598F"/>
    <w:rsid w:val="00887016"/>
    <w:rsid w:val="008A08C0"/>
    <w:rsid w:val="008A4036"/>
    <w:rsid w:val="008A52A5"/>
    <w:rsid w:val="008B697C"/>
    <w:rsid w:val="008B7AD5"/>
    <w:rsid w:val="008C361E"/>
    <w:rsid w:val="008C42BF"/>
    <w:rsid w:val="008C6233"/>
    <w:rsid w:val="008E3EA8"/>
    <w:rsid w:val="00900663"/>
    <w:rsid w:val="00901244"/>
    <w:rsid w:val="0091401F"/>
    <w:rsid w:val="009145FD"/>
    <w:rsid w:val="009147B3"/>
    <w:rsid w:val="009166D4"/>
    <w:rsid w:val="00927DE6"/>
    <w:rsid w:val="009345FC"/>
    <w:rsid w:val="00937F3D"/>
    <w:rsid w:val="00946800"/>
    <w:rsid w:val="009563F4"/>
    <w:rsid w:val="00956C4D"/>
    <w:rsid w:val="009828D3"/>
    <w:rsid w:val="00992CB9"/>
    <w:rsid w:val="009A1F5A"/>
    <w:rsid w:val="009A3534"/>
    <w:rsid w:val="009A4057"/>
    <w:rsid w:val="009B1D49"/>
    <w:rsid w:val="009D3AD0"/>
    <w:rsid w:val="00A06800"/>
    <w:rsid w:val="00A10913"/>
    <w:rsid w:val="00A20FFB"/>
    <w:rsid w:val="00A321B7"/>
    <w:rsid w:val="00A3756A"/>
    <w:rsid w:val="00A445D7"/>
    <w:rsid w:val="00A526C7"/>
    <w:rsid w:val="00A6170F"/>
    <w:rsid w:val="00A63CD7"/>
    <w:rsid w:val="00A70251"/>
    <w:rsid w:val="00A96D2D"/>
    <w:rsid w:val="00AB389E"/>
    <w:rsid w:val="00AB47E4"/>
    <w:rsid w:val="00AC1F93"/>
    <w:rsid w:val="00AC40EE"/>
    <w:rsid w:val="00AC5480"/>
    <w:rsid w:val="00AD76B0"/>
    <w:rsid w:val="00AE5062"/>
    <w:rsid w:val="00B13DE9"/>
    <w:rsid w:val="00B26A6E"/>
    <w:rsid w:val="00B30BC3"/>
    <w:rsid w:val="00B4648A"/>
    <w:rsid w:val="00B53AA4"/>
    <w:rsid w:val="00B7570E"/>
    <w:rsid w:val="00B82724"/>
    <w:rsid w:val="00B86FEB"/>
    <w:rsid w:val="00B915E4"/>
    <w:rsid w:val="00B96017"/>
    <w:rsid w:val="00BB027B"/>
    <w:rsid w:val="00BD0FA3"/>
    <w:rsid w:val="00BD6666"/>
    <w:rsid w:val="00BE26EA"/>
    <w:rsid w:val="00C27B5D"/>
    <w:rsid w:val="00C43B3D"/>
    <w:rsid w:val="00C548FC"/>
    <w:rsid w:val="00C701F9"/>
    <w:rsid w:val="00C94612"/>
    <w:rsid w:val="00CB0023"/>
    <w:rsid w:val="00CC1ADF"/>
    <w:rsid w:val="00CD758F"/>
    <w:rsid w:val="00CE4831"/>
    <w:rsid w:val="00CE79D7"/>
    <w:rsid w:val="00CE7DDC"/>
    <w:rsid w:val="00D00B4B"/>
    <w:rsid w:val="00D10823"/>
    <w:rsid w:val="00D20F53"/>
    <w:rsid w:val="00D50641"/>
    <w:rsid w:val="00D51863"/>
    <w:rsid w:val="00D578A6"/>
    <w:rsid w:val="00D700C3"/>
    <w:rsid w:val="00D7204D"/>
    <w:rsid w:val="00D81B3E"/>
    <w:rsid w:val="00D82CEA"/>
    <w:rsid w:val="00D94F22"/>
    <w:rsid w:val="00DB0A0D"/>
    <w:rsid w:val="00DB423B"/>
    <w:rsid w:val="00DE5F42"/>
    <w:rsid w:val="00DF4C7F"/>
    <w:rsid w:val="00DF6A1F"/>
    <w:rsid w:val="00E021BA"/>
    <w:rsid w:val="00E031E1"/>
    <w:rsid w:val="00E1216B"/>
    <w:rsid w:val="00E1328D"/>
    <w:rsid w:val="00E225F8"/>
    <w:rsid w:val="00E45ED2"/>
    <w:rsid w:val="00E96D45"/>
    <w:rsid w:val="00EC0D75"/>
    <w:rsid w:val="00ED4D96"/>
    <w:rsid w:val="00EE0017"/>
    <w:rsid w:val="00EE2FBA"/>
    <w:rsid w:val="00F03012"/>
    <w:rsid w:val="00F05A9C"/>
    <w:rsid w:val="00F05E46"/>
    <w:rsid w:val="00F16121"/>
    <w:rsid w:val="00F210A1"/>
    <w:rsid w:val="00F211FE"/>
    <w:rsid w:val="00F24210"/>
    <w:rsid w:val="00F37246"/>
    <w:rsid w:val="00F41860"/>
    <w:rsid w:val="00F424C5"/>
    <w:rsid w:val="00F56A5E"/>
    <w:rsid w:val="00F56BF8"/>
    <w:rsid w:val="00F67733"/>
    <w:rsid w:val="00F778DE"/>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link w:val="Heading1Char"/>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table" w:styleId="TableGrid">
    <w:name w:val="Table Grid"/>
    <w:basedOn w:val="TableNormal"/>
    <w:rsid w:val="00B4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6D2D"/>
    <w:rPr>
      <w:rFonts w:ascii="Arial" w:hAnsi="Arial" w:cs="Arial"/>
      <w:b/>
      <w:bCs/>
      <w:kern w:val="32"/>
      <w:sz w:val="32"/>
      <w:szCs w:val="32"/>
    </w:rPr>
  </w:style>
  <w:style w:type="character" w:customStyle="1" w:styleId="Heading2Char">
    <w:name w:val="Heading 2 Char"/>
    <w:basedOn w:val="DefaultParagraphFont"/>
    <w:link w:val="Heading2"/>
    <w:rsid w:val="00A96D2D"/>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6125</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Murphy, Alexandra</cp:lastModifiedBy>
  <cp:revision>29</cp:revision>
  <cp:lastPrinted>2009-01-07T21:57:00Z</cp:lastPrinted>
  <dcterms:created xsi:type="dcterms:W3CDTF">2024-06-06T03:23:00Z</dcterms:created>
  <dcterms:modified xsi:type="dcterms:W3CDTF">2025-10-09T21:55:00Z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