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10316" w14:textId="41F82256" w:rsidR="00A04F9D" w:rsidRDefault="00B7264C" w:rsidP="00C92259">
      <w:pPr>
        <w:rPr>
          <w:rFonts w:asciiTheme="majorBidi" w:hAnsiTheme="majorBidi" w:cstheme="majorBidi"/>
          <w:b/>
          <w:bCs/>
          <w:sz w:val="20"/>
          <w:szCs w:val="20"/>
        </w:rPr>
      </w:pPr>
      <w:r w:rsidRPr="001132B8">
        <w:rPr>
          <w:rFonts w:asciiTheme="majorBidi" w:hAnsiTheme="majorBidi" w:cstheme="majorBidi"/>
          <w:b/>
          <w:bCs/>
          <w:sz w:val="20"/>
          <w:szCs w:val="20"/>
        </w:rPr>
        <w:t>Supplementary Figure 1. Experimental timeline of the bleomycin (BLM)-induced pulmonary fibrosis model with disulfiram (DSF) treatment.</w:t>
      </w: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0A7658BE" wp14:editId="72D0EC2D">
            <wp:extent cx="5400675" cy="4314825"/>
            <wp:effectExtent l="0" t="0" r="0" b="0"/>
            <wp:docPr id="8368127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76DE" w14:textId="0813E112" w:rsidR="00B7264C" w:rsidRDefault="00C92259" w:rsidP="00C92259">
      <w:pPr>
        <w:rPr>
          <w:rFonts w:asciiTheme="majorBidi" w:hAnsiTheme="majorBidi" w:cstheme="majorBidi"/>
          <w:sz w:val="20"/>
          <w:szCs w:val="20"/>
        </w:rPr>
      </w:pPr>
      <w:r w:rsidRPr="00C92259">
        <w:rPr>
          <w:rFonts w:asciiTheme="majorBidi" w:hAnsiTheme="majorBidi" w:cstheme="majorBidi"/>
          <w:sz w:val="20"/>
          <w:szCs w:val="20"/>
        </w:rPr>
        <w:t>(A) For the day 7 endpoint, BLM was administered intratracheally on day 0, DSF was administered by intraperitoneal injection (</w:t>
      </w:r>
      <w:proofErr w:type="spellStart"/>
      <w:r w:rsidRPr="00C92259">
        <w:rPr>
          <w:rFonts w:asciiTheme="majorBidi" w:hAnsiTheme="majorBidi" w:cstheme="majorBidi"/>
          <w:sz w:val="20"/>
          <w:szCs w:val="20"/>
        </w:rPr>
        <w:t>i.p.</w:t>
      </w:r>
      <w:proofErr w:type="spellEnd"/>
      <w:r w:rsidRPr="00C92259">
        <w:rPr>
          <w:rFonts w:asciiTheme="majorBidi" w:hAnsiTheme="majorBidi" w:cstheme="majorBidi"/>
          <w:sz w:val="20"/>
          <w:szCs w:val="20"/>
        </w:rPr>
        <w:t>) on days 1–5, and mice were sacrificed on day 7.</w:t>
      </w:r>
      <w:r w:rsidRPr="00C92259">
        <w:rPr>
          <w:rFonts w:asciiTheme="majorBidi" w:hAnsiTheme="majorBidi" w:cstheme="majorBidi"/>
          <w:sz w:val="20"/>
          <w:szCs w:val="20"/>
        </w:rPr>
        <w:br/>
        <w:t>(B) For the day 14 endpoint, BLM was administered intratracheally on day 0, DSF was administered by intraperitoneal injection (</w:t>
      </w:r>
      <w:proofErr w:type="spellStart"/>
      <w:r w:rsidRPr="00C92259">
        <w:rPr>
          <w:rFonts w:asciiTheme="majorBidi" w:hAnsiTheme="majorBidi" w:cstheme="majorBidi"/>
          <w:sz w:val="20"/>
          <w:szCs w:val="20"/>
        </w:rPr>
        <w:t>i.p.</w:t>
      </w:r>
      <w:proofErr w:type="spellEnd"/>
      <w:r w:rsidRPr="00C92259">
        <w:rPr>
          <w:rFonts w:asciiTheme="majorBidi" w:hAnsiTheme="majorBidi" w:cstheme="majorBidi"/>
          <w:sz w:val="20"/>
          <w:szCs w:val="20"/>
        </w:rPr>
        <w:t>) on days 1–5 and 8–12, and mice were sacrificed on day 14.</w:t>
      </w:r>
    </w:p>
    <w:p w14:paraId="57AEE4DE" w14:textId="77777777" w:rsidR="00B7264C" w:rsidRDefault="00B7264C">
      <w:pPr>
        <w:widowControl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br w:type="page"/>
      </w:r>
    </w:p>
    <w:p w14:paraId="2155C771" w14:textId="77777777" w:rsidR="00B7264C" w:rsidRDefault="00120959" w:rsidP="00120959">
      <w:pPr>
        <w:rPr>
          <w:rFonts w:asciiTheme="majorBidi" w:hAnsiTheme="majorBidi" w:cstheme="majorBidi"/>
          <w:b/>
          <w:bCs/>
          <w:sz w:val="20"/>
          <w:szCs w:val="20"/>
        </w:rPr>
      </w:pPr>
      <w:r w:rsidRPr="00120959">
        <w:rPr>
          <w:rFonts w:asciiTheme="majorBidi" w:hAnsiTheme="majorBidi" w:cstheme="majorBidi"/>
          <w:b/>
          <w:bCs/>
          <w:sz w:val="20"/>
          <w:szCs w:val="20"/>
        </w:rPr>
        <w:lastRenderedPageBreak/>
        <w:t xml:space="preserve">Supplementary Figure 2. Representative immunofluorescence images of CXCR2 and GRK2 </w:t>
      </w:r>
      <w:proofErr w:type="gramStart"/>
      <w:r w:rsidRPr="00120959">
        <w:rPr>
          <w:rFonts w:asciiTheme="majorBidi" w:hAnsiTheme="majorBidi" w:cstheme="majorBidi"/>
          <w:b/>
          <w:bCs/>
          <w:sz w:val="20"/>
          <w:szCs w:val="20"/>
        </w:rPr>
        <w:t>expression</w:t>
      </w:r>
      <w:proofErr w:type="gramEnd"/>
      <w:r w:rsidRPr="00120959">
        <w:rPr>
          <w:rFonts w:asciiTheme="majorBidi" w:hAnsiTheme="majorBidi" w:cstheme="majorBidi"/>
          <w:b/>
          <w:bCs/>
          <w:sz w:val="20"/>
          <w:szCs w:val="20"/>
        </w:rPr>
        <w:t xml:space="preserve"> in peripheral blood cells.</w:t>
      </w:r>
    </w:p>
    <w:p w14:paraId="6289C418" w14:textId="139B1F63" w:rsidR="00193F8C" w:rsidRDefault="00193F8C" w:rsidP="00120959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73BD7CC7" wp14:editId="38D94BEE">
            <wp:extent cx="6524625" cy="3190875"/>
            <wp:effectExtent l="0" t="0" r="0" b="9525"/>
            <wp:docPr id="141405057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959" w:rsidRPr="00120959">
        <w:rPr>
          <w:rFonts w:asciiTheme="majorBidi" w:hAnsiTheme="majorBidi" w:cstheme="majorBidi"/>
          <w:b/>
          <w:bCs/>
          <w:sz w:val="20"/>
          <w:szCs w:val="20"/>
        </w:rPr>
        <w:br/>
      </w:r>
      <w:r w:rsidR="00120959" w:rsidRPr="00120959">
        <w:rPr>
          <w:rFonts w:asciiTheme="majorBidi" w:hAnsiTheme="majorBidi" w:cstheme="majorBidi"/>
          <w:sz w:val="20"/>
          <w:szCs w:val="20"/>
        </w:rPr>
        <w:t xml:space="preserve">Peripheral blood cells from the Control, BLM, BLM+DSF, and DSF groups were stained for GRK2 (green) and CXCR2 (red). Nuclei were counterstained with DAPI (blue). Scale bar = 10 </w:t>
      </w:r>
      <w:proofErr w:type="spellStart"/>
      <w:r w:rsidR="00120959" w:rsidRPr="00120959">
        <w:rPr>
          <w:rFonts w:asciiTheme="majorBidi" w:hAnsiTheme="majorBidi" w:cstheme="majorBidi"/>
          <w:sz w:val="20"/>
          <w:szCs w:val="20"/>
        </w:rPr>
        <w:t>μm</w:t>
      </w:r>
      <w:proofErr w:type="spellEnd"/>
      <w:r w:rsidR="00120959" w:rsidRPr="00120959">
        <w:rPr>
          <w:rFonts w:asciiTheme="majorBidi" w:hAnsiTheme="majorBidi" w:cstheme="majorBidi"/>
          <w:sz w:val="20"/>
          <w:szCs w:val="20"/>
        </w:rPr>
        <w:t>.</w:t>
      </w:r>
    </w:p>
    <w:p w14:paraId="410FE1F2" w14:textId="77777777" w:rsidR="00193F8C" w:rsidRDefault="00193F8C">
      <w:pPr>
        <w:widowControl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br w:type="page"/>
      </w:r>
    </w:p>
    <w:p w14:paraId="666D20ED" w14:textId="499BC29D" w:rsidR="00193F8C" w:rsidRDefault="001132B8" w:rsidP="00120959">
      <w:pPr>
        <w:rPr>
          <w:rFonts w:asciiTheme="majorBidi" w:hAnsiTheme="majorBidi" w:cstheme="majorBidi"/>
          <w:b/>
          <w:bCs/>
          <w:sz w:val="20"/>
          <w:szCs w:val="20"/>
        </w:rPr>
      </w:pPr>
      <w:r w:rsidRPr="001132B8">
        <w:rPr>
          <w:rFonts w:asciiTheme="majorBidi" w:hAnsiTheme="majorBidi" w:cstheme="majorBidi"/>
          <w:b/>
          <w:bCs/>
          <w:sz w:val="20"/>
          <w:szCs w:val="20"/>
        </w:rPr>
        <w:lastRenderedPageBreak/>
        <w:t xml:space="preserve">Supplementary Figure 3. </w:t>
      </w:r>
      <w:r w:rsidR="00C23EA0" w:rsidRPr="00C23EA0">
        <w:rPr>
          <w:rFonts w:asciiTheme="majorBidi" w:hAnsiTheme="majorBidi" w:cstheme="majorBidi"/>
          <w:b/>
          <w:bCs/>
          <w:sz w:val="20"/>
          <w:szCs w:val="20"/>
        </w:rPr>
        <w:t>Lactate Dehydrogenase</w:t>
      </w:r>
      <w:r w:rsidR="00C23EA0" w:rsidRPr="001132B8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C23EA0">
        <w:rPr>
          <w:rFonts w:asciiTheme="majorBidi" w:hAnsiTheme="majorBidi" w:cstheme="majorBidi" w:hint="eastAsia"/>
          <w:b/>
          <w:bCs/>
          <w:sz w:val="20"/>
          <w:szCs w:val="20"/>
        </w:rPr>
        <w:t>(</w:t>
      </w:r>
      <w:r w:rsidRPr="001132B8">
        <w:rPr>
          <w:rFonts w:asciiTheme="majorBidi" w:hAnsiTheme="majorBidi" w:cstheme="majorBidi"/>
          <w:b/>
          <w:bCs/>
          <w:sz w:val="20"/>
          <w:szCs w:val="20"/>
        </w:rPr>
        <w:t>LDH</w:t>
      </w:r>
      <w:r w:rsidR="00C23EA0">
        <w:rPr>
          <w:rFonts w:asciiTheme="majorBidi" w:hAnsiTheme="majorBidi" w:cstheme="majorBidi" w:hint="eastAsia"/>
          <w:b/>
          <w:bCs/>
          <w:sz w:val="20"/>
          <w:szCs w:val="20"/>
        </w:rPr>
        <w:t>)</w:t>
      </w:r>
      <w:r w:rsidRPr="001132B8">
        <w:rPr>
          <w:rFonts w:asciiTheme="majorBidi" w:hAnsiTheme="majorBidi" w:cstheme="majorBidi"/>
          <w:b/>
          <w:bCs/>
          <w:sz w:val="20"/>
          <w:szCs w:val="20"/>
        </w:rPr>
        <w:t xml:space="preserve"> release assay in human pulmonary microvascular endothelial cells (HPMECs).</w:t>
      </w:r>
    </w:p>
    <w:p w14:paraId="754C9C6E" w14:textId="59590BA8" w:rsidR="001132B8" w:rsidRPr="001132B8" w:rsidRDefault="00193F8C" w:rsidP="00120959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64966FB7" wp14:editId="4821196D">
            <wp:extent cx="6086475" cy="3714750"/>
            <wp:effectExtent l="0" t="0" r="0" b="0"/>
            <wp:docPr id="173911864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2B8" w:rsidRPr="001132B8">
        <w:rPr>
          <w:rFonts w:asciiTheme="majorBidi" w:hAnsiTheme="majorBidi" w:cstheme="majorBidi"/>
          <w:sz w:val="20"/>
          <w:szCs w:val="20"/>
        </w:rPr>
        <w:br/>
        <w:t>HPMECs were treated with PBS, BLM, BLM+DSF, or DSF for 24 h. LDH release is presented as percentage of total release. Data are presented as mean ± SD. *p &lt; 0.05 compared with the PBS group.</w:t>
      </w:r>
    </w:p>
    <w:p w14:paraId="164BB0CC" w14:textId="77777777" w:rsidR="007A7A67" w:rsidRPr="00855458" w:rsidRDefault="007A7A67">
      <w:pPr>
        <w:rPr>
          <w:rFonts w:asciiTheme="majorBidi" w:hAnsiTheme="majorBidi" w:cstheme="majorBidi"/>
          <w:sz w:val="20"/>
          <w:szCs w:val="20"/>
        </w:rPr>
      </w:pPr>
    </w:p>
    <w:sectPr w:rsidR="007A7A67" w:rsidRPr="00855458" w:rsidSect="001132B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87DEE" w14:textId="77777777" w:rsidR="00E3592B" w:rsidRDefault="00E3592B" w:rsidP="001132B8">
      <w:pPr>
        <w:spacing w:after="0" w:line="240" w:lineRule="auto"/>
      </w:pPr>
      <w:r>
        <w:separator/>
      </w:r>
    </w:p>
  </w:endnote>
  <w:endnote w:type="continuationSeparator" w:id="0">
    <w:p w14:paraId="0DA9E088" w14:textId="77777777" w:rsidR="00E3592B" w:rsidRDefault="00E3592B" w:rsidP="00113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D42C3" w14:textId="77777777" w:rsidR="00E3592B" w:rsidRDefault="00E3592B" w:rsidP="001132B8">
      <w:pPr>
        <w:spacing w:after="0" w:line="240" w:lineRule="auto"/>
      </w:pPr>
      <w:r>
        <w:separator/>
      </w:r>
    </w:p>
  </w:footnote>
  <w:footnote w:type="continuationSeparator" w:id="0">
    <w:p w14:paraId="7ABC4D77" w14:textId="77777777" w:rsidR="00E3592B" w:rsidRDefault="00E3592B" w:rsidP="00113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03"/>
    <w:rsid w:val="00065DC4"/>
    <w:rsid w:val="001132B8"/>
    <w:rsid w:val="00120959"/>
    <w:rsid w:val="00193F8C"/>
    <w:rsid w:val="001D775C"/>
    <w:rsid w:val="004779D4"/>
    <w:rsid w:val="005545E0"/>
    <w:rsid w:val="005F13C4"/>
    <w:rsid w:val="00667ED4"/>
    <w:rsid w:val="00694E42"/>
    <w:rsid w:val="00743B90"/>
    <w:rsid w:val="007472E6"/>
    <w:rsid w:val="007A7A67"/>
    <w:rsid w:val="007D0571"/>
    <w:rsid w:val="007E39F3"/>
    <w:rsid w:val="00855458"/>
    <w:rsid w:val="008F414A"/>
    <w:rsid w:val="009B56CD"/>
    <w:rsid w:val="009E5233"/>
    <w:rsid w:val="00A04F9D"/>
    <w:rsid w:val="00B07592"/>
    <w:rsid w:val="00B32D87"/>
    <w:rsid w:val="00B7264C"/>
    <w:rsid w:val="00BF1D29"/>
    <w:rsid w:val="00C23EA0"/>
    <w:rsid w:val="00C91803"/>
    <w:rsid w:val="00C92259"/>
    <w:rsid w:val="00CE7353"/>
    <w:rsid w:val="00E3592B"/>
    <w:rsid w:val="00F6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4952D"/>
  <w15:chartTrackingRefBased/>
  <w15:docId w15:val="{9B42561B-4EDE-489D-BD1B-25E85101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9180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18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80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80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18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803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803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803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803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9180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918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9180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918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9180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9180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9180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9180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918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180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918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180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9180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18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918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180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9180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918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9180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9180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132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1132B8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1132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1132B8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C9225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177</Words>
  <Characters>951</Characters>
  <Application>Microsoft Office Word</Application>
  <DocSecurity>0</DocSecurity>
  <Lines>19</Lines>
  <Paragraphs>6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傳硯 孫</dc:creator>
  <cp:keywords/>
  <dc:description/>
  <cp:lastModifiedBy>傳硯 孫</cp:lastModifiedBy>
  <cp:revision>15</cp:revision>
  <dcterms:created xsi:type="dcterms:W3CDTF">2026-03-18T12:48:00Z</dcterms:created>
  <dcterms:modified xsi:type="dcterms:W3CDTF">2026-03-22T03:43:00Z</dcterms:modified>
</cp:coreProperties>
</file>