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55594D" w14:textId="24793D15" w:rsidR="00934D4A" w:rsidRDefault="00BB437E">
      <w:pPr>
        <w:pStyle w:val="Heading1"/>
        <w:keepNext w:val="0"/>
        <w:keepLines w:val="0"/>
        <w:widowControl/>
        <w:spacing w:before="240" w:after="60" w:line="480" w:lineRule="auto"/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</w:pPr>
      <w:r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>Supplementary Material 1: LC-MS/MS A</w:t>
      </w:r>
      <w:r w:rsidRPr="00BB437E"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 xml:space="preserve">nalysis of </w:t>
      </w:r>
      <w:r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>P</w:t>
      </w:r>
      <w:r w:rsidRPr="00BB437E"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>rocedures</w:t>
      </w:r>
      <w:r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 xml:space="preserve"> and R</w:t>
      </w:r>
      <w:r w:rsidRPr="00BB437E"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>esults</w:t>
      </w:r>
    </w:p>
    <w:p w14:paraId="40F853FF" w14:textId="77777777" w:rsidR="00163C69" w:rsidRPr="00163C69" w:rsidRDefault="00163C69" w:rsidP="00163C69">
      <w:pPr>
        <w:rPr>
          <w:lang w:eastAsia="en-US"/>
        </w:rPr>
      </w:pPr>
    </w:p>
    <w:p w14:paraId="587DCD69" w14:textId="44219B73" w:rsidR="00181BFF" w:rsidRPr="00163C69" w:rsidRDefault="004722A3">
      <w:pPr>
        <w:pStyle w:val="Heading1"/>
        <w:keepNext w:val="0"/>
        <w:keepLines w:val="0"/>
        <w:widowControl/>
        <w:spacing w:before="240" w:after="60" w:line="480" w:lineRule="auto"/>
        <w:rPr>
          <w:rFonts w:ascii="Arial" w:eastAsia="DengXian" w:hAnsi="Arial" w:cs="Arial"/>
          <w:b/>
          <w:bCs/>
          <w:color w:val="auto"/>
          <w:kern w:val="32"/>
          <w:sz w:val="24"/>
          <w:szCs w:val="24"/>
          <w:lang w:eastAsia="en-US"/>
        </w:rPr>
      </w:pPr>
      <w:r w:rsidRPr="00163C69">
        <w:rPr>
          <w:rFonts w:ascii="Arial" w:eastAsia="DengXian" w:hAnsi="Arial" w:cs="Arial"/>
          <w:b/>
          <w:bCs/>
          <w:color w:val="auto"/>
          <w:kern w:val="32"/>
          <w:sz w:val="24"/>
          <w:szCs w:val="24"/>
          <w:lang w:eastAsia="en-US"/>
        </w:rPr>
        <w:t>Materials and methods</w:t>
      </w:r>
    </w:p>
    <w:p w14:paraId="6D3E2B01" w14:textId="77777777" w:rsidR="00181BFF" w:rsidRPr="00163C69" w:rsidRDefault="004722A3">
      <w:pPr>
        <w:pStyle w:val="NormalWeb"/>
        <w:widowControl/>
        <w:spacing w:before="100" w:after="100" w:line="480" w:lineRule="auto"/>
        <w:jc w:val="both"/>
        <w:rPr>
          <w:rFonts w:ascii="Arial" w:hAnsi="Arial" w:cs="Arial"/>
          <w:b/>
          <w:bCs/>
          <w:i/>
          <w:iCs/>
          <w:sz w:val="22"/>
          <w:szCs w:val="22"/>
        </w:rPr>
      </w:pPr>
      <w:r w:rsidRPr="00163C69">
        <w:rPr>
          <w:rFonts w:ascii="Arial" w:hAnsi="Arial" w:cs="Arial"/>
          <w:b/>
          <w:bCs/>
          <w:i/>
          <w:iCs/>
          <w:sz w:val="22"/>
          <w:szCs w:val="22"/>
          <w:lang w:eastAsia="en-US"/>
        </w:rPr>
        <w:t xml:space="preserve">Measurement of meropenem </w:t>
      </w:r>
      <w:proofErr w:type="spellStart"/>
      <w:r w:rsidRPr="00163C69">
        <w:rPr>
          <w:rFonts w:ascii="Arial" w:hAnsi="Arial" w:cs="Arial"/>
          <w:b/>
          <w:bCs/>
          <w:i/>
          <w:iCs/>
          <w:sz w:val="22"/>
          <w:szCs w:val="22"/>
          <w:lang w:eastAsia="en-US"/>
        </w:rPr>
        <w:t>C</w:t>
      </w:r>
      <w:r w:rsidRPr="00163C69">
        <w:rPr>
          <w:rFonts w:ascii="Arial" w:hAnsi="Arial" w:cs="Arial"/>
          <w:b/>
          <w:bCs/>
          <w:i/>
          <w:iCs/>
          <w:sz w:val="22"/>
          <w:szCs w:val="22"/>
          <w:vertAlign w:val="subscript"/>
          <w:lang w:eastAsia="en-US"/>
        </w:rPr>
        <w:t>min</w:t>
      </w:r>
      <w:proofErr w:type="spellEnd"/>
      <w:r w:rsidRPr="00163C69">
        <w:rPr>
          <w:rFonts w:ascii="Arial" w:hAnsi="Arial" w:cs="Arial"/>
          <w:b/>
          <w:bCs/>
          <w:i/>
          <w:iCs/>
          <w:sz w:val="22"/>
          <w:szCs w:val="22"/>
          <w:lang w:eastAsia="en-US"/>
        </w:rPr>
        <w:t xml:space="preserve"> and ORM concentration</w:t>
      </w:r>
    </w:p>
    <w:p w14:paraId="0504BADB" w14:textId="77777777" w:rsidR="00181BFF" w:rsidRDefault="004722A3">
      <w:pPr>
        <w:widowControl/>
        <w:spacing w:line="480" w:lineRule="auto"/>
        <w:jc w:val="both"/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</w:pPr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The meropenem standard (Lot No. 24N0322, purity ≥98%) was supplied by Ita Biotechnology Co., Ltd. (Beijing, China). The ORM of meropenem (trifluoroacetate salt, Lot No. MR230529769, purity 98.1%) was obtained from SCR-Biotech Co., Ltd. (Shanghai, China). The internal standard meropenem-D6 (Lot No. B12-A1522, purity ≥95%) and its corresponding ORM-D6 (trifluoroacetate salt, Lot No. B12-A1523, purity ≥95%) were provided by </w:t>
      </w:r>
      <w:proofErr w:type="spellStart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>Beiyu</w:t>
      </w:r>
      <w:proofErr w:type="spellEnd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 Biological Technology Co., Ltd. (Nanjing, China). All other chemicals and solvents used were of analytical or HPLC grade and commercially available. </w:t>
      </w:r>
    </w:p>
    <w:p w14:paraId="21810FD8" w14:textId="77777777" w:rsidR="00181BFF" w:rsidRDefault="004722A3">
      <w:pPr>
        <w:widowControl/>
        <w:spacing w:line="480" w:lineRule="auto"/>
        <w:ind w:firstLineChars="200" w:firstLine="400"/>
        <w:jc w:val="both"/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</w:pPr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The chromatographic system employed was the Shimadzu LC-20 liquid chromatography system from Japan. Mass spectrometry analysis was conducted using the API 4000 </w:t>
      </w:r>
      <w:proofErr w:type="spellStart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>QTrap</w:t>
      </w:r>
      <w:proofErr w:type="spellEnd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 triple quadrupole tandem mass spectrometer. Detection was performed via electrospray ionization mass spectrometry in multiple reaction monitoring (MRM) mode with positive ion detection for both meropenem and </w:t>
      </w:r>
      <w:r>
        <w:rPr>
          <w:rFonts w:ascii="Arial" w:eastAsia="Helvetica" w:hAnsi="Arial" w:cs="Arial"/>
          <w:bCs/>
          <w:color w:val="000000" w:themeColor="text1"/>
          <w:kern w:val="0"/>
          <w:sz w:val="20"/>
          <w:szCs w:val="20"/>
          <w14:ligatures w14:val="none"/>
        </w:rPr>
        <w:t xml:space="preserve">its ORM. The MRM transitions utilized were as follows: m/z 384.1 → m/z 141.0 for meropenem; m/z 402.1 → m/z 358.4 for the ORM; m/z 390.1 → m/z 147.2 for meropenem-D6; and m/z 408.2 → m/z 364.1 for the ORM-D6. Chromatographic conditions included an Eigel </w:t>
      </w:r>
      <w:proofErr w:type="spellStart"/>
      <w:r>
        <w:rPr>
          <w:rFonts w:ascii="Arial" w:eastAsia="Helvetica" w:hAnsi="Arial" w:cs="Arial"/>
          <w:bCs/>
          <w:color w:val="000000" w:themeColor="text1"/>
          <w:kern w:val="0"/>
          <w:sz w:val="20"/>
          <w:szCs w:val="20"/>
          <w14:ligatures w14:val="none"/>
        </w:rPr>
        <w:t>Venusil</w:t>
      </w:r>
      <w:proofErr w:type="spellEnd"/>
      <w:r>
        <w:rPr>
          <w:rFonts w:ascii="Arial" w:eastAsia="Helvetica" w:hAnsi="Arial" w:cs="Arial"/>
          <w:bCs/>
          <w:color w:val="000000" w:themeColor="text1"/>
          <w:kern w:val="0"/>
          <w:sz w:val="20"/>
          <w:szCs w:val="20"/>
          <w14:ligatures w14:val="none"/>
        </w:rPr>
        <w:t xml:space="preserve"> MP C18 column (150 × 2.1 mm, particle size: 5 </w:t>
      </w:r>
      <w:proofErr w:type="spellStart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>μm</w:t>
      </w:r>
      <w:proofErr w:type="spellEnd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), with mobile phase A consisting of a solution containing 0.1% formic acid and 5 mM ammonium </w:t>
      </w:r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lastRenderedPageBreak/>
        <w:t xml:space="preserve">acetate in water, while mobile phase B comprised acetonitrile. The elution gradient applied to the mobile phases was as follows: at time zero, phase B constituted 5%; between minutes 0.75 to 2 min, it increased linearly to reach a maximum of phase B at 90%; maintained at this concentration from minutes two to five-and-a-half; then decreased back to phase B at five percent over a duration spanning from five-and-a-half minutes to six minutes before stabilizing again until eight minutes post-injection. The flow rate during these analyses was set at 0.3 mL/min with an injection volume of 5 </w:t>
      </w:r>
      <w:proofErr w:type="spellStart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>μL</w:t>
      </w:r>
      <w:proofErr w:type="spellEnd"/>
      <w:r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  <w:t xml:space="preserve">. </w:t>
      </w:r>
    </w:p>
    <w:p w14:paraId="6F49925B" w14:textId="77777777" w:rsidR="00181BFF" w:rsidRDefault="004722A3">
      <w:pPr>
        <w:widowControl/>
        <w:spacing w:line="480" w:lineRule="auto"/>
        <w:jc w:val="both"/>
        <w:rPr>
          <w:rFonts w:ascii="Arial" w:eastAsia="Helvetica" w:hAnsi="Arial" w:cs="Arial"/>
          <w:bCs/>
          <w:kern w:val="0"/>
          <w:sz w:val="20"/>
          <w:szCs w:val="20"/>
          <w14:ligatures w14:val="none"/>
        </w:rPr>
      </w:pPr>
      <w:r>
        <w:rPr>
          <w:noProof/>
        </w:rPr>
        <w:drawing>
          <wp:inline distT="0" distB="0" distL="114300" distR="114300" wp14:anchorId="39FD663A" wp14:editId="4947935D">
            <wp:extent cx="4133850" cy="190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1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0926F" w14:textId="77777777" w:rsidR="00181BFF" w:rsidRDefault="004722A3">
      <w:pPr>
        <w:pStyle w:val="Heading1"/>
        <w:keepNext w:val="0"/>
        <w:keepLines w:val="0"/>
        <w:widowControl/>
        <w:spacing w:before="240" w:after="60" w:line="480" w:lineRule="auto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</w:pPr>
      <w:r>
        <w:rPr>
          <w:rFonts w:ascii="Arial" w:eastAsia="DengXian" w:hAnsi="Arial" w:cs="Arial"/>
          <w:b/>
          <w:bCs/>
          <w:color w:val="auto"/>
          <w:kern w:val="32"/>
          <w:sz w:val="32"/>
          <w:szCs w:val="32"/>
          <w:lang w:eastAsia="en-US"/>
        </w:rPr>
        <w:t>Results</w:t>
      </w:r>
    </w:p>
    <w:p w14:paraId="037EA364" w14:textId="77777777" w:rsidR="00181BFF" w:rsidRDefault="004722A3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>Specificity</w:t>
      </w:r>
    </w:p>
    <w:p w14:paraId="2C4ED892" w14:textId="77777777" w:rsidR="00181BFF" w:rsidRDefault="004722A3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Cs/>
          <w:sz w:val="20"/>
          <w:szCs w:val="20"/>
        </w:rPr>
        <w:t>As shown in Supplementary Figures 2 and 3, in serum samples, the retention times of meropenem and its internal standard (meropenem-D6) were 3.93 min and 3.92 min, respectively; the retention times of its ORM and the corresponding internal standard (ORM-D6) were 3.86 min and 3.85 min, respectively. In CSF samples, the retention times of meropenem and meropenem-D6 were 3.94 min and 3.93 min, respectively, while those of ORM and ORM-D6 were 3.86 min and 3.85 min, respectively. No interference was observed from endogenous substances in either serum or CSF, demonstrating that the developed LC-MS/MS method exhibits excellent specificity for the determination of meropenem, its ORM</w:t>
      </w:r>
      <w:r>
        <w:rPr>
          <w:rFonts w:ascii="Arial" w:eastAsia="Helvetica" w:hAnsi="Arial" w:cs="Arial" w:hint="eastAsia"/>
          <w:bCs/>
          <w:sz w:val="20"/>
          <w:szCs w:val="20"/>
        </w:rPr>
        <w:t>,</w:t>
      </w:r>
      <w:r>
        <w:rPr>
          <w:rFonts w:ascii="Arial" w:eastAsia="Helvetica" w:hAnsi="Arial" w:cs="Arial"/>
          <w:bCs/>
          <w:sz w:val="20"/>
          <w:szCs w:val="20"/>
        </w:rPr>
        <w:t xml:space="preserve"> and their internal standards in both matrices.</w:t>
      </w:r>
    </w:p>
    <w:p w14:paraId="67D71714" w14:textId="77777777" w:rsidR="00181BFF" w:rsidRDefault="004722A3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</w:rPr>
      </w:pP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>Standard curve</w:t>
      </w:r>
      <w:r>
        <w:rPr>
          <w:rFonts w:ascii="Arial" w:eastAsiaTheme="minorEastAsia" w:hAnsi="Arial" w:cs="Arial" w:hint="eastAsia"/>
          <w:b/>
          <w:bCs/>
          <w:i/>
          <w:iCs/>
          <w:color w:val="auto"/>
          <w:sz w:val="28"/>
          <w:szCs w:val="28"/>
          <w:lang w:eastAsia="en-US"/>
        </w:rPr>
        <w:t xml:space="preserve"> </w:t>
      </w: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>and Lower Limit of Quantification (LLOQ)</w:t>
      </w:r>
    </w:p>
    <w:p w14:paraId="419D4364" w14:textId="77777777" w:rsidR="00181BFF" w:rsidRDefault="004722A3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Cs/>
          <w:sz w:val="20"/>
          <w:szCs w:val="20"/>
        </w:rPr>
        <w:lastRenderedPageBreak/>
        <w:t xml:space="preserve">The linear range for meropenem and its ORM was 0.1–100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μg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 xml:space="preserve">/mL, with detailed regression equations provided in Supplementary Table 1. The method demonstrated excellent linearity, and the LLOQ was determined to be 0.100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μg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>/mL in both human serum and CSF samples.</w:t>
      </w:r>
    </w:p>
    <w:p w14:paraId="10538160" w14:textId="77777777" w:rsidR="00181BFF" w:rsidRDefault="004722A3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>Precision and Recovery</w:t>
      </w:r>
    </w:p>
    <w:p w14:paraId="6E96EF4D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Cs/>
          <w:sz w:val="20"/>
          <w:szCs w:val="20"/>
        </w:rPr>
        <w:t xml:space="preserve">In </w:t>
      </w:r>
      <w:proofErr w:type="gramStart"/>
      <w:r>
        <w:rPr>
          <w:rFonts w:ascii="Arial" w:eastAsia="Helvetica" w:hAnsi="Arial" w:cs="Arial"/>
          <w:bCs/>
          <w:sz w:val="20"/>
          <w:szCs w:val="20"/>
        </w:rPr>
        <w:t>serum</w:t>
      </w:r>
      <w:proofErr w:type="gramEnd"/>
      <w:r>
        <w:rPr>
          <w:rFonts w:ascii="Arial" w:eastAsia="Helvetica" w:hAnsi="Arial" w:cs="Arial"/>
          <w:bCs/>
          <w:sz w:val="20"/>
          <w:szCs w:val="20"/>
        </w:rPr>
        <w:t xml:space="preserve">, the intraday precision of meropenem was &lt; 8.0%,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interday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 xml:space="preserve"> precision was &lt; 8.3%, and accuracy (RE) ranged from -2.7% to 1.0%; the intraday precision (RSD) of its ORM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 xml:space="preserve">was &lt; 7.8%,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interday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 xml:space="preserve"> precision was &lt; 7.7%, and RE ranged from 1.5% to 5.8%. In CSF, the intraday precision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 xml:space="preserve">of meropenem was &lt; 8.0%,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interday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 xml:space="preserve"> precision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 xml:space="preserve">was &lt; 6.5%, and RE was between -2.5% and 0.9%; the intraday precision of its ORM was &lt; 8.9%, </w:t>
      </w:r>
      <w:proofErr w:type="spellStart"/>
      <w:r>
        <w:rPr>
          <w:rFonts w:ascii="Arial" w:eastAsia="Helvetica" w:hAnsi="Arial" w:cs="Arial"/>
          <w:bCs/>
          <w:sz w:val="20"/>
          <w:szCs w:val="20"/>
        </w:rPr>
        <w:t>interday</w:t>
      </w:r>
      <w:proofErr w:type="spellEnd"/>
      <w:r>
        <w:rPr>
          <w:rFonts w:ascii="Arial" w:eastAsia="Helvetica" w:hAnsi="Arial" w:cs="Arial"/>
          <w:bCs/>
          <w:sz w:val="20"/>
          <w:szCs w:val="20"/>
        </w:rPr>
        <w:t xml:space="preserve"> precision was &lt; 9.0%, and RE ranged from -8.4% to -1.5%. Both analytes exhibited excellent precision and accuracy in the two matrices.</w:t>
      </w:r>
    </w:p>
    <w:p w14:paraId="2F675C5A" w14:textId="77777777" w:rsidR="00181BFF" w:rsidRDefault="004722A3" w:rsidP="000A27B0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</w:rPr>
      </w:pP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>Stability</w:t>
      </w:r>
    </w:p>
    <w:p w14:paraId="2B4EBA72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Cs/>
          <w:sz w:val="20"/>
          <w:szCs w:val="20"/>
        </w:rPr>
        <w:t>Stability test results demonstrated that meropenem and its ORM in human serum and CSF samples exhibited reliable stability under the following conditions: long-term storage at -80℃ for 30 days, three freeze-thaw cycles, short-term incubation on ice (mimicking ambient temperature exposure) for 1 hour, and post-treatment storage in the autosampler at 4℃ for 24 hours. Specifically, the relative standard deviation (RSD) values were consistently below 15%, and the relative error (RE) values were maintained within the range of ±15%, which fully meets the requirements for biological sample analysis.</w:t>
      </w:r>
    </w:p>
    <w:p w14:paraId="0653616A" w14:textId="77777777" w:rsidR="00181BFF" w:rsidRDefault="004722A3" w:rsidP="000A27B0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  <w:lang w:eastAsia="en-US"/>
        </w:rPr>
        <w:t xml:space="preserve">Matrix Effect </w:t>
      </w:r>
    </w:p>
    <w:p w14:paraId="5057C611" w14:textId="77777777" w:rsidR="00E23457" w:rsidRDefault="004722A3" w:rsidP="000A27B0">
      <w:pPr>
        <w:pStyle w:val="p1"/>
        <w:spacing w:line="480" w:lineRule="auto"/>
        <w:jc w:val="both"/>
        <w:rPr>
          <w:rFonts w:ascii="Arial Regular" w:eastAsia="Helvetica" w:hAnsi="Arial Regular" w:cs="Arial Regular"/>
          <w:bCs/>
          <w:sz w:val="20"/>
          <w:szCs w:val="20"/>
        </w:rPr>
      </w:pPr>
      <w:r>
        <w:rPr>
          <w:rFonts w:ascii="Arial Regular" w:eastAsia="Helvetica" w:hAnsi="Arial Regular" w:cs="Arial Regular"/>
          <w:bCs/>
          <w:sz w:val="20"/>
          <w:szCs w:val="20"/>
        </w:rPr>
        <w:t xml:space="preserve">The precision (RSD) of meropenem in serum ranged from 3.2% to 3.8%, with accuracy (RE) between 8.0% and 9.3%. For the ORM in serum, precision was 3.1%–6.9% and accuracy </w:t>
      </w:r>
      <w:r>
        <w:rPr>
          <w:rFonts w:ascii="Arial Regular" w:eastAsia="Helvetica" w:hAnsi="Arial Regular" w:cs="Arial Regular"/>
          <w:bCs/>
          <w:sz w:val="20"/>
          <w:szCs w:val="20"/>
        </w:rPr>
        <w:lastRenderedPageBreak/>
        <w:t>ranged from -6.9% to 8.5%. In CSF, meropenem exhibited precision of 4.6%–5.6% and accuracy of 4.6%–6.5%, while its metabolite showed precision of 3.5%–7.8% and accuracy between -9.6% and -7.1%. The results demonstrate that under the chromatographic and mass spectrometric conditions applied in this study, no significant matrix effect was observed in either serum or CSF.</w:t>
      </w:r>
    </w:p>
    <w:p w14:paraId="3783310A" w14:textId="77777777" w:rsidR="00E23457" w:rsidRDefault="00E23457" w:rsidP="000A27B0">
      <w:pPr>
        <w:pStyle w:val="p1"/>
        <w:spacing w:line="480" w:lineRule="auto"/>
        <w:jc w:val="both"/>
        <w:rPr>
          <w:rFonts w:ascii="Arial Regular" w:eastAsia="Helvetica" w:hAnsi="Arial Regular" w:cs="Arial Regular"/>
          <w:bCs/>
          <w:sz w:val="20"/>
          <w:szCs w:val="20"/>
        </w:rPr>
      </w:pPr>
    </w:p>
    <w:p w14:paraId="606A4AA6" w14:textId="77777777" w:rsidR="00E23457" w:rsidRDefault="00E23457" w:rsidP="000A27B0">
      <w:pPr>
        <w:pStyle w:val="p1"/>
        <w:spacing w:line="480" w:lineRule="auto"/>
        <w:jc w:val="both"/>
        <w:rPr>
          <w:rFonts w:ascii="Arial Regular" w:eastAsia="Helvetica" w:hAnsi="Arial Regular" w:cs="Arial Regular"/>
          <w:bCs/>
          <w:sz w:val="20"/>
          <w:szCs w:val="20"/>
        </w:rPr>
      </w:pPr>
    </w:p>
    <w:p w14:paraId="74AE4A9C" w14:textId="77777777" w:rsidR="00E23457" w:rsidRDefault="00E23457" w:rsidP="000A27B0">
      <w:pPr>
        <w:pStyle w:val="p1"/>
        <w:spacing w:line="480" w:lineRule="auto"/>
        <w:jc w:val="both"/>
        <w:rPr>
          <w:rFonts w:ascii="Arial Regular" w:eastAsia="Helvetica" w:hAnsi="Arial Regular" w:cs="Arial Regular"/>
          <w:bCs/>
          <w:sz w:val="20"/>
          <w:szCs w:val="20"/>
        </w:rPr>
      </w:pPr>
    </w:p>
    <w:p w14:paraId="4513BC08" w14:textId="77777777" w:rsidR="00E23457" w:rsidRDefault="00E23457" w:rsidP="00E23457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Theme="minorEastAsia" w:hAnsi="Arial" w:cs="Arial"/>
          <w:b/>
          <w:color w:val="auto"/>
          <w:sz w:val="20"/>
          <w:szCs w:val="20"/>
        </w:rPr>
        <w:t>Supplementary Table 1</w:t>
      </w:r>
      <w:r>
        <w:rPr>
          <w:rFonts w:ascii="Arial" w:eastAsiaTheme="minorEastAsia" w:hAnsi="Arial" w:cs="Arial" w:hint="eastAsia"/>
          <w:b/>
          <w:color w:val="auto"/>
          <w:sz w:val="20"/>
          <w:szCs w:val="20"/>
        </w:rPr>
        <w:t xml:space="preserve"> </w:t>
      </w:r>
      <w:r w:rsidRPr="00101B80">
        <w:rPr>
          <w:rFonts w:ascii="Arial" w:eastAsiaTheme="minorEastAsia" w:hAnsi="Arial" w:cs="Arial"/>
          <w:color w:val="auto"/>
          <w:sz w:val="20"/>
          <w:szCs w:val="20"/>
        </w:rPr>
        <w:t>S</w:t>
      </w:r>
      <w:r>
        <w:rPr>
          <w:rFonts w:ascii="Arial" w:eastAsia="Helvetica" w:hAnsi="Arial" w:cs="Arial"/>
          <w:bCs/>
          <w:sz w:val="20"/>
          <w:szCs w:val="20"/>
        </w:rPr>
        <w:t xml:space="preserve">tandard Curve Equations of Meropenem and Its ORM </w:t>
      </w:r>
    </w:p>
    <w:tbl>
      <w:tblPr>
        <w:tblStyle w:val="TableGrid"/>
        <w:tblW w:w="8647" w:type="dxa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94"/>
        <w:gridCol w:w="1701"/>
        <w:gridCol w:w="1559"/>
        <w:gridCol w:w="2693"/>
      </w:tblGrid>
      <w:tr w:rsidR="00E23457" w14:paraId="51CF2A36" w14:textId="77777777" w:rsidTr="00697ED9">
        <w:trPr>
          <w:trHeight w:val="305"/>
        </w:trPr>
        <w:tc>
          <w:tcPr>
            <w:tcW w:w="2694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21215F91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Sample</w:t>
            </w: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s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85BFD4B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Slope</w:t>
            </w: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>(×10</w:t>
            </w:r>
            <w:r>
              <w:rPr>
                <w:rFonts w:ascii="Arial" w:eastAsia="SimSun" w:hAnsi="Arial" w:cs="Arial" w:hint="eastAsia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-1</w:t>
            </w: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155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1C10E1E4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>Offset</w:t>
            </w: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 xml:space="preserve"> </w:t>
            </w: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>(×10</w:t>
            </w:r>
            <w:r>
              <w:rPr>
                <w:rFonts w:ascii="Arial" w:eastAsia="SimSun" w:hAnsi="Arial" w:cs="Arial" w:hint="eastAsia"/>
                <w:color w:val="000000"/>
                <w:kern w:val="0"/>
                <w:sz w:val="20"/>
                <w:szCs w:val="20"/>
                <w:vertAlign w:val="superscript"/>
                <w14:ligatures w14:val="none"/>
              </w:rPr>
              <w:t>-3</w:t>
            </w: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>)</w:t>
            </w:r>
          </w:p>
        </w:tc>
        <w:tc>
          <w:tcPr>
            <w:tcW w:w="2693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14:paraId="4EB6B1C8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color w:val="000000"/>
                <w:kern w:val="0"/>
                <w:sz w:val="20"/>
                <w:szCs w:val="20"/>
                <w14:ligatures w14:val="none"/>
              </w:rPr>
              <w:t xml:space="preserve">Correlation coefficient </w:t>
            </w:r>
            <w:r>
              <w:rPr>
                <w:rFonts w:ascii="Arial" w:eastAsia="Helvetica" w:hAnsi="Arial" w:cs="Arial"/>
                <w:bCs/>
                <w:color w:val="000000"/>
                <w:kern w:val="0"/>
                <w:sz w:val="20"/>
                <w:szCs w:val="20"/>
                <w14:ligatures w14:val="none"/>
              </w:rPr>
              <w:t>(</w:t>
            </w:r>
            <w:r>
              <w:rPr>
                <w:rFonts w:ascii="Arial" w:eastAsia="Helvetica" w:hAnsi="Arial" w:cs="Arial" w:hint="eastAsia"/>
                <w:bCs/>
                <w:color w:val="000000"/>
                <w:kern w:val="0"/>
                <w:sz w:val="20"/>
                <w:szCs w:val="20"/>
                <w14:ligatures w14:val="none"/>
              </w:rPr>
              <w:t>r</w:t>
            </w:r>
            <w:r>
              <w:rPr>
                <w:rFonts w:ascii="Arial" w:eastAsia="Helvetica" w:hAnsi="Arial" w:cs="Arial"/>
                <w:bCs/>
                <w:color w:val="000000"/>
                <w:kern w:val="0"/>
                <w:sz w:val="20"/>
                <w:szCs w:val="20"/>
                <w14:ligatures w14:val="none"/>
              </w:rPr>
              <w:t>)</w:t>
            </w:r>
          </w:p>
        </w:tc>
      </w:tr>
      <w:tr w:rsidR="00E23457" w14:paraId="4DAEC133" w14:textId="77777777" w:rsidTr="00697ED9">
        <w:tc>
          <w:tcPr>
            <w:tcW w:w="2694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13932A51" w14:textId="77777777" w:rsidR="00E23457" w:rsidRDefault="00E23457" w:rsidP="00697ED9">
            <w:pPr>
              <w:spacing w:after="0" w:line="240" w:lineRule="auto"/>
              <w:textAlignment w:val="bottom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Meropenem serum sample</w:t>
            </w:r>
          </w:p>
        </w:tc>
        <w:tc>
          <w:tcPr>
            <w:tcW w:w="1701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FCB30F5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9.39</w:t>
            </w:r>
          </w:p>
        </w:tc>
        <w:tc>
          <w:tcPr>
            <w:tcW w:w="1559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121DE15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-11.40</w:t>
            </w:r>
          </w:p>
        </w:tc>
        <w:tc>
          <w:tcPr>
            <w:tcW w:w="2693" w:type="dxa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0B516C27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0.9978</w:t>
            </w:r>
          </w:p>
        </w:tc>
      </w:tr>
      <w:tr w:rsidR="00E23457" w14:paraId="1F5E8159" w14:textId="77777777" w:rsidTr="00697ED9"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36AD3D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ORM serum sample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A0C7F1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3.58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2326AB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-8.67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8F37DA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0.9958</w:t>
            </w:r>
          </w:p>
        </w:tc>
      </w:tr>
      <w:tr w:rsidR="00E23457" w14:paraId="134B17F6" w14:textId="77777777" w:rsidTr="00697ED9"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94F8B8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Meropenem CSF sample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1665F6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4.65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527444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1.59</w:t>
            </w:r>
          </w:p>
        </w:tc>
        <w:tc>
          <w:tcPr>
            <w:tcW w:w="26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43561A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0.9987</w:t>
            </w:r>
          </w:p>
        </w:tc>
      </w:tr>
      <w:tr w:rsidR="00E23457" w14:paraId="2A9D1848" w14:textId="77777777" w:rsidTr="00697ED9">
        <w:tc>
          <w:tcPr>
            <w:tcW w:w="2694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42E2FD27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ORM CSF sample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9169145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2.31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11CFBE37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-0.67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12" w:space="0" w:color="auto"/>
              <w:right w:val="nil"/>
            </w:tcBorders>
            <w:vAlign w:val="center"/>
          </w:tcPr>
          <w:p w14:paraId="69C0F5A8" w14:textId="77777777" w:rsidR="00E23457" w:rsidRDefault="00E23457" w:rsidP="00697ED9">
            <w:pPr>
              <w:spacing w:after="0" w:line="240" w:lineRule="auto"/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0</w:t>
            </w:r>
            <w:r>
              <w:rPr>
                <w:rFonts w:ascii="Arial" w:eastAsia="SimSun" w:hAnsi="Arial" w:cs="Arial"/>
                <w:kern w:val="0"/>
                <w:sz w:val="20"/>
                <w:szCs w:val="20"/>
                <w14:ligatures w14:val="none"/>
              </w:rPr>
              <w:t>.</w:t>
            </w:r>
            <w:r>
              <w:rPr>
                <w:rFonts w:ascii="Arial" w:eastAsia="SimSun" w:hAnsi="Arial" w:cs="Arial" w:hint="eastAsia"/>
                <w:kern w:val="0"/>
                <w:sz w:val="20"/>
                <w:szCs w:val="20"/>
                <w14:ligatures w14:val="none"/>
              </w:rPr>
              <w:t>9971</w:t>
            </w:r>
          </w:p>
        </w:tc>
      </w:tr>
    </w:tbl>
    <w:p w14:paraId="67B94B5C" w14:textId="77777777" w:rsidR="00E23457" w:rsidRDefault="00E23457" w:rsidP="00E23457">
      <w:pPr>
        <w:pStyle w:val="p1"/>
        <w:spacing w:line="480" w:lineRule="auto"/>
        <w:jc w:val="both"/>
        <w:rPr>
          <w:rFonts w:ascii="Arial" w:eastAsiaTheme="minorEastAsia" w:hAnsi="Arial" w:cs="Arial"/>
          <w:b/>
          <w:bCs/>
          <w:i/>
          <w:iCs/>
          <w:color w:val="auto"/>
          <w:sz w:val="28"/>
          <w:szCs w:val="28"/>
        </w:rPr>
      </w:pPr>
    </w:p>
    <w:p w14:paraId="47CCC340" w14:textId="3AC362B3" w:rsidR="00181BFF" w:rsidRDefault="004722A3" w:rsidP="000A27B0">
      <w:pPr>
        <w:pStyle w:val="p1"/>
        <w:spacing w:line="480" w:lineRule="auto"/>
        <w:jc w:val="both"/>
        <w:rPr>
          <w:rFonts w:ascii="Arial Regular" w:eastAsia="Helvetica" w:hAnsi="Arial Regular" w:cs="Arial Regular"/>
          <w:bCs/>
          <w:sz w:val="20"/>
          <w:szCs w:val="20"/>
        </w:rPr>
      </w:pPr>
      <w:r>
        <w:rPr>
          <w:rFonts w:ascii="Arial Regular" w:eastAsia="Helvetica" w:hAnsi="Arial Regular" w:cs="Arial Regular"/>
          <w:bCs/>
          <w:sz w:val="20"/>
          <w:szCs w:val="20"/>
        </w:rPr>
        <w:br w:type="page"/>
      </w:r>
    </w:p>
    <w:p w14:paraId="324E5E4D" w14:textId="58E7B63E" w:rsidR="00E23457" w:rsidRDefault="00E23457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  <w:r>
        <w:rPr>
          <w:rFonts w:ascii="Arial" w:eastAsia="Helvetica" w:hAnsi="Arial" w:cs="Arial"/>
          <w:b/>
          <w:noProof/>
          <w:sz w:val="20"/>
          <w:szCs w:val="20"/>
        </w:rPr>
        <w:lastRenderedPageBreak/>
        <w:drawing>
          <wp:inline distT="0" distB="0" distL="0" distR="0" wp14:anchorId="4C474403" wp14:editId="18A8C448">
            <wp:extent cx="6197354" cy="1834734"/>
            <wp:effectExtent l="0" t="0" r="0" b="0"/>
            <wp:docPr id="1255352391" name="Picture 4" descr="A black and white image of a molec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352391" name="Picture 4" descr="A black and white image of a molecule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8" cy="183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B3A61" w14:textId="197D3FC2" w:rsidR="00181BFF" w:rsidRDefault="004722A3" w:rsidP="000A27B0">
      <w:pPr>
        <w:pStyle w:val="p1"/>
        <w:spacing w:line="480" w:lineRule="auto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eastAsia="Helvetica" w:hAnsi="Arial" w:cs="Arial"/>
          <w:b/>
          <w:sz w:val="20"/>
          <w:szCs w:val="20"/>
        </w:rPr>
        <w:t>Supplementary</w:t>
      </w:r>
      <w:r>
        <w:rPr>
          <w:rFonts w:ascii="Arial" w:eastAsia="Helvetica" w:hAnsi="Arial" w:cs="Arial" w:hint="eastAsia"/>
          <w:b/>
          <w:sz w:val="20"/>
          <w:szCs w:val="20"/>
        </w:rPr>
        <w:t xml:space="preserve"> Figure 1 </w:t>
      </w:r>
      <w:r>
        <w:rPr>
          <w:rFonts w:ascii="Arial" w:hAnsi="Arial" w:cs="Arial"/>
          <w:bCs/>
          <w:sz w:val="20"/>
          <w:szCs w:val="20"/>
        </w:rPr>
        <w:t xml:space="preserve">Molecular structure of </w:t>
      </w:r>
      <w:r w:rsidR="006F1832">
        <w:rPr>
          <w:rFonts w:ascii="Arial" w:hAnsi="Arial" w:cs="Arial"/>
          <w:bCs/>
          <w:sz w:val="20"/>
          <w:szCs w:val="20"/>
        </w:rPr>
        <w:t>(</w:t>
      </w:r>
      <w:r w:rsidR="006F1832" w:rsidRPr="00700C40">
        <w:rPr>
          <w:rFonts w:ascii="Arial" w:hAnsi="Arial" w:cs="Arial"/>
          <w:b/>
          <w:bCs/>
          <w:sz w:val="20"/>
          <w:szCs w:val="20"/>
        </w:rPr>
        <w:t>A</w:t>
      </w:r>
      <w:r w:rsidR="006F1832">
        <w:rPr>
          <w:rFonts w:ascii="Arial" w:hAnsi="Arial" w:cs="Arial"/>
          <w:bCs/>
          <w:sz w:val="20"/>
          <w:szCs w:val="20"/>
        </w:rPr>
        <w:t xml:space="preserve">) </w:t>
      </w:r>
      <w:r>
        <w:rPr>
          <w:rFonts w:ascii="Arial" w:hAnsi="Arial" w:cs="Arial"/>
          <w:bCs/>
          <w:sz w:val="20"/>
          <w:szCs w:val="20"/>
        </w:rPr>
        <w:t xml:space="preserve">meropenem and </w:t>
      </w:r>
      <w:r w:rsidR="004A12CC">
        <w:rPr>
          <w:rFonts w:ascii="Arial" w:hAnsi="Arial" w:cs="Arial"/>
          <w:bCs/>
          <w:sz w:val="20"/>
          <w:szCs w:val="20"/>
        </w:rPr>
        <w:t>(</w:t>
      </w:r>
      <w:r w:rsidR="004A12CC" w:rsidRPr="00700C40">
        <w:rPr>
          <w:rFonts w:ascii="Arial" w:hAnsi="Arial" w:cs="Arial"/>
          <w:b/>
          <w:bCs/>
          <w:sz w:val="20"/>
          <w:szCs w:val="20"/>
        </w:rPr>
        <w:t>B</w:t>
      </w:r>
      <w:r w:rsidR="004A12CC">
        <w:rPr>
          <w:rFonts w:ascii="Arial" w:hAnsi="Arial" w:cs="Arial"/>
          <w:bCs/>
          <w:sz w:val="20"/>
          <w:szCs w:val="20"/>
        </w:rPr>
        <w:t xml:space="preserve">) </w:t>
      </w:r>
      <w:r>
        <w:rPr>
          <w:rFonts w:ascii="Arial" w:hAnsi="Arial" w:cs="Arial"/>
          <w:bCs/>
          <w:sz w:val="20"/>
          <w:szCs w:val="20"/>
        </w:rPr>
        <w:t>its main degradation</w:t>
      </w:r>
      <w:r>
        <w:rPr>
          <w:rFonts w:ascii="Arial" w:hAnsi="Arial" w:cs="Arial" w:hint="eastAsia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product, the open-ring</w:t>
      </w:r>
      <w:r>
        <w:rPr>
          <w:rFonts w:ascii="Arial" w:hAnsi="Arial" w:cs="Arial" w:hint="eastAsia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metabolite (ORM).</w:t>
      </w:r>
    </w:p>
    <w:p w14:paraId="4DAB63B2" w14:textId="77777777" w:rsidR="00181BFF" w:rsidRDefault="004722A3" w:rsidP="000A27B0">
      <w:pPr>
        <w:pStyle w:val="p1"/>
        <w:spacing w:line="480" w:lineRule="auto"/>
        <w:jc w:val="both"/>
        <w:rPr>
          <w:rFonts w:ascii="Arial" w:hAnsi="Arial" w:cs="Arial"/>
          <w:bCs/>
          <w:sz w:val="20"/>
          <w:szCs w:val="20"/>
        </w:rPr>
      </w:pPr>
      <w:r>
        <w:rPr>
          <w:rFonts w:ascii="Arial" w:eastAsia="Helvetica" w:hAnsi="Arial" w:cs="Arial"/>
          <w:b/>
          <w:sz w:val="20"/>
          <w:szCs w:val="20"/>
        </w:rPr>
        <w:t xml:space="preserve">Notes: </w:t>
      </w:r>
      <w:r>
        <w:rPr>
          <w:rFonts w:ascii="Arial" w:hAnsi="Arial" w:cs="Arial"/>
          <w:bCs/>
          <w:sz w:val="20"/>
          <w:szCs w:val="20"/>
        </w:rPr>
        <w:t>Source</w:t>
      </w:r>
      <w:r>
        <w:rPr>
          <w:rFonts w:ascii="Arial" w:hAnsi="Arial" w:cs="Arial" w:hint="eastAsia"/>
          <w:bCs/>
          <w:sz w:val="20"/>
          <w:szCs w:val="20"/>
        </w:rPr>
        <w:t xml:space="preserve"> </w:t>
      </w:r>
      <w:r>
        <w:rPr>
          <w:rFonts w:ascii="Arial" w:hAnsi="Arial" w:cs="Arial"/>
          <w:bCs/>
          <w:sz w:val="20"/>
          <w:szCs w:val="20"/>
        </w:rPr>
        <w:t>reprinted from Liebchen et al., Antibiotics, 2021, 10(6), 715 (https://doi.org/10.3390/antibiotics10060715). Licensed under CC BY 4.0.</w:t>
      </w:r>
    </w:p>
    <w:p w14:paraId="57113F9F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1E81FD28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51733D6F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7BA1B96E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188214E9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68A3E77F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595BFC2D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7C3210F9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0E7C4780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13F75FCD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1EDB7995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65909838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63782AC0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</w:p>
    <w:p w14:paraId="2FB09AAC" w14:textId="344E0FC1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  <w:r>
        <w:rPr>
          <w:rFonts w:ascii="Arial" w:eastAsia="Helvetica" w:hAnsi="Arial" w:cs="Arial"/>
          <w:b/>
          <w:noProof/>
          <w:sz w:val="20"/>
          <w:szCs w:val="20"/>
        </w:rPr>
        <w:lastRenderedPageBreak/>
        <w:drawing>
          <wp:inline distT="0" distB="0" distL="0" distR="0" wp14:anchorId="31BF2626" wp14:editId="61B9F934">
            <wp:extent cx="4985385" cy="8863330"/>
            <wp:effectExtent l="0" t="0" r="5715" b="0"/>
            <wp:docPr id="6454593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459371" name="Picture 64545937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C6FF1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/>
          <w:sz w:val="20"/>
          <w:szCs w:val="20"/>
        </w:rPr>
        <w:lastRenderedPageBreak/>
        <w:t>Supplementary</w:t>
      </w:r>
      <w:r>
        <w:rPr>
          <w:rFonts w:ascii="Arial" w:eastAsia="Helvetica" w:hAnsi="Arial" w:cs="Arial" w:hint="eastAsia"/>
          <w:b/>
          <w:sz w:val="20"/>
          <w:szCs w:val="20"/>
        </w:rPr>
        <w:t xml:space="preserve"> Figure </w:t>
      </w:r>
      <w:r>
        <w:rPr>
          <w:rFonts w:ascii="Arial" w:eastAsia="Helvetica" w:hAnsi="Arial" w:cs="Arial"/>
          <w:b/>
          <w:sz w:val="20"/>
          <w:szCs w:val="20"/>
        </w:rPr>
        <w:t xml:space="preserve">2 </w:t>
      </w:r>
      <w:r>
        <w:rPr>
          <w:rFonts w:ascii="Arial" w:eastAsia="Helvetica" w:hAnsi="Arial" w:cs="Arial"/>
          <w:bCs/>
          <w:sz w:val="20"/>
          <w:szCs w:val="20"/>
        </w:rPr>
        <w:t>Typical MRM Chromatograms of Meropenem, Its ORM, and Internal Standards (Meropenem-D6 and ORM-D6) in Human Serum Determined by LC-MS/MS</w:t>
      </w:r>
    </w:p>
    <w:p w14:paraId="34FF46F2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/>
          <w:sz w:val="20"/>
          <w:szCs w:val="20"/>
        </w:rPr>
        <w:t xml:space="preserve">Notes: </w:t>
      </w:r>
      <w:r>
        <w:rPr>
          <w:rFonts w:ascii="Arial" w:eastAsia="Helvetica" w:hAnsi="Arial" w:cs="Arial"/>
          <w:bCs/>
          <w:sz w:val="20"/>
          <w:szCs w:val="20"/>
        </w:rPr>
        <w:t>(A) Blank human serum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>(B)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>Blank human serum spiked with meropenem, its ORM, and internal standards (C) Representative patient serum sample</w:t>
      </w:r>
      <w:r>
        <w:rPr>
          <w:rFonts w:ascii="SimSun" w:hAnsi="SimSun" w:hint="eastAsia"/>
          <w:bCs/>
          <w:sz w:val="20"/>
          <w:szCs w:val="20"/>
        </w:rPr>
        <w:t>；；</w:t>
      </w:r>
      <w:r>
        <w:rPr>
          <w:rFonts w:ascii="Arial" w:eastAsia="Helvetica" w:hAnsi="Arial" w:cs="Arial"/>
          <w:bCs/>
          <w:sz w:val="20"/>
          <w:szCs w:val="20"/>
        </w:rPr>
        <w:t>Peaks are labeled as follows: I, meropenem; II, meropenem-D6; III, ORM; IV, ORM-D6.</w:t>
      </w:r>
    </w:p>
    <w:p w14:paraId="5564B251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29CD80D1" w14:textId="77777777" w:rsidR="00F9540A" w:rsidRDefault="00F9540A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7EDA78FF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0F311577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4BBFD36D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403951A1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2283CCE8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5DA5FC67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17D32E03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2452E4AC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6565EB79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48A7A157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4A617943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70829C2B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3B3F22DE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0B08C239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623C19F9" w14:textId="77777777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</w:p>
    <w:p w14:paraId="539A622D" w14:textId="45B625BC" w:rsidR="00337DB6" w:rsidRDefault="00337DB6" w:rsidP="000A27B0">
      <w:pPr>
        <w:pStyle w:val="p1"/>
        <w:spacing w:line="480" w:lineRule="auto"/>
        <w:jc w:val="both"/>
        <w:rPr>
          <w:rFonts w:ascii="Arial" w:eastAsia="Helvetica" w:hAnsi="Arial" w:cs="Arial"/>
          <w:bCs/>
          <w:sz w:val="20"/>
          <w:szCs w:val="20"/>
        </w:rPr>
      </w:pPr>
      <w:r>
        <w:rPr>
          <w:rFonts w:ascii="Arial" w:eastAsia="Helvetica" w:hAnsi="Arial" w:cs="Arial"/>
          <w:bCs/>
          <w:noProof/>
          <w:sz w:val="20"/>
          <w:szCs w:val="20"/>
        </w:rPr>
        <w:lastRenderedPageBreak/>
        <w:drawing>
          <wp:inline distT="0" distB="0" distL="0" distR="0" wp14:anchorId="77D278EE" wp14:editId="6CDEB8BA">
            <wp:extent cx="4985385" cy="8863330"/>
            <wp:effectExtent l="0" t="0" r="5715" b="0"/>
            <wp:docPr id="774864639" name="Picture 6" descr="A close-up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864639" name="Picture 6" descr="A close-up of a graph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8538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175F3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</w:rPr>
      </w:pPr>
      <w:r>
        <w:rPr>
          <w:rFonts w:ascii="Arial" w:eastAsia="Helvetica" w:hAnsi="Arial" w:cs="Arial"/>
          <w:b/>
          <w:sz w:val="20"/>
          <w:szCs w:val="20"/>
        </w:rPr>
        <w:lastRenderedPageBreak/>
        <w:t>Supplementary</w:t>
      </w:r>
      <w:r>
        <w:rPr>
          <w:rFonts w:ascii="Arial" w:eastAsia="Helvetica" w:hAnsi="Arial" w:cs="Arial" w:hint="eastAsia"/>
          <w:b/>
          <w:sz w:val="20"/>
          <w:szCs w:val="20"/>
        </w:rPr>
        <w:t xml:space="preserve"> Figure </w:t>
      </w:r>
      <w:r>
        <w:rPr>
          <w:rFonts w:ascii="Arial" w:eastAsia="Helvetica" w:hAnsi="Arial" w:cs="Arial"/>
          <w:b/>
          <w:sz w:val="20"/>
          <w:szCs w:val="20"/>
        </w:rPr>
        <w:t xml:space="preserve">3 </w:t>
      </w:r>
      <w:r>
        <w:rPr>
          <w:rFonts w:ascii="Arial" w:eastAsia="Helvetica" w:hAnsi="Arial" w:cs="Arial"/>
          <w:bCs/>
          <w:sz w:val="20"/>
          <w:szCs w:val="20"/>
        </w:rPr>
        <w:t xml:space="preserve">Typical MRM Chromatograms of Meropenem, Its ORM, and Internal Standards (Meropenem-D6 and ORM-D6) in Human Cerebrospinal fluid </w:t>
      </w:r>
      <w:r>
        <w:rPr>
          <w:rFonts w:ascii="Arial" w:hAnsi="Arial" w:cs="Arial"/>
          <w:bCs/>
          <w:sz w:val="20"/>
          <w:szCs w:val="20"/>
        </w:rPr>
        <w:t>(CSF)</w:t>
      </w:r>
      <w:r>
        <w:rPr>
          <w:rFonts w:ascii="Arial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>Determined by LC-MS/MS</w:t>
      </w:r>
      <w:r>
        <w:rPr>
          <w:rFonts w:ascii="Arial" w:eastAsia="Helvetica" w:hAnsi="Arial" w:cs="Arial"/>
          <w:b/>
          <w:sz w:val="20"/>
          <w:szCs w:val="20"/>
        </w:rPr>
        <w:t xml:space="preserve"> </w:t>
      </w:r>
    </w:p>
    <w:p w14:paraId="1026C26C" w14:textId="77777777" w:rsidR="00181BFF" w:rsidRDefault="004722A3" w:rsidP="000A27B0">
      <w:pPr>
        <w:pStyle w:val="p1"/>
        <w:spacing w:line="480" w:lineRule="auto"/>
        <w:jc w:val="both"/>
        <w:rPr>
          <w:rFonts w:ascii="Arial" w:eastAsia="Helvetica" w:hAnsi="Arial" w:cs="Arial"/>
          <w:b/>
          <w:sz w:val="20"/>
          <w:szCs w:val="20"/>
          <w14:ligatures w14:val="standardContextual"/>
        </w:rPr>
      </w:pPr>
      <w:r>
        <w:rPr>
          <w:rFonts w:ascii="Arial" w:eastAsia="Helvetica" w:hAnsi="Arial" w:cs="Arial"/>
          <w:b/>
          <w:sz w:val="20"/>
          <w:szCs w:val="20"/>
        </w:rPr>
        <w:t xml:space="preserve">Notes: </w:t>
      </w:r>
      <w:r>
        <w:rPr>
          <w:rFonts w:ascii="Arial" w:eastAsia="Helvetica" w:hAnsi="Arial" w:cs="Arial"/>
          <w:bCs/>
          <w:sz w:val="20"/>
          <w:szCs w:val="20"/>
        </w:rPr>
        <w:t>(A) Blank human CSF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>(B)</w:t>
      </w:r>
      <w:r>
        <w:rPr>
          <w:rFonts w:ascii="Arial" w:eastAsia="Helvetica" w:hAnsi="Arial" w:cs="Arial" w:hint="eastAsia"/>
          <w:bCs/>
          <w:sz w:val="20"/>
          <w:szCs w:val="20"/>
        </w:rPr>
        <w:t xml:space="preserve"> </w:t>
      </w:r>
      <w:r>
        <w:rPr>
          <w:rFonts w:ascii="Arial" w:eastAsia="Helvetica" w:hAnsi="Arial" w:cs="Arial"/>
          <w:bCs/>
          <w:sz w:val="20"/>
          <w:szCs w:val="20"/>
        </w:rPr>
        <w:t>Blank human CSF spiked with meropenem, its ORM, and internal standards (C) Representative patient CSF sample</w:t>
      </w:r>
      <w:r>
        <w:rPr>
          <w:rFonts w:ascii="SimSun" w:hAnsi="SimSun" w:hint="eastAsia"/>
          <w:bCs/>
          <w:sz w:val="20"/>
          <w:szCs w:val="20"/>
        </w:rPr>
        <w:t>；</w:t>
      </w:r>
      <w:r>
        <w:rPr>
          <w:rFonts w:ascii="Arial" w:eastAsia="Helvetica" w:hAnsi="Arial" w:cs="Arial"/>
          <w:bCs/>
          <w:sz w:val="20"/>
          <w:szCs w:val="20"/>
        </w:rPr>
        <w:t>Peaks are labeled as follows: I, meropenem; II, meropenem-D6; III, ORM; IV, ORM-D6.</w:t>
      </w:r>
    </w:p>
    <w:sectPr w:rsidR="00181BFF">
      <w:footerReference w:type="even" r:id="rId10"/>
      <w:footerReference w:type="default" r:id="rId11"/>
      <w:footerReference w:type="first" r:id="rId12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9377AA" w14:textId="77777777" w:rsidR="00B710C8" w:rsidRDefault="00B710C8">
      <w:pPr>
        <w:spacing w:line="240" w:lineRule="auto"/>
      </w:pPr>
      <w:r>
        <w:separator/>
      </w:r>
    </w:p>
  </w:endnote>
  <w:endnote w:type="continuationSeparator" w:id="0">
    <w:p w14:paraId="63171702" w14:textId="77777777" w:rsidR="00B710C8" w:rsidRDefault="00B710C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egular">
    <w:altName w:val="Arial"/>
    <w:charset w:val="00"/>
    <w:family w:val="auto"/>
    <w:pitch w:val="default"/>
    <w:sig w:usb0="E0000AFF" w:usb1="00007843" w:usb2="00000001" w:usb3="00000000" w:csb0="400001BF" w:csb1="DFF7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24526F" w14:textId="40421486" w:rsidR="00314160" w:rsidRDefault="00314160">
    <w:pPr>
      <w:pStyle w:val="Footer"/>
    </w:pPr>
    <w:r>
      <w:rPr>
        <w:noProof/>
        <w14:ligatures w14:val="none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21A1D17" wp14:editId="69007F8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1078266945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858648" w14:textId="457D549E" w:rsidR="00314160" w:rsidRPr="00314160" w:rsidRDefault="00314160" w:rsidP="00314160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14160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1A1D1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7.2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" filled="f" stroked="f">
              <v:textbox style="mso-fit-shape-to-text:t" inset="20pt,0,0,15pt">
                <w:txbxContent>
                  <w:p w14:paraId="48858648" w14:textId="457D549E" w:rsidR="00314160" w:rsidRPr="00314160" w:rsidRDefault="00314160" w:rsidP="00314160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14160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703D38" w14:textId="1664E8B9" w:rsidR="00314160" w:rsidRDefault="00314160">
    <w:pPr>
      <w:pStyle w:val="Footer"/>
    </w:pPr>
    <w:r>
      <w:rPr>
        <w:noProof/>
        <w14:ligatures w14:val="none"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3840BAD4" wp14:editId="2696D9E7">
              <wp:simplePos x="1143000" y="987742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1952779928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482BA6" w14:textId="0ABF36D5" w:rsidR="00314160" w:rsidRPr="00314160" w:rsidRDefault="00314160" w:rsidP="00314160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14160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40BAD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27.2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" filled="f" stroked="f">
              <v:textbox style="mso-fit-shape-to-text:t" inset="20pt,0,0,15pt">
                <w:txbxContent>
                  <w:p w14:paraId="2B482BA6" w14:textId="0ABF36D5" w:rsidR="00314160" w:rsidRPr="00314160" w:rsidRDefault="00314160" w:rsidP="00314160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14160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D96E22" w14:textId="200F89F9" w:rsidR="00314160" w:rsidRDefault="00314160">
    <w:pPr>
      <w:pStyle w:val="Footer"/>
    </w:pPr>
    <w:r>
      <w:rPr>
        <w:noProof/>
        <w14:ligatures w14:val="none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0F2CDFDD" wp14:editId="1CBCC1F5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46075"/>
              <wp:effectExtent l="0" t="0" r="9525" b="0"/>
              <wp:wrapNone/>
              <wp:docPr id="77307534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46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13CBE50" w14:textId="725DF1BB" w:rsidR="00314160" w:rsidRPr="00314160" w:rsidRDefault="00314160" w:rsidP="00314160">
                          <w:pPr>
                            <w:spacing w:after="0"/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314160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2CDFD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7.2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" filled="f" stroked="f">
              <v:textbox style="mso-fit-shape-to-text:t" inset="20pt,0,0,15pt">
                <w:txbxContent>
                  <w:p w14:paraId="613CBE50" w14:textId="725DF1BB" w:rsidR="00314160" w:rsidRPr="00314160" w:rsidRDefault="00314160" w:rsidP="00314160">
                    <w:pPr>
                      <w:spacing w:after="0"/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314160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2A18F4A" w14:textId="77777777" w:rsidR="00B710C8" w:rsidRDefault="00B710C8">
      <w:pPr>
        <w:spacing w:after="0"/>
      </w:pPr>
      <w:r>
        <w:separator/>
      </w:r>
    </w:p>
  </w:footnote>
  <w:footnote w:type="continuationSeparator" w:id="0">
    <w:p w14:paraId="7BFA9E84" w14:textId="77777777" w:rsidR="00B710C8" w:rsidRDefault="00B710C8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65C2"/>
    <w:rsid w:val="AF7AFD58"/>
    <w:rsid w:val="B6F7EF78"/>
    <w:rsid w:val="F6D970E5"/>
    <w:rsid w:val="00092AD7"/>
    <w:rsid w:val="000A27B0"/>
    <w:rsid w:val="000B109D"/>
    <w:rsid w:val="000E789E"/>
    <w:rsid w:val="000F38CA"/>
    <w:rsid w:val="0010166D"/>
    <w:rsid w:val="00101B80"/>
    <w:rsid w:val="001049BB"/>
    <w:rsid w:val="00114E03"/>
    <w:rsid w:val="001564F2"/>
    <w:rsid w:val="00163C69"/>
    <w:rsid w:val="00164F1C"/>
    <w:rsid w:val="00181BFF"/>
    <w:rsid w:val="001C0BBE"/>
    <w:rsid w:val="002002B5"/>
    <w:rsid w:val="002E2152"/>
    <w:rsid w:val="00306932"/>
    <w:rsid w:val="00314160"/>
    <w:rsid w:val="00317BFA"/>
    <w:rsid w:val="00337DB6"/>
    <w:rsid w:val="003A4998"/>
    <w:rsid w:val="00405082"/>
    <w:rsid w:val="00450AF0"/>
    <w:rsid w:val="004519E7"/>
    <w:rsid w:val="004722A3"/>
    <w:rsid w:val="00481CAA"/>
    <w:rsid w:val="00482F86"/>
    <w:rsid w:val="004A12CC"/>
    <w:rsid w:val="004A5FE5"/>
    <w:rsid w:val="004E7E30"/>
    <w:rsid w:val="00522C52"/>
    <w:rsid w:val="005276B6"/>
    <w:rsid w:val="005A2E03"/>
    <w:rsid w:val="005D298E"/>
    <w:rsid w:val="006050A2"/>
    <w:rsid w:val="00637B30"/>
    <w:rsid w:val="006534BE"/>
    <w:rsid w:val="006810F8"/>
    <w:rsid w:val="0069431F"/>
    <w:rsid w:val="006965C2"/>
    <w:rsid w:val="006B7125"/>
    <w:rsid w:val="006F1832"/>
    <w:rsid w:val="00700C40"/>
    <w:rsid w:val="00727179"/>
    <w:rsid w:val="00773D35"/>
    <w:rsid w:val="0078432A"/>
    <w:rsid w:val="007C7B88"/>
    <w:rsid w:val="007E5D58"/>
    <w:rsid w:val="00800375"/>
    <w:rsid w:val="00840EB3"/>
    <w:rsid w:val="0087524E"/>
    <w:rsid w:val="008C7CF2"/>
    <w:rsid w:val="009133E8"/>
    <w:rsid w:val="00914905"/>
    <w:rsid w:val="00934D4A"/>
    <w:rsid w:val="009472FD"/>
    <w:rsid w:val="009704BA"/>
    <w:rsid w:val="009719EB"/>
    <w:rsid w:val="009761E2"/>
    <w:rsid w:val="009877FA"/>
    <w:rsid w:val="009C136B"/>
    <w:rsid w:val="009D2EA3"/>
    <w:rsid w:val="00A67FA8"/>
    <w:rsid w:val="00AC0486"/>
    <w:rsid w:val="00AE24E0"/>
    <w:rsid w:val="00B1193A"/>
    <w:rsid w:val="00B24709"/>
    <w:rsid w:val="00B710C8"/>
    <w:rsid w:val="00BB437E"/>
    <w:rsid w:val="00BC1660"/>
    <w:rsid w:val="00C051DE"/>
    <w:rsid w:val="00C064B0"/>
    <w:rsid w:val="00C2494A"/>
    <w:rsid w:val="00C60433"/>
    <w:rsid w:val="00C821D5"/>
    <w:rsid w:val="00CA5D56"/>
    <w:rsid w:val="00CB199C"/>
    <w:rsid w:val="00D148D2"/>
    <w:rsid w:val="00DA34AF"/>
    <w:rsid w:val="00DB21C6"/>
    <w:rsid w:val="00DB6409"/>
    <w:rsid w:val="00DC6620"/>
    <w:rsid w:val="00DD70DB"/>
    <w:rsid w:val="00DE09A2"/>
    <w:rsid w:val="00DE3831"/>
    <w:rsid w:val="00DF7AF7"/>
    <w:rsid w:val="00E208EF"/>
    <w:rsid w:val="00E23457"/>
    <w:rsid w:val="00E31633"/>
    <w:rsid w:val="00E33571"/>
    <w:rsid w:val="00E57659"/>
    <w:rsid w:val="00E97574"/>
    <w:rsid w:val="00EA2F43"/>
    <w:rsid w:val="00EE0A2B"/>
    <w:rsid w:val="00F036D1"/>
    <w:rsid w:val="00F52406"/>
    <w:rsid w:val="00F9540A"/>
    <w:rsid w:val="00FE076B"/>
    <w:rsid w:val="00FF6A3F"/>
    <w:rsid w:val="0FBF8E15"/>
    <w:rsid w:val="2BFE3535"/>
    <w:rsid w:val="47DFCD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32C768A"/>
  <w14:defaultImageDpi w14:val="32767"/>
  <w15:docId w15:val="{3CE60C49-4CA1-B144-B694-023EC8BB78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spacing w:after="160" w:line="278" w:lineRule="auto"/>
    </w:pPr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after="0"/>
    </w:pPr>
    <w:rPr>
      <w:rFonts w:ascii="DengXian" w:eastAsia="DengXian" w:hAnsi="DengXian" w:cs="Times New Roman" w:hint="eastAsia"/>
      <w:sz w:val="21"/>
    </w:rPr>
  </w:style>
  <w:style w:type="paragraph" w:styleId="Subtitle">
    <w:name w:val="Subtitle"/>
    <w:basedOn w:val="Normal"/>
    <w:next w:val="Normal"/>
    <w:link w:val="SubtitleChar"/>
    <w:uiPriority w:val="11"/>
    <w:qFormat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NormalWeb">
    <w:name w:val="Normal (Web)"/>
    <w:basedOn w:val="Normal"/>
    <w:link w:val="NormalWebChar"/>
    <w:uiPriority w:val="99"/>
    <w:qFormat/>
    <w:pPr>
      <w:spacing w:beforeAutospacing="1" w:after="0" w:afterAutospacing="1" w:line="240" w:lineRule="auto"/>
    </w:pPr>
    <w:rPr>
      <w:rFonts w:cs="Times New Roman"/>
      <w:kern w:val="0"/>
      <w:sz w:val="24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cstheme="majorBidi"/>
      <w:color w:val="0F4761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eastAsiaTheme="majorEastAsia" w:cstheme="majorBidi"/>
      <w:color w:val="595959" w:themeColor="text1" w:themeTint="A6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1">
    <w:name w:val="明显强调1"/>
    <w:basedOn w:val="DefaultParagraphFont"/>
    <w:uiPriority w:val="21"/>
    <w:qFormat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character" w:customStyle="1" w:styleId="10">
    <w:name w:val="明显参考1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customStyle="1" w:styleId="p1">
    <w:name w:val="p1"/>
    <w:basedOn w:val="Normal"/>
    <w:pPr>
      <w:widowControl/>
      <w:spacing w:after="0" w:line="240" w:lineRule="auto"/>
    </w:pPr>
    <w:rPr>
      <w:rFonts w:ascii="Helvetica" w:eastAsia="SimSun" w:hAnsi="Helvetica" w:cs="SimSun"/>
      <w:color w:val="000000"/>
      <w:kern w:val="0"/>
      <w:sz w:val="18"/>
      <w:szCs w:val="18"/>
      <w14:ligatures w14:val="none"/>
    </w:rPr>
  </w:style>
  <w:style w:type="character" w:customStyle="1" w:styleId="NormalWebChar">
    <w:name w:val="Normal (Web) Char"/>
    <w:basedOn w:val="DefaultParagraphFont"/>
    <w:link w:val="NormalWeb"/>
    <w:uiPriority w:val="99"/>
    <w:qFormat/>
    <w:rPr>
      <w:rFonts w:cs="Times New Roman"/>
      <w:kern w:val="0"/>
      <w:sz w:val="24"/>
      <w14:ligatures w14:val="none"/>
    </w:rPr>
  </w:style>
  <w:style w:type="character" w:customStyle="1" w:styleId="CommentTextChar">
    <w:name w:val="Comment Text Char"/>
    <w:basedOn w:val="DefaultParagraphFont"/>
    <w:link w:val="CommentText"/>
    <w:rPr>
      <w:rFonts w:ascii="DengXian" w:eastAsia="DengXian" w:hAnsi="DengXian" w:cs="Times New Roman" w:hint="eastAsia"/>
      <w:kern w:val="2"/>
      <w:sz w:val="21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0A27B0"/>
  </w:style>
  <w:style w:type="paragraph" w:styleId="Footer">
    <w:name w:val="footer"/>
    <w:basedOn w:val="Normal"/>
    <w:link w:val="FooterChar"/>
    <w:uiPriority w:val="99"/>
    <w:unhideWhenUsed/>
    <w:rsid w:val="0031416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4160"/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paragraph" w:styleId="Revision">
    <w:name w:val="Revision"/>
    <w:hidden/>
    <w:uiPriority w:val="99"/>
    <w:unhideWhenUsed/>
    <w:rsid w:val="00E23457"/>
    <w:rPr>
      <w:rFonts w:asciiTheme="minorHAnsi" w:eastAsiaTheme="minorEastAsia" w:hAnsiTheme="minorHAnsi" w:cstheme="minorBidi"/>
      <w:kern w:val="2"/>
      <w:sz w:val="22"/>
      <w:szCs w:val="24"/>
      <w14:ligatures w14:val="standardContextual"/>
    </w:rPr>
  </w:style>
  <w:style w:type="character" w:styleId="CommentReference">
    <w:name w:val="annotation reference"/>
    <w:basedOn w:val="DefaultParagraphFont"/>
    <w:uiPriority w:val="99"/>
    <w:semiHidden/>
    <w:unhideWhenUsed/>
    <w:rsid w:val="00E23457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3457"/>
    <w:pPr>
      <w:spacing w:after="160" w:line="240" w:lineRule="auto"/>
    </w:pPr>
    <w:rPr>
      <w:rFonts w:asciiTheme="minorHAnsi" w:eastAsiaTheme="minorEastAsia" w:hAnsiTheme="minorHAnsi" w:cstheme="minorBidi" w:hint="default"/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3457"/>
    <w:rPr>
      <w:rFonts w:asciiTheme="minorHAnsi" w:eastAsiaTheme="minorEastAsia" w:hAnsiTheme="minorHAnsi" w:cstheme="minorBidi" w:hint="eastAsia"/>
      <w:b/>
      <w:bCs/>
      <w:kern w:val="2"/>
      <w:sz w:val="21"/>
      <w:szCs w:val="24"/>
      <w14:ligatures w14:val="standardContextu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34D4A"/>
    <w:pPr>
      <w:spacing w:after="0" w:line="240" w:lineRule="auto"/>
    </w:pPr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4D4A"/>
    <w:rPr>
      <w:rFonts w:asciiTheme="minorHAnsi" w:eastAsiaTheme="minorEastAsia" w:hAnsiTheme="minorHAnsi" w:cstheme="minorBidi"/>
      <w:kern w:val="2"/>
      <w:sz w:val="18"/>
      <w:szCs w:val="18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944</Words>
  <Characters>5384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t17948</dc:creator>
  <cp:lastModifiedBy>Shaw, Grace</cp:lastModifiedBy>
  <cp:revision>3</cp:revision>
  <dcterms:created xsi:type="dcterms:W3CDTF">2026-01-08T22:45:00Z</dcterms:created>
  <dcterms:modified xsi:type="dcterms:W3CDTF">2026-01-08T22:57:00Z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B854B349673E6B3F09E82E698030BBD2_42</vt:lpwstr>
  </property>
  <property fmtid="{D5CDD505-2E9C-101B-9397-08002B2CF9AE}" pid="4" name="ClassificationContentMarkingFooterShapeIds">
    <vt:lpwstr>49b9e8e,40450c41,74650e98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2025-12-23T02:57:58Z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ed6223c8-b948-43c6-bb05-6366b5771ebb</vt:lpwstr>
  </property>
  <property fmtid="{D5CDD505-2E9C-101B-9397-08002B2CF9AE}" pid="13" name="MSIP_Label_2bbab825-a111-45e4-86a1-18cee0005896_ContentBits">
    <vt:lpwstr>2</vt:lpwstr>
  </property>
  <property fmtid="{D5CDD505-2E9C-101B-9397-08002B2CF9AE}" pid="14" name="MSIP_Label_2bbab825-a111-45e4-86a1-18cee0005896_Tag">
    <vt:lpwstr>10, 3, 0, 1</vt:lpwstr>
  </property>
</Properties>
</file>