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4893" w14:textId="5E313F0F" w:rsidR="00255EB1" w:rsidRPr="00786CF6" w:rsidRDefault="00F82023" w:rsidP="00197119">
      <w:pPr>
        <w:rPr>
          <w:rFonts w:ascii="Times New Roman" w:hAnsi="Times New Roman" w:cs="Times New Roman"/>
        </w:rPr>
      </w:pPr>
      <w:r w:rsidRPr="00786CF6">
        <w:rPr>
          <w:rFonts w:ascii="Times New Roman" w:hAnsi="Times New Roman" w:cs="Times New Roman"/>
        </w:rPr>
        <w:t>Table S1</w:t>
      </w:r>
      <w:r w:rsidR="002214D7">
        <w:rPr>
          <w:rFonts w:ascii="Times New Roman" w:hAnsi="Times New Roman" w:cs="Times New Roman" w:hint="eastAsia"/>
        </w:rPr>
        <w:t xml:space="preserve">. </w:t>
      </w:r>
      <w:r w:rsidR="00197119" w:rsidRPr="00786CF6">
        <w:rPr>
          <w:rFonts w:ascii="Times New Roman" w:hAnsi="Times New Roman" w:cs="Times New Roman" w:hint="eastAsia"/>
        </w:rPr>
        <w:t>Baseline clinical and cycle characteristics in GnRH-a + HRT vs HRT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638"/>
        <w:gridCol w:w="1878"/>
        <w:gridCol w:w="1878"/>
        <w:gridCol w:w="912"/>
      </w:tblGrid>
      <w:tr w:rsidR="00F82023" w:rsidRPr="00786CF6" w14:paraId="30EE4400" w14:textId="77777777" w:rsidTr="00F274DC">
        <w:trPr>
          <w:trHeight w:val="24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6EC79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878F6D" w14:textId="77777777" w:rsidR="00F82023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GnRH-a</w:t>
            </w:r>
            <w:r w:rsidR="00E73548" w:rsidRPr="00786CF6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+</w:t>
            </w:r>
            <w:r w:rsidR="00E73548" w:rsidRPr="00786CF6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HRT</w:t>
            </w:r>
          </w:p>
          <w:p w14:paraId="66EB3C33" w14:textId="3FCB7F57" w:rsidR="008B2BA1" w:rsidRPr="00786CF6" w:rsidRDefault="008B2BA1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(N=599)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6ED5B8" w14:textId="77777777" w:rsidR="008B2BA1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HRT</w:t>
            </w:r>
          </w:p>
          <w:p w14:paraId="69715CA6" w14:textId="559EFD99" w:rsidR="00F82023" w:rsidRPr="00786CF6" w:rsidRDefault="008B2BA1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(N=1189)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FC2A44" w14:textId="17C1DEDC" w:rsidR="00F82023" w:rsidRPr="00F5272D" w:rsidRDefault="00931558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>p</w:t>
            </w:r>
          </w:p>
        </w:tc>
      </w:tr>
      <w:tr w:rsidR="00F82023" w:rsidRPr="00786CF6" w14:paraId="3E1F1A5B" w14:textId="77777777" w:rsidTr="00F274DC">
        <w:trPr>
          <w:trHeight w:val="247"/>
        </w:trPr>
        <w:tc>
          <w:tcPr>
            <w:tcW w:w="0" w:type="auto"/>
            <w:tcBorders>
              <w:top w:val="single" w:sz="4" w:space="0" w:color="auto"/>
            </w:tcBorders>
          </w:tcPr>
          <w:p w14:paraId="3FB390E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Age,</w:t>
            </w:r>
            <w:r w:rsidRPr="00786CF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CB1D7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35.00 (32.00–39.00)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369B3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35.00 (31.00–40.00)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ECD11C" w14:textId="53445E3C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.906</w:t>
            </w:r>
          </w:p>
        </w:tc>
      </w:tr>
      <w:tr w:rsidR="00F82023" w:rsidRPr="00786CF6" w14:paraId="7BB31526" w14:textId="77777777" w:rsidTr="00F274DC">
        <w:trPr>
          <w:trHeight w:val="247"/>
        </w:trPr>
        <w:tc>
          <w:tcPr>
            <w:tcW w:w="0" w:type="auto"/>
          </w:tcPr>
          <w:p w14:paraId="4A42E036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BMI, kg/m2</w:t>
            </w:r>
          </w:p>
        </w:tc>
        <w:tc>
          <w:tcPr>
            <w:tcW w:w="0" w:type="auto"/>
          </w:tcPr>
          <w:p w14:paraId="02A0589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21.63 (20.02–23.88)</w:t>
            </w:r>
          </w:p>
        </w:tc>
        <w:tc>
          <w:tcPr>
            <w:tcW w:w="0" w:type="auto"/>
          </w:tcPr>
          <w:p w14:paraId="5C72DAE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21.50 (19.83–23.82)</w:t>
            </w:r>
          </w:p>
        </w:tc>
        <w:tc>
          <w:tcPr>
            <w:tcW w:w="0" w:type="auto"/>
          </w:tcPr>
          <w:p w14:paraId="3D442E5A" w14:textId="00E017B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.237</w:t>
            </w:r>
          </w:p>
        </w:tc>
      </w:tr>
      <w:tr w:rsidR="00F82023" w:rsidRPr="00786CF6" w14:paraId="36AD8A48" w14:textId="77777777" w:rsidTr="00F274DC">
        <w:trPr>
          <w:trHeight w:val="247"/>
        </w:trPr>
        <w:tc>
          <w:tcPr>
            <w:tcW w:w="0" w:type="auto"/>
          </w:tcPr>
          <w:p w14:paraId="203F4692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AFC</w:t>
            </w:r>
          </w:p>
        </w:tc>
        <w:tc>
          <w:tcPr>
            <w:tcW w:w="0" w:type="auto"/>
          </w:tcPr>
          <w:p w14:paraId="36831AF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4.00 (3.00–6.00)</w:t>
            </w:r>
          </w:p>
        </w:tc>
        <w:tc>
          <w:tcPr>
            <w:tcW w:w="0" w:type="auto"/>
          </w:tcPr>
          <w:p w14:paraId="5EAD697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4.00 (3.00–6.00)</w:t>
            </w:r>
          </w:p>
        </w:tc>
        <w:tc>
          <w:tcPr>
            <w:tcW w:w="0" w:type="auto"/>
          </w:tcPr>
          <w:p w14:paraId="3DB3D2DF" w14:textId="2FFA7AE2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.777</w:t>
            </w:r>
          </w:p>
        </w:tc>
      </w:tr>
      <w:tr w:rsidR="00F82023" w:rsidRPr="00786CF6" w14:paraId="22C23B68" w14:textId="77777777" w:rsidTr="00F274DC">
        <w:trPr>
          <w:trHeight w:val="247"/>
        </w:trPr>
        <w:tc>
          <w:tcPr>
            <w:tcW w:w="0" w:type="auto"/>
          </w:tcPr>
          <w:p w14:paraId="3A9EBAC2" w14:textId="3C0E3EAA" w:rsidR="00F82023" w:rsidRPr="00786CF6" w:rsidRDefault="00786CF6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23E99">
              <w:rPr>
                <w:rFonts w:ascii="Times New Roman" w:eastAsia="等线" w:hAnsi="Times New Roman" w:cs="Times New Roman"/>
                <w:kern w:val="0"/>
                <w:szCs w:val="21"/>
              </w:rPr>
              <w:t>AMH level, ng/ml</w:t>
            </w:r>
          </w:p>
        </w:tc>
        <w:tc>
          <w:tcPr>
            <w:tcW w:w="0" w:type="auto"/>
          </w:tcPr>
          <w:p w14:paraId="766F6CB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0.91 (0.63–1.18)</w:t>
            </w:r>
          </w:p>
        </w:tc>
        <w:tc>
          <w:tcPr>
            <w:tcW w:w="0" w:type="auto"/>
          </w:tcPr>
          <w:p w14:paraId="2BAA397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0.91 (0.60–1.17)</w:t>
            </w:r>
          </w:p>
        </w:tc>
        <w:tc>
          <w:tcPr>
            <w:tcW w:w="0" w:type="auto"/>
          </w:tcPr>
          <w:p w14:paraId="3C6C533E" w14:textId="3748FACF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.692</w:t>
            </w:r>
          </w:p>
        </w:tc>
      </w:tr>
      <w:tr w:rsidR="00F82023" w:rsidRPr="00786CF6" w14:paraId="53B45B08" w14:textId="77777777" w:rsidTr="00F274DC">
        <w:trPr>
          <w:trHeight w:val="247"/>
        </w:trPr>
        <w:tc>
          <w:tcPr>
            <w:tcW w:w="0" w:type="auto"/>
          </w:tcPr>
          <w:p w14:paraId="106DBC02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Duration of infertility, y</w:t>
            </w:r>
          </w:p>
        </w:tc>
        <w:tc>
          <w:tcPr>
            <w:tcW w:w="0" w:type="auto"/>
          </w:tcPr>
          <w:p w14:paraId="5CD2472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 (1.00–5.00)</w:t>
            </w:r>
          </w:p>
        </w:tc>
        <w:tc>
          <w:tcPr>
            <w:tcW w:w="0" w:type="auto"/>
          </w:tcPr>
          <w:p w14:paraId="0A01A13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 (1.00–5.00)</w:t>
            </w:r>
          </w:p>
        </w:tc>
        <w:tc>
          <w:tcPr>
            <w:tcW w:w="0" w:type="auto"/>
          </w:tcPr>
          <w:p w14:paraId="7B930F06" w14:textId="05CA99DA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.783</w:t>
            </w:r>
          </w:p>
        </w:tc>
      </w:tr>
      <w:tr w:rsidR="00F82023" w:rsidRPr="00786CF6" w14:paraId="2EFD440B" w14:textId="77777777" w:rsidTr="00F274DC">
        <w:trPr>
          <w:trHeight w:val="247"/>
        </w:trPr>
        <w:tc>
          <w:tcPr>
            <w:tcW w:w="0" w:type="auto"/>
          </w:tcPr>
          <w:p w14:paraId="4915138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Duration of stimulation, d</w:t>
            </w:r>
          </w:p>
        </w:tc>
        <w:tc>
          <w:tcPr>
            <w:tcW w:w="0" w:type="auto"/>
          </w:tcPr>
          <w:p w14:paraId="489A0E4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9.00 (8.00–11.00)</w:t>
            </w:r>
          </w:p>
        </w:tc>
        <w:tc>
          <w:tcPr>
            <w:tcW w:w="0" w:type="auto"/>
          </w:tcPr>
          <w:p w14:paraId="5922D8DD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9.00 (8.00–11.00)</w:t>
            </w:r>
          </w:p>
        </w:tc>
        <w:tc>
          <w:tcPr>
            <w:tcW w:w="0" w:type="auto"/>
          </w:tcPr>
          <w:p w14:paraId="28E68807" w14:textId="487CF64B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.726</w:t>
            </w:r>
          </w:p>
        </w:tc>
      </w:tr>
      <w:tr w:rsidR="00F82023" w:rsidRPr="00786CF6" w14:paraId="04E96CA5" w14:textId="77777777" w:rsidTr="00F274DC">
        <w:trPr>
          <w:trHeight w:val="247"/>
        </w:trPr>
        <w:tc>
          <w:tcPr>
            <w:tcW w:w="0" w:type="auto"/>
          </w:tcPr>
          <w:p w14:paraId="4528291F" w14:textId="5F33565A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FSH,</w:t>
            </w:r>
            <w:r w:rsidR="00024637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="00AA0B2A" w:rsidRPr="00786CF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mIU</w:t>
            </w:r>
            <w:proofErr w:type="spellEnd"/>
            <w:r w:rsidR="00AA0B2A" w:rsidRPr="00786CF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mL</w:t>
            </w:r>
          </w:p>
        </w:tc>
        <w:tc>
          <w:tcPr>
            <w:tcW w:w="0" w:type="auto"/>
          </w:tcPr>
          <w:p w14:paraId="30BE5CE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9.38 (7.42–11.54)</w:t>
            </w:r>
          </w:p>
        </w:tc>
        <w:tc>
          <w:tcPr>
            <w:tcW w:w="0" w:type="auto"/>
          </w:tcPr>
          <w:p w14:paraId="11FF178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9.16 (7.31–11.79)</w:t>
            </w:r>
          </w:p>
        </w:tc>
        <w:tc>
          <w:tcPr>
            <w:tcW w:w="0" w:type="auto"/>
          </w:tcPr>
          <w:p w14:paraId="0236A1CA" w14:textId="7D017AA0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.84</w:t>
            </w:r>
            <w:r w:rsidR="007F3384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F82023" w:rsidRPr="00786CF6" w14:paraId="2E8C7C65" w14:textId="77777777" w:rsidTr="00F274DC">
        <w:trPr>
          <w:trHeight w:val="247"/>
        </w:trPr>
        <w:tc>
          <w:tcPr>
            <w:tcW w:w="0" w:type="auto"/>
          </w:tcPr>
          <w:p w14:paraId="09F9BA82" w14:textId="00C3DB6D" w:rsidR="00F82023" w:rsidRPr="00786CF6" w:rsidRDefault="00091E57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23E99">
              <w:rPr>
                <w:rFonts w:ascii="Times New Roman" w:eastAsia="等线" w:hAnsi="Times New Roman" w:cs="Times New Roman"/>
                <w:kern w:val="0"/>
                <w:szCs w:val="21"/>
              </w:rPr>
              <w:t>E2</w:t>
            </w:r>
            <w:r w:rsidRPr="00323E99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 xml:space="preserve">, </w:t>
            </w:r>
            <w:proofErr w:type="spellStart"/>
            <w:r w:rsidRPr="00323E99">
              <w:rPr>
                <w:rFonts w:ascii="Times New Roman" w:hAnsi="Times New Roman" w:cs="Times New Roman" w:hint="eastAsia"/>
              </w:rPr>
              <w:t>pg</w:t>
            </w:r>
            <w:proofErr w:type="spellEnd"/>
            <w:r w:rsidRPr="00323E99">
              <w:rPr>
                <w:rFonts w:ascii="Times New Roman" w:hAnsi="Times New Roman" w:cs="Times New Roman" w:hint="eastAsia"/>
              </w:rPr>
              <w:t>/mL</w:t>
            </w:r>
          </w:p>
        </w:tc>
        <w:tc>
          <w:tcPr>
            <w:tcW w:w="0" w:type="auto"/>
          </w:tcPr>
          <w:p w14:paraId="4C74B90D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1325.00 (886.50–1929.50)</w:t>
            </w:r>
          </w:p>
        </w:tc>
        <w:tc>
          <w:tcPr>
            <w:tcW w:w="0" w:type="auto"/>
          </w:tcPr>
          <w:p w14:paraId="34EBFC4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1256.00 (813.00–1794.00)</w:t>
            </w:r>
          </w:p>
        </w:tc>
        <w:tc>
          <w:tcPr>
            <w:tcW w:w="0" w:type="auto"/>
          </w:tcPr>
          <w:p w14:paraId="5C39C020" w14:textId="3CCA5518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.018</w:t>
            </w:r>
            <w:r w:rsidR="004721CC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F82023" w:rsidRPr="00786CF6" w14:paraId="47F7418B" w14:textId="77777777" w:rsidTr="00F274DC">
        <w:trPr>
          <w:trHeight w:val="247"/>
        </w:trPr>
        <w:tc>
          <w:tcPr>
            <w:tcW w:w="0" w:type="auto"/>
          </w:tcPr>
          <w:p w14:paraId="5E8CF05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0" w:type="auto"/>
          </w:tcPr>
          <w:p w14:paraId="5FECA4D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0.61 (0.41–0.94)</w:t>
            </w:r>
          </w:p>
        </w:tc>
        <w:tc>
          <w:tcPr>
            <w:tcW w:w="0" w:type="auto"/>
          </w:tcPr>
          <w:p w14:paraId="147D0CF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0.65 (0.44–0.98)</w:t>
            </w:r>
          </w:p>
        </w:tc>
        <w:tc>
          <w:tcPr>
            <w:tcW w:w="0" w:type="auto"/>
          </w:tcPr>
          <w:p w14:paraId="1C6774C4" w14:textId="392F550F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.067</w:t>
            </w:r>
          </w:p>
        </w:tc>
      </w:tr>
      <w:tr w:rsidR="00F82023" w:rsidRPr="00786CF6" w14:paraId="401E2C62" w14:textId="77777777" w:rsidTr="00F274DC">
        <w:trPr>
          <w:trHeight w:val="247"/>
        </w:trPr>
        <w:tc>
          <w:tcPr>
            <w:tcW w:w="0" w:type="auto"/>
          </w:tcPr>
          <w:p w14:paraId="739A5021" w14:textId="59B626E9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Endometrial thickness</w:t>
            </w:r>
            <w:r w:rsidR="0064475E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mm</w:t>
            </w:r>
          </w:p>
        </w:tc>
        <w:tc>
          <w:tcPr>
            <w:tcW w:w="0" w:type="auto"/>
          </w:tcPr>
          <w:p w14:paraId="0200EBA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9.30 (8.50–10.60)</w:t>
            </w:r>
          </w:p>
        </w:tc>
        <w:tc>
          <w:tcPr>
            <w:tcW w:w="0" w:type="auto"/>
          </w:tcPr>
          <w:p w14:paraId="785CAA8C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9.00 (8.40–9.90)</w:t>
            </w:r>
          </w:p>
        </w:tc>
        <w:tc>
          <w:tcPr>
            <w:tcW w:w="0" w:type="auto"/>
          </w:tcPr>
          <w:p w14:paraId="1607B101" w14:textId="67DEE408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&lt;.0001</w:t>
            </w:r>
            <w:r w:rsidR="004721CC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F82023" w:rsidRPr="00786CF6" w14:paraId="4882E4DE" w14:textId="77777777" w:rsidTr="00F274DC">
        <w:trPr>
          <w:trHeight w:val="247"/>
        </w:trPr>
        <w:tc>
          <w:tcPr>
            <w:tcW w:w="0" w:type="auto"/>
          </w:tcPr>
          <w:p w14:paraId="60998E3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Gonadotropin dose, IU</w:t>
            </w:r>
          </w:p>
        </w:tc>
        <w:tc>
          <w:tcPr>
            <w:tcW w:w="0" w:type="auto"/>
          </w:tcPr>
          <w:p w14:paraId="7DF1629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3000.00 (2400.00–3600.00)</w:t>
            </w:r>
          </w:p>
        </w:tc>
        <w:tc>
          <w:tcPr>
            <w:tcW w:w="0" w:type="auto"/>
          </w:tcPr>
          <w:p w14:paraId="306024C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2902.50 (2400.00–3450.00)</w:t>
            </w:r>
          </w:p>
        </w:tc>
        <w:tc>
          <w:tcPr>
            <w:tcW w:w="0" w:type="auto"/>
          </w:tcPr>
          <w:p w14:paraId="7370C6AE" w14:textId="6CDF00F6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.008</w:t>
            </w:r>
            <w:r w:rsidR="004721CC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F82023" w:rsidRPr="00786CF6" w14:paraId="60CD1764" w14:textId="77777777" w:rsidTr="00F274DC">
        <w:trPr>
          <w:trHeight w:val="247"/>
        </w:trPr>
        <w:tc>
          <w:tcPr>
            <w:tcW w:w="0" w:type="auto"/>
          </w:tcPr>
          <w:p w14:paraId="6092E29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oocytes retrieved</w:t>
            </w:r>
          </w:p>
        </w:tc>
        <w:tc>
          <w:tcPr>
            <w:tcW w:w="0" w:type="auto"/>
          </w:tcPr>
          <w:p w14:paraId="7E0C127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6.00 (4.00–9.00)</w:t>
            </w:r>
          </w:p>
        </w:tc>
        <w:tc>
          <w:tcPr>
            <w:tcW w:w="0" w:type="auto"/>
          </w:tcPr>
          <w:p w14:paraId="302E893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5.00 (3.00–7.00)</w:t>
            </w:r>
          </w:p>
        </w:tc>
        <w:tc>
          <w:tcPr>
            <w:tcW w:w="0" w:type="auto"/>
          </w:tcPr>
          <w:p w14:paraId="04523522" w14:textId="4234D973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&lt;.0001</w:t>
            </w:r>
            <w:r w:rsidR="004721CC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F82023" w:rsidRPr="00786CF6" w14:paraId="7D075F13" w14:textId="77777777" w:rsidTr="00F274DC">
        <w:trPr>
          <w:trHeight w:val="247"/>
        </w:trPr>
        <w:tc>
          <w:tcPr>
            <w:tcW w:w="0" w:type="auto"/>
          </w:tcPr>
          <w:p w14:paraId="3707407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MII oocytes</w:t>
            </w:r>
          </w:p>
        </w:tc>
        <w:tc>
          <w:tcPr>
            <w:tcW w:w="0" w:type="auto"/>
          </w:tcPr>
          <w:p w14:paraId="2C4075E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5.00 (3.00–7.00)</w:t>
            </w:r>
          </w:p>
        </w:tc>
        <w:tc>
          <w:tcPr>
            <w:tcW w:w="0" w:type="auto"/>
          </w:tcPr>
          <w:p w14:paraId="3FF8485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4.00 (3.00–7.00)</w:t>
            </w:r>
          </w:p>
        </w:tc>
        <w:tc>
          <w:tcPr>
            <w:tcW w:w="0" w:type="auto"/>
          </w:tcPr>
          <w:p w14:paraId="32FBB2CE" w14:textId="0086E2D4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.0003</w:t>
            </w:r>
            <w:r w:rsidR="004721CC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F82023" w:rsidRPr="00786CF6" w14:paraId="7BAB700F" w14:textId="77777777" w:rsidTr="00F274DC">
        <w:trPr>
          <w:trHeight w:val="247"/>
        </w:trPr>
        <w:tc>
          <w:tcPr>
            <w:tcW w:w="0" w:type="auto"/>
          </w:tcPr>
          <w:p w14:paraId="1ED75EB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2PN</w:t>
            </w:r>
          </w:p>
        </w:tc>
        <w:tc>
          <w:tcPr>
            <w:tcW w:w="0" w:type="auto"/>
          </w:tcPr>
          <w:p w14:paraId="4759E51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4.00 (2.00–5.00)</w:t>
            </w:r>
          </w:p>
        </w:tc>
        <w:tc>
          <w:tcPr>
            <w:tcW w:w="0" w:type="auto"/>
          </w:tcPr>
          <w:p w14:paraId="5EB706FC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 (2.00–5.00)</w:t>
            </w:r>
          </w:p>
        </w:tc>
        <w:tc>
          <w:tcPr>
            <w:tcW w:w="0" w:type="auto"/>
          </w:tcPr>
          <w:p w14:paraId="2E93EB02" w14:textId="51B88E85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.0002</w:t>
            </w:r>
            <w:r w:rsidR="004721CC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F82023" w:rsidRPr="00786CF6" w14:paraId="31BBB022" w14:textId="77777777" w:rsidTr="00F274DC">
        <w:trPr>
          <w:trHeight w:val="247"/>
        </w:trPr>
        <w:tc>
          <w:tcPr>
            <w:tcW w:w="0" w:type="auto"/>
          </w:tcPr>
          <w:p w14:paraId="7AF6E276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C5AC22C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0D8152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CB1880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0F348355" w14:textId="77777777" w:rsidTr="00F274DC">
        <w:trPr>
          <w:trHeight w:val="247"/>
        </w:trPr>
        <w:tc>
          <w:tcPr>
            <w:tcW w:w="0" w:type="auto"/>
          </w:tcPr>
          <w:p w14:paraId="0860E86A" w14:textId="47635BF6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Normal fertilization rate</w:t>
            </w:r>
            <w:r w:rsidR="0064475E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="00024637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08C0D8BE" w14:textId="3FA8AA09" w:rsidR="00F82023" w:rsidRPr="00786CF6" w:rsidRDefault="009E1CED" w:rsidP="001B6E5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72.73 (55.56–92.12)</w:t>
            </w:r>
          </w:p>
        </w:tc>
        <w:tc>
          <w:tcPr>
            <w:tcW w:w="0" w:type="auto"/>
          </w:tcPr>
          <w:p w14:paraId="6947A745" w14:textId="448FE0BA" w:rsidR="00F82023" w:rsidRPr="00786CF6" w:rsidRDefault="009E1CED" w:rsidP="001B6E5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75.00 (50.00–100.00)</w:t>
            </w:r>
          </w:p>
        </w:tc>
        <w:tc>
          <w:tcPr>
            <w:tcW w:w="0" w:type="auto"/>
          </w:tcPr>
          <w:p w14:paraId="5CFFB25E" w14:textId="3040644D" w:rsidR="001B6E51" w:rsidRPr="00786CF6" w:rsidRDefault="001B6E51" w:rsidP="001B6E5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.4930</w:t>
            </w:r>
          </w:p>
          <w:p w14:paraId="7CE8EF62" w14:textId="2D29B286" w:rsidR="00F82023" w:rsidRPr="00786CF6" w:rsidRDefault="00F82023" w:rsidP="001B6E5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1BA6AC95" w14:textId="77777777" w:rsidTr="00F274DC">
        <w:trPr>
          <w:trHeight w:val="247"/>
        </w:trPr>
        <w:tc>
          <w:tcPr>
            <w:tcW w:w="0" w:type="auto"/>
          </w:tcPr>
          <w:p w14:paraId="6C9F09C0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Blastocyst formation rate n (%)</w:t>
            </w:r>
          </w:p>
        </w:tc>
        <w:tc>
          <w:tcPr>
            <w:tcW w:w="0" w:type="auto"/>
          </w:tcPr>
          <w:p w14:paraId="7979ADFE" w14:textId="1E019B83" w:rsidR="009E1CED" w:rsidRPr="00786CF6" w:rsidRDefault="009E1CED" w:rsidP="009E1CED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6CF6">
              <w:rPr>
                <w:rFonts w:ascii="Times New Roman" w:hAnsi="Times New Roman" w:cs="Times New Roman"/>
                <w:color w:val="000000"/>
                <w:szCs w:val="21"/>
              </w:rPr>
              <w:t>71.43 (50.00–100.00)</w:t>
            </w:r>
          </w:p>
          <w:p w14:paraId="38021AEC" w14:textId="4C14DA31" w:rsidR="001B6E51" w:rsidRPr="00786CF6" w:rsidRDefault="001B6E51" w:rsidP="001B6E51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C45FB98" w14:textId="77777777" w:rsidR="00F82023" w:rsidRPr="00786CF6" w:rsidRDefault="00F82023" w:rsidP="001B6E5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3D1BEFA" w14:textId="3EB7B23A" w:rsidR="00F82023" w:rsidRPr="00786CF6" w:rsidRDefault="009E1CED" w:rsidP="009E1C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hAnsi="Times New Roman" w:cs="Times New Roman"/>
                <w:color w:val="000000"/>
                <w:szCs w:val="21"/>
              </w:rPr>
              <w:t>66.67 (50.00–100.00)</w:t>
            </w:r>
          </w:p>
        </w:tc>
        <w:tc>
          <w:tcPr>
            <w:tcW w:w="0" w:type="auto"/>
          </w:tcPr>
          <w:p w14:paraId="70983E9B" w14:textId="3154B710" w:rsidR="00F82023" w:rsidRPr="00786CF6" w:rsidRDefault="001B6E51" w:rsidP="001B6E5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.2910</w:t>
            </w:r>
          </w:p>
        </w:tc>
      </w:tr>
      <w:tr w:rsidR="00F82023" w:rsidRPr="00786CF6" w14:paraId="5485B4B0" w14:textId="77777777" w:rsidTr="00F274DC">
        <w:trPr>
          <w:trHeight w:val="247"/>
        </w:trPr>
        <w:tc>
          <w:tcPr>
            <w:tcW w:w="0" w:type="auto"/>
          </w:tcPr>
          <w:p w14:paraId="643795BC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37843A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7C96A1C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4F8B6B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68DA7038" w14:textId="77777777" w:rsidTr="00F274DC">
        <w:trPr>
          <w:trHeight w:val="247"/>
        </w:trPr>
        <w:tc>
          <w:tcPr>
            <w:tcW w:w="0" w:type="auto"/>
          </w:tcPr>
          <w:p w14:paraId="28719E9A" w14:textId="75047758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Infertility diagnosis</w:t>
            </w:r>
            <w:r w:rsidR="0064475E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="00024637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29DE4B8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004E5E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6F53AB7" w14:textId="19FFB988" w:rsidR="00F82023" w:rsidRPr="00786CF6" w:rsidRDefault="00F6002F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.328</w:t>
            </w:r>
          </w:p>
        </w:tc>
      </w:tr>
      <w:tr w:rsidR="00F82023" w:rsidRPr="00786CF6" w14:paraId="59855012" w14:textId="77777777" w:rsidTr="00F274DC">
        <w:trPr>
          <w:trHeight w:val="247"/>
        </w:trPr>
        <w:tc>
          <w:tcPr>
            <w:tcW w:w="0" w:type="auto"/>
          </w:tcPr>
          <w:p w14:paraId="1F100A3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Primary infertility</w:t>
            </w:r>
          </w:p>
        </w:tc>
        <w:tc>
          <w:tcPr>
            <w:tcW w:w="0" w:type="auto"/>
          </w:tcPr>
          <w:p w14:paraId="4564626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379 (63.3%)</w:t>
            </w:r>
          </w:p>
        </w:tc>
        <w:tc>
          <w:tcPr>
            <w:tcW w:w="0" w:type="auto"/>
          </w:tcPr>
          <w:p w14:paraId="371EF5E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724 (60.9%)</w:t>
            </w:r>
          </w:p>
        </w:tc>
        <w:tc>
          <w:tcPr>
            <w:tcW w:w="0" w:type="auto"/>
          </w:tcPr>
          <w:p w14:paraId="39CBC65A" w14:textId="28080DBF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07B3436F" w14:textId="77777777" w:rsidTr="00F274DC">
        <w:trPr>
          <w:trHeight w:val="247"/>
        </w:trPr>
        <w:tc>
          <w:tcPr>
            <w:tcW w:w="0" w:type="auto"/>
          </w:tcPr>
          <w:p w14:paraId="6A5DB986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Secondary infertility</w:t>
            </w:r>
          </w:p>
        </w:tc>
        <w:tc>
          <w:tcPr>
            <w:tcW w:w="0" w:type="auto"/>
          </w:tcPr>
          <w:p w14:paraId="28A3349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220 (36.7%)</w:t>
            </w:r>
          </w:p>
        </w:tc>
        <w:tc>
          <w:tcPr>
            <w:tcW w:w="0" w:type="auto"/>
          </w:tcPr>
          <w:p w14:paraId="1825D98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465 (39.1%)</w:t>
            </w:r>
          </w:p>
        </w:tc>
        <w:tc>
          <w:tcPr>
            <w:tcW w:w="0" w:type="auto"/>
          </w:tcPr>
          <w:p w14:paraId="7F15F05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4D087545" w14:textId="77777777" w:rsidTr="00F274DC">
        <w:trPr>
          <w:trHeight w:val="247"/>
        </w:trPr>
        <w:tc>
          <w:tcPr>
            <w:tcW w:w="0" w:type="auto"/>
          </w:tcPr>
          <w:p w14:paraId="032EA16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EF319C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F31B37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0BE3BC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7AB422AA" w14:textId="77777777" w:rsidTr="00F274DC">
        <w:trPr>
          <w:trHeight w:val="247"/>
        </w:trPr>
        <w:tc>
          <w:tcPr>
            <w:tcW w:w="0" w:type="auto"/>
          </w:tcPr>
          <w:p w14:paraId="5887BD98" w14:textId="08CE7FAB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Infertility etiology</w:t>
            </w:r>
            <w:r w:rsidR="0064475E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="00024637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6A814EC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DB80AF8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889D4C4" w14:textId="027D4C49" w:rsidR="00F82023" w:rsidRPr="00786CF6" w:rsidRDefault="00F6002F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.002*</w:t>
            </w:r>
          </w:p>
        </w:tc>
      </w:tr>
      <w:tr w:rsidR="00F82023" w:rsidRPr="00786CF6" w14:paraId="03C9976C" w14:textId="77777777" w:rsidTr="00F274DC">
        <w:trPr>
          <w:trHeight w:val="247"/>
        </w:trPr>
        <w:tc>
          <w:tcPr>
            <w:tcW w:w="0" w:type="auto"/>
          </w:tcPr>
          <w:p w14:paraId="6BA2CE30" w14:textId="35B91FE3" w:rsidR="00F82023" w:rsidRPr="00786CF6" w:rsidRDefault="009031E8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M</w:t>
            </w:r>
            <w:r w:rsidR="00091E57" w:rsidRPr="00323E99">
              <w:rPr>
                <w:rFonts w:ascii="Times New Roman" w:eastAsia="等线" w:hAnsi="Times New Roman" w:cs="Times New Roman"/>
                <w:kern w:val="0"/>
                <w:szCs w:val="21"/>
              </w:rPr>
              <w:t>ale factors</w:t>
            </w:r>
          </w:p>
        </w:tc>
        <w:tc>
          <w:tcPr>
            <w:tcW w:w="0" w:type="auto"/>
          </w:tcPr>
          <w:p w14:paraId="5FCD002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 (18.0%)</w:t>
            </w:r>
          </w:p>
        </w:tc>
        <w:tc>
          <w:tcPr>
            <w:tcW w:w="0" w:type="auto"/>
          </w:tcPr>
          <w:p w14:paraId="568B7D42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295 (24.8%)</w:t>
            </w:r>
          </w:p>
        </w:tc>
        <w:tc>
          <w:tcPr>
            <w:tcW w:w="0" w:type="auto"/>
          </w:tcPr>
          <w:p w14:paraId="40512372" w14:textId="639B664A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7738DBC7" w14:textId="77777777" w:rsidTr="00F274DC">
        <w:trPr>
          <w:trHeight w:val="247"/>
        </w:trPr>
        <w:tc>
          <w:tcPr>
            <w:tcW w:w="0" w:type="auto"/>
          </w:tcPr>
          <w:p w14:paraId="67C2B6E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 factors</w:t>
            </w:r>
          </w:p>
        </w:tc>
        <w:tc>
          <w:tcPr>
            <w:tcW w:w="0" w:type="auto"/>
          </w:tcPr>
          <w:p w14:paraId="33EF2C8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448 (74.8%)</w:t>
            </w:r>
          </w:p>
        </w:tc>
        <w:tc>
          <w:tcPr>
            <w:tcW w:w="0" w:type="auto"/>
          </w:tcPr>
          <w:p w14:paraId="798D3AB8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834 (70.1%)</w:t>
            </w:r>
          </w:p>
        </w:tc>
        <w:tc>
          <w:tcPr>
            <w:tcW w:w="0" w:type="auto"/>
          </w:tcPr>
          <w:p w14:paraId="3A129DB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776F9A2F" w14:textId="77777777" w:rsidTr="00F274DC">
        <w:trPr>
          <w:trHeight w:val="247"/>
        </w:trPr>
        <w:tc>
          <w:tcPr>
            <w:tcW w:w="0" w:type="auto"/>
          </w:tcPr>
          <w:p w14:paraId="5B5455E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Unexplained/Other</w:t>
            </w:r>
          </w:p>
        </w:tc>
        <w:tc>
          <w:tcPr>
            <w:tcW w:w="0" w:type="auto"/>
          </w:tcPr>
          <w:p w14:paraId="4D6F8AD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 (7.2%)</w:t>
            </w:r>
          </w:p>
        </w:tc>
        <w:tc>
          <w:tcPr>
            <w:tcW w:w="0" w:type="auto"/>
          </w:tcPr>
          <w:p w14:paraId="4B2EBF8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 (5.0%)</w:t>
            </w:r>
          </w:p>
        </w:tc>
        <w:tc>
          <w:tcPr>
            <w:tcW w:w="0" w:type="auto"/>
          </w:tcPr>
          <w:p w14:paraId="5B76CBA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442799F1" w14:textId="77777777" w:rsidTr="00F274DC">
        <w:trPr>
          <w:trHeight w:val="247"/>
        </w:trPr>
        <w:tc>
          <w:tcPr>
            <w:tcW w:w="0" w:type="auto"/>
          </w:tcPr>
          <w:p w14:paraId="0F7AF91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BB265C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5F78A9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48D84AD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204CD3D4" w14:textId="77777777" w:rsidTr="00F274DC">
        <w:trPr>
          <w:trHeight w:val="247"/>
        </w:trPr>
        <w:tc>
          <w:tcPr>
            <w:tcW w:w="0" w:type="auto"/>
          </w:tcPr>
          <w:p w14:paraId="3E499C20" w14:textId="366CD906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Ovarian stimulation protocols</w:t>
            </w:r>
            <w:r w:rsidR="0064475E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28F74ED8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298786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E50E423" w14:textId="1BE430A3" w:rsidR="00F82023" w:rsidRPr="00786CF6" w:rsidRDefault="00F6002F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.031*</w:t>
            </w:r>
          </w:p>
        </w:tc>
      </w:tr>
      <w:tr w:rsidR="00F82023" w:rsidRPr="00786CF6" w14:paraId="44FCFD6A" w14:textId="77777777" w:rsidTr="00F274DC">
        <w:trPr>
          <w:trHeight w:val="247"/>
        </w:trPr>
        <w:tc>
          <w:tcPr>
            <w:tcW w:w="0" w:type="auto"/>
          </w:tcPr>
          <w:p w14:paraId="3E673FF0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PPOS</w:t>
            </w:r>
          </w:p>
        </w:tc>
        <w:tc>
          <w:tcPr>
            <w:tcW w:w="0" w:type="auto"/>
          </w:tcPr>
          <w:p w14:paraId="1A0C9E7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240 (40.1%)</w:t>
            </w:r>
          </w:p>
        </w:tc>
        <w:tc>
          <w:tcPr>
            <w:tcW w:w="0" w:type="auto"/>
          </w:tcPr>
          <w:p w14:paraId="7127677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486 (40.9%)</w:t>
            </w:r>
          </w:p>
        </w:tc>
        <w:tc>
          <w:tcPr>
            <w:tcW w:w="0" w:type="auto"/>
          </w:tcPr>
          <w:p w14:paraId="0FB8F0DD" w14:textId="5AFC1E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574661B3" w14:textId="77777777" w:rsidTr="00F274DC">
        <w:trPr>
          <w:trHeight w:val="247"/>
        </w:trPr>
        <w:tc>
          <w:tcPr>
            <w:tcW w:w="0" w:type="auto"/>
          </w:tcPr>
          <w:p w14:paraId="3892AF0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GnRH antagonist</w:t>
            </w:r>
          </w:p>
        </w:tc>
        <w:tc>
          <w:tcPr>
            <w:tcW w:w="0" w:type="auto"/>
          </w:tcPr>
          <w:p w14:paraId="6E50E85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295 (49.2%)</w:t>
            </w:r>
          </w:p>
        </w:tc>
        <w:tc>
          <w:tcPr>
            <w:tcW w:w="0" w:type="auto"/>
          </w:tcPr>
          <w:p w14:paraId="30ED70A6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 (44.4%)</w:t>
            </w:r>
          </w:p>
        </w:tc>
        <w:tc>
          <w:tcPr>
            <w:tcW w:w="0" w:type="auto"/>
          </w:tcPr>
          <w:p w14:paraId="200768A6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566472C5" w14:textId="77777777" w:rsidTr="00F274DC">
        <w:trPr>
          <w:trHeight w:val="247"/>
        </w:trPr>
        <w:tc>
          <w:tcPr>
            <w:tcW w:w="0" w:type="auto"/>
          </w:tcPr>
          <w:p w14:paraId="421EEF1D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Other protocols</w:t>
            </w:r>
          </w:p>
        </w:tc>
        <w:tc>
          <w:tcPr>
            <w:tcW w:w="0" w:type="auto"/>
          </w:tcPr>
          <w:p w14:paraId="37C7F24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 (10.7%)</w:t>
            </w:r>
          </w:p>
        </w:tc>
        <w:tc>
          <w:tcPr>
            <w:tcW w:w="0" w:type="auto"/>
          </w:tcPr>
          <w:p w14:paraId="0CA6068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175 (14.7%)</w:t>
            </w:r>
          </w:p>
        </w:tc>
        <w:tc>
          <w:tcPr>
            <w:tcW w:w="0" w:type="auto"/>
          </w:tcPr>
          <w:p w14:paraId="58552B2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01363F5B" w14:textId="77777777" w:rsidTr="00F274DC">
        <w:trPr>
          <w:trHeight w:val="247"/>
        </w:trPr>
        <w:tc>
          <w:tcPr>
            <w:tcW w:w="0" w:type="auto"/>
          </w:tcPr>
          <w:p w14:paraId="6693CAF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EDEC9BD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3EE273C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263FEE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71972097" w14:textId="77777777" w:rsidTr="00F274DC">
        <w:trPr>
          <w:trHeight w:val="247"/>
        </w:trPr>
        <w:tc>
          <w:tcPr>
            <w:tcW w:w="0" w:type="auto"/>
          </w:tcPr>
          <w:p w14:paraId="1929475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Luteal phase support, n (%)</w:t>
            </w:r>
          </w:p>
        </w:tc>
        <w:tc>
          <w:tcPr>
            <w:tcW w:w="0" w:type="auto"/>
          </w:tcPr>
          <w:p w14:paraId="5FA1F6A5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38005D2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16C44C5" w14:textId="1C2AA5D3" w:rsidR="00F82023" w:rsidRPr="00786CF6" w:rsidRDefault="00F6002F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&lt;.0001*</w:t>
            </w:r>
          </w:p>
        </w:tc>
      </w:tr>
      <w:tr w:rsidR="00F82023" w:rsidRPr="00786CF6" w14:paraId="5E0FEC39" w14:textId="77777777" w:rsidTr="00F274DC">
        <w:trPr>
          <w:trHeight w:val="247"/>
        </w:trPr>
        <w:tc>
          <w:tcPr>
            <w:tcW w:w="0" w:type="auto"/>
          </w:tcPr>
          <w:p w14:paraId="4DCA37B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Intramuscular injection and oral administration</w:t>
            </w:r>
          </w:p>
        </w:tc>
        <w:tc>
          <w:tcPr>
            <w:tcW w:w="0" w:type="auto"/>
          </w:tcPr>
          <w:p w14:paraId="61C75E6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 (1.8%)</w:t>
            </w:r>
          </w:p>
        </w:tc>
        <w:tc>
          <w:tcPr>
            <w:tcW w:w="0" w:type="auto"/>
          </w:tcPr>
          <w:p w14:paraId="387EC00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 (7.7%)</w:t>
            </w:r>
          </w:p>
        </w:tc>
        <w:tc>
          <w:tcPr>
            <w:tcW w:w="0" w:type="auto"/>
          </w:tcPr>
          <w:p w14:paraId="719AE353" w14:textId="4285F10C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5CCCF52B" w14:textId="77777777" w:rsidTr="00F274DC">
        <w:trPr>
          <w:trHeight w:val="247"/>
        </w:trPr>
        <w:tc>
          <w:tcPr>
            <w:tcW w:w="0" w:type="auto"/>
          </w:tcPr>
          <w:p w14:paraId="23E6375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Vaginal gel administration and oral administration</w:t>
            </w:r>
          </w:p>
        </w:tc>
        <w:tc>
          <w:tcPr>
            <w:tcW w:w="0" w:type="auto"/>
          </w:tcPr>
          <w:p w14:paraId="51E5453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288 (48.1%)</w:t>
            </w:r>
          </w:p>
        </w:tc>
        <w:tc>
          <w:tcPr>
            <w:tcW w:w="0" w:type="auto"/>
          </w:tcPr>
          <w:p w14:paraId="639D358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547 (46.0%)</w:t>
            </w:r>
          </w:p>
        </w:tc>
        <w:tc>
          <w:tcPr>
            <w:tcW w:w="0" w:type="auto"/>
          </w:tcPr>
          <w:p w14:paraId="211C7BF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68D6298F" w14:textId="77777777" w:rsidTr="00F274DC">
        <w:trPr>
          <w:trHeight w:val="247"/>
        </w:trPr>
        <w:tc>
          <w:tcPr>
            <w:tcW w:w="0" w:type="auto"/>
          </w:tcPr>
          <w:p w14:paraId="3DE65A2C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Vaginal suppository administration and oral administration</w:t>
            </w:r>
          </w:p>
        </w:tc>
        <w:tc>
          <w:tcPr>
            <w:tcW w:w="0" w:type="auto"/>
          </w:tcPr>
          <w:p w14:paraId="491E24D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295 (49.2%)</w:t>
            </w:r>
          </w:p>
        </w:tc>
        <w:tc>
          <w:tcPr>
            <w:tcW w:w="0" w:type="auto"/>
          </w:tcPr>
          <w:p w14:paraId="2479658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543 (45.7%)</w:t>
            </w:r>
          </w:p>
        </w:tc>
        <w:tc>
          <w:tcPr>
            <w:tcW w:w="0" w:type="auto"/>
          </w:tcPr>
          <w:p w14:paraId="60383F02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2EA8E54B" w14:textId="77777777" w:rsidTr="00F274DC">
        <w:trPr>
          <w:trHeight w:val="247"/>
        </w:trPr>
        <w:tc>
          <w:tcPr>
            <w:tcW w:w="0" w:type="auto"/>
          </w:tcPr>
          <w:p w14:paraId="7B053A1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0" w:type="auto"/>
          </w:tcPr>
          <w:p w14:paraId="1293BC0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 (0.8%)</w:t>
            </w:r>
          </w:p>
        </w:tc>
        <w:tc>
          <w:tcPr>
            <w:tcW w:w="0" w:type="auto"/>
          </w:tcPr>
          <w:p w14:paraId="48A17A0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 (0.7%)</w:t>
            </w:r>
          </w:p>
        </w:tc>
        <w:tc>
          <w:tcPr>
            <w:tcW w:w="0" w:type="auto"/>
          </w:tcPr>
          <w:p w14:paraId="75D2AFA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45E0274D" w14:textId="77777777" w:rsidTr="00F274DC">
        <w:trPr>
          <w:trHeight w:val="247"/>
        </w:trPr>
        <w:tc>
          <w:tcPr>
            <w:tcW w:w="0" w:type="auto"/>
          </w:tcPr>
          <w:p w14:paraId="20714970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51B0356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85BD62D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63477A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5D21F7F9" w14:textId="77777777" w:rsidTr="00F274DC">
        <w:trPr>
          <w:trHeight w:val="247"/>
        </w:trPr>
        <w:tc>
          <w:tcPr>
            <w:tcW w:w="0" w:type="auto"/>
          </w:tcPr>
          <w:p w14:paraId="43508DB0" w14:textId="6AA426AE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Fertilization,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0458752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09409D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A49D29F" w14:textId="2B285A82" w:rsidR="00F82023" w:rsidRPr="00786CF6" w:rsidRDefault="00F6002F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.495</w:t>
            </w:r>
          </w:p>
        </w:tc>
      </w:tr>
      <w:tr w:rsidR="00F82023" w:rsidRPr="00786CF6" w14:paraId="32DE48C3" w14:textId="77777777" w:rsidTr="00F274DC">
        <w:trPr>
          <w:trHeight w:val="247"/>
        </w:trPr>
        <w:tc>
          <w:tcPr>
            <w:tcW w:w="0" w:type="auto"/>
          </w:tcPr>
          <w:p w14:paraId="7B32FFF8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IVF</w:t>
            </w:r>
          </w:p>
        </w:tc>
        <w:tc>
          <w:tcPr>
            <w:tcW w:w="0" w:type="auto"/>
          </w:tcPr>
          <w:p w14:paraId="6E92B83D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403 (67.3%)</w:t>
            </w:r>
          </w:p>
        </w:tc>
        <w:tc>
          <w:tcPr>
            <w:tcW w:w="0" w:type="auto"/>
          </w:tcPr>
          <w:p w14:paraId="0DB2F2C6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801 (67.4%)</w:t>
            </w:r>
          </w:p>
        </w:tc>
        <w:tc>
          <w:tcPr>
            <w:tcW w:w="0" w:type="auto"/>
          </w:tcPr>
          <w:p w14:paraId="25185E16" w14:textId="271ABE7E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3C40BDFA" w14:textId="77777777" w:rsidTr="00F274DC">
        <w:trPr>
          <w:trHeight w:val="247"/>
        </w:trPr>
        <w:tc>
          <w:tcPr>
            <w:tcW w:w="0" w:type="auto"/>
          </w:tcPr>
          <w:p w14:paraId="149A215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ICSI</w:t>
            </w:r>
          </w:p>
        </w:tc>
        <w:tc>
          <w:tcPr>
            <w:tcW w:w="0" w:type="auto"/>
          </w:tcPr>
          <w:p w14:paraId="77FE6298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183 (30.6%)</w:t>
            </w:r>
          </w:p>
        </w:tc>
        <w:tc>
          <w:tcPr>
            <w:tcW w:w="0" w:type="auto"/>
          </w:tcPr>
          <w:p w14:paraId="75194672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351 (29.5%)</w:t>
            </w:r>
          </w:p>
        </w:tc>
        <w:tc>
          <w:tcPr>
            <w:tcW w:w="0" w:type="auto"/>
          </w:tcPr>
          <w:p w14:paraId="65B06C8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01855603" w14:textId="77777777" w:rsidTr="00F274DC">
        <w:trPr>
          <w:trHeight w:val="247"/>
        </w:trPr>
        <w:tc>
          <w:tcPr>
            <w:tcW w:w="0" w:type="auto"/>
          </w:tcPr>
          <w:p w14:paraId="1AC5037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Rescue ICSI</w:t>
            </w:r>
          </w:p>
        </w:tc>
        <w:tc>
          <w:tcPr>
            <w:tcW w:w="0" w:type="auto"/>
          </w:tcPr>
          <w:p w14:paraId="1323292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 (2.2%)</w:t>
            </w:r>
          </w:p>
        </w:tc>
        <w:tc>
          <w:tcPr>
            <w:tcW w:w="0" w:type="auto"/>
          </w:tcPr>
          <w:p w14:paraId="46ED873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 (3.1%)</w:t>
            </w:r>
          </w:p>
        </w:tc>
        <w:tc>
          <w:tcPr>
            <w:tcW w:w="0" w:type="auto"/>
          </w:tcPr>
          <w:p w14:paraId="216A2E7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7E60E9A2" w14:textId="77777777" w:rsidTr="00F274DC">
        <w:trPr>
          <w:trHeight w:val="247"/>
        </w:trPr>
        <w:tc>
          <w:tcPr>
            <w:tcW w:w="0" w:type="auto"/>
          </w:tcPr>
          <w:p w14:paraId="73416F34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0540DFC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3A957BD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297A34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62AF998C" w14:textId="77777777" w:rsidTr="00F274DC">
        <w:trPr>
          <w:trHeight w:val="247"/>
        </w:trPr>
        <w:tc>
          <w:tcPr>
            <w:tcW w:w="0" w:type="auto"/>
          </w:tcPr>
          <w:p w14:paraId="66EFE72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embryos thawed</w:t>
            </w:r>
          </w:p>
        </w:tc>
        <w:tc>
          <w:tcPr>
            <w:tcW w:w="0" w:type="auto"/>
          </w:tcPr>
          <w:p w14:paraId="1C84CF51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E1216B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6FE3E7B" w14:textId="65C40510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</w:t>
            </w:r>
            <w:r w:rsidR="004721CC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F82023" w:rsidRPr="00786CF6" w14:paraId="4871C835" w14:textId="77777777" w:rsidTr="00F274DC">
        <w:trPr>
          <w:trHeight w:val="247"/>
        </w:trPr>
        <w:tc>
          <w:tcPr>
            <w:tcW w:w="0" w:type="auto"/>
          </w:tcPr>
          <w:p w14:paraId="05A277C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44DA316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389 (64.9)</w:t>
            </w:r>
          </w:p>
        </w:tc>
        <w:tc>
          <w:tcPr>
            <w:tcW w:w="0" w:type="auto"/>
          </w:tcPr>
          <w:p w14:paraId="01A574DE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809 (68.4)</w:t>
            </w:r>
          </w:p>
        </w:tc>
        <w:tc>
          <w:tcPr>
            <w:tcW w:w="0" w:type="auto"/>
          </w:tcPr>
          <w:p w14:paraId="43810A3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54AA19E9" w14:textId="77777777" w:rsidTr="00F274DC">
        <w:trPr>
          <w:trHeight w:val="247"/>
        </w:trPr>
        <w:tc>
          <w:tcPr>
            <w:tcW w:w="0" w:type="auto"/>
          </w:tcPr>
          <w:p w14:paraId="501A7198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2184B3FB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209 (34.9)</w:t>
            </w:r>
          </w:p>
        </w:tc>
        <w:tc>
          <w:tcPr>
            <w:tcW w:w="0" w:type="auto"/>
          </w:tcPr>
          <w:p w14:paraId="7AF95CE7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357 (30.2)</w:t>
            </w:r>
          </w:p>
        </w:tc>
        <w:tc>
          <w:tcPr>
            <w:tcW w:w="0" w:type="auto"/>
          </w:tcPr>
          <w:p w14:paraId="4B6DF703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4E3ACDE3" w14:textId="77777777" w:rsidTr="00F274DC">
        <w:trPr>
          <w:trHeight w:val="247"/>
        </w:trPr>
        <w:tc>
          <w:tcPr>
            <w:tcW w:w="0" w:type="auto"/>
          </w:tcPr>
          <w:p w14:paraId="1CB0E819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&gt;=3</w:t>
            </w:r>
          </w:p>
        </w:tc>
        <w:tc>
          <w:tcPr>
            <w:tcW w:w="0" w:type="auto"/>
          </w:tcPr>
          <w:p w14:paraId="49C4C280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(0.2)</w:t>
            </w:r>
          </w:p>
        </w:tc>
        <w:tc>
          <w:tcPr>
            <w:tcW w:w="0" w:type="auto"/>
          </w:tcPr>
          <w:p w14:paraId="1C6683E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 (1.4)</w:t>
            </w:r>
          </w:p>
        </w:tc>
        <w:tc>
          <w:tcPr>
            <w:tcW w:w="0" w:type="auto"/>
          </w:tcPr>
          <w:p w14:paraId="23DF7290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023" w:rsidRPr="00786CF6" w14:paraId="135AE6EE" w14:textId="77777777" w:rsidTr="00F274DC">
        <w:trPr>
          <w:trHeight w:val="247"/>
        </w:trPr>
        <w:tc>
          <w:tcPr>
            <w:tcW w:w="0" w:type="auto"/>
          </w:tcPr>
          <w:p w14:paraId="40F9538F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807637A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E800096" w14:textId="77777777" w:rsidR="00F82023" w:rsidRPr="00786CF6" w:rsidRDefault="00F82023" w:rsidP="00B63D3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FA335FC" w14:textId="6A752518" w:rsidR="00F82023" w:rsidRPr="00786CF6" w:rsidRDefault="00F82023" w:rsidP="00F6002F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B2BA1" w:rsidRPr="00786CF6" w14:paraId="0BA055FF" w14:textId="77777777" w:rsidTr="00F274DC">
        <w:trPr>
          <w:trHeight w:val="247"/>
        </w:trPr>
        <w:tc>
          <w:tcPr>
            <w:tcW w:w="0" w:type="auto"/>
          </w:tcPr>
          <w:p w14:paraId="2159FEE5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surviving embryos</w:t>
            </w:r>
          </w:p>
        </w:tc>
        <w:tc>
          <w:tcPr>
            <w:tcW w:w="0" w:type="auto"/>
          </w:tcPr>
          <w:p w14:paraId="14946725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C45A2A7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67D9A97" w14:textId="4624F24F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.030*</w:t>
            </w:r>
          </w:p>
        </w:tc>
      </w:tr>
      <w:tr w:rsidR="008B2BA1" w:rsidRPr="00786CF6" w14:paraId="52A8FD16" w14:textId="77777777" w:rsidTr="00F274DC">
        <w:trPr>
          <w:trHeight w:val="247"/>
        </w:trPr>
        <w:tc>
          <w:tcPr>
            <w:tcW w:w="0" w:type="auto"/>
          </w:tcPr>
          <w:p w14:paraId="210FC186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747FF9C2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393 (65.8)</w:t>
            </w:r>
          </w:p>
        </w:tc>
        <w:tc>
          <w:tcPr>
            <w:tcW w:w="0" w:type="auto"/>
          </w:tcPr>
          <w:p w14:paraId="6C9D7DA3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812 (68.5)</w:t>
            </w:r>
          </w:p>
        </w:tc>
        <w:tc>
          <w:tcPr>
            <w:tcW w:w="0" w:type="auto"/>
          </w:tcPr>
          <w:p w14:paraId="70E9C149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B2BA1" w:rsidRPr="00786CF6" w14:paraId="14A2576B" w14:textId="77777777" w:rsidTr="00F274DC">
        <w:trPr>
          <w:trHeight w:val="247"/>
        </w:trPr>
        <w:tc>
          <w:tcPr>
            <w:tcW w:w="0" w:type="auto"/>
          </w:tcPr>
          <w:p w14:paraId="380220AA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44ABF445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203 (34.0)</w:t>
            </w:r>
          </w:p>
        </w:tc>
        <w:tc>
          <w:tcPr>
            <w:tcW w:w="0" w:type="auto"/>
          </w:tcPr>
          <w:p w14:paraId="13C6E518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359 (30.3)</w:t>
            </w:r>
          </w:p>
        </w:tc>
        <w:tc>
          <w:tcPr>
            <w:tcW w:w="0" w:type="auto"/>
          </w:tcPr>
          <w:p w14:paraId="504F7E05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B2BA1" w:rsidRPr="00786CF6" w14:paraId="462D23D4" w14:textId="77777777" w:rsidTr="00F274DC">
        <w:trPr>
          <w:trHeight w:val="247"/>
        </w:trPr>
        <w:tc>
          <w:tcPr>
            <w:tcW w:w="0" w:type="auto"/>
          </w:tcPr>
          <w:p w14:paraId="33004FEE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2E072FCF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 (0.2)</w:t>
            </w:r>
          </w:p>
        </w:tc>
        <w:tc>
          <w:tcPr>
            <w:tcW w:w="0" w:type="auto"/>
          </w:tcPr>
          <w:p w14:paraId="64C1E393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 (1.2)</w:t>
            </w:r>
          </w:p>
        </w:tc>
        <w:tc>
          <w:tcPr>
            <w:tcW w:w="0" w:type="auto"/>
          </w:tcPr>
          <w:p w14:paraId="7D447443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B2BA1" w:rsidRPr="00786CF6" w14:paraId="7FB8C010" w14:textId="77777777" w:rsidTr="00F274DC">
        <w:trPr>
          <w:trHeight w:val="247"/>
        </w:trPr>
        <w:tc>
          <w:tcPr>
            <w:tcW w:w="0" w:type="auto"/>
          </w:tcPr>
          <w:p w14:paraId="4CC44EA9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20A90A6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A5BEF53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3F8ED6A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B2BA1" w:rsidRPr="00786CF6" w14:paraId="1711A545" w14:textId="77777777" w:rsidTr="00F274DC">
        <w:trPr>
          <w:trHeight w:val="247"/>
        </w:trPr>
        <w:tc>
          <w:tcPr>
            <w:tcW w:w="0" w:type="auto"/>
          </w:tcPr>
          <w:p w14:paraId="6DAD2DBB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embryos transferred</w:t>
            </w:r>
          </w:p>
        </w:tc>
        <w:tc>
          <w:tcPr>
            <w:tcW w:w="0" w:type="auto"/>
          </w:tcPr>
          <w:p w14:paraId="27C04BF5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72EB492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5D21236" w14:textId="1270ACAD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.135</w:t>
            </w:r>
          </w:p>
        </w:tc>
      </w:tr>
      <w:tr w:rsidR="008B2BA1" w:rsidRPr="00786CF6" w14:paraId="0341D97D" w14:textId="77777777" w:rsidTr="00F274DC">
        <w:trPr>
          <w:trHeight w:val="247"/>
        </w:trPr>
        <w:tc>
          <w:tcPr>
            <w:tcW w:w="0" w:type="auto"/>
          </w:tcPr>
          <w:p w14:paraId="1AFE0117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1D7C8B9A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395 (66.4)</w:t>
            </w:r>
          </w:p>
        </w:tc>
        <w:tc>
          <w:tcPr>
            <w:tcW w:w="0" w:type="auto"/>
          </w:tcPr>
          <w:p w14:paraId="4E0447EB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828 (69.9)</w:t>
            </w:r>
          </w:p>
        </w:tc>
        <w:tc>
          <w:tcPr>
            <w:tcW w:w="0" w:type="auto"/>
          </w:tcPr>
          <w:p w14:paraId="1547EC53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B2BA1" w:rsidRPr="00786CF6" w14:paraId="2FAFC72A" w14:textId="77777777" w:rsidTr="00F274DC">
        <w:trPr>
          <w:trHeight w:val="247"/>
        </w:trPr>
        <w:tc>
          <w:tcPr>
            <w:tcW w:w="0" w:type="auto"/>
          </w:tcPr>
          <w:p w14:paraId="10413FC5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32381441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 (33.6)</w:t>
            </w:r>
          </w:p>
        </w:tc>
        <w:tc>
          <w:tcPr>
            <w:tcW w:w="0" w:type="auto"/>
          </w:tcPr>
          <w:p w14:paraId="2C6DC81F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357 (30.1)</w:t>
            </w:r>
          </w:p>
        </w:tc>
        <w:tc>
          <w:tcPr>
            <w:tcW w:w="0" w:type="auto"/>
          </w:tcPr>
          <w:p w14:paraId="0AA3242F" w14:textId="77777777" w:rsidR="008B2BA1" w:rsidRPr="00786CF6" w:rsidRDefault="008B2BA1" w:rsidP="008B2BA1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3629721" w14:textId="0967F02D" w:rsidR="0064475E" w:rsidRPr="003941AC" w:rsidRDefault="00B129C1">
      <w:pPr>
        <w:rPr>
          <w:rFonts w:ascii="Times New Roman" w:hAnsi="Times New Roman" w:cs="Times New Roman"/>
        </w:rPr>
      </w:pPr>
      <w:r w:rsidRPr="00786CF6">
        <w:rPr>
          <w:rFonts w:ascii="Times New Roman" w:hAnsi="Times New Roman" w:cs="Times New Roman" w:hint="eastAsia"/>
        </w:rPr>
        <w:t xml:space="preserve">Notes: </w:t>
      </w:r>
      <w:r w:rsidRPr="00786CF6">
        <w:rPr>
          <w:rFonts w:ascii="Times New Roman" w:hAnsi="Times New Roman" w:cs="Times New Roman"/>
        </w:rPr>
        <w:t xml:space="preserve">Continuous variables are presented as median (first–third quartile) and compared using the Wilcoxon rank-sum test; categorical variables are n (%) and compared using the χ² test or Fisher’s exact test, as appropriate. </w:t>
      </w:r>
      <w:r w:rsidR="00931558">
        <w:rPr>
          <w:rFonts w:ascii="Times New Roman" w:hAnsi="Times New Roman" w:cs="Times New Roman"/>
        </w:rPr>
        <w:t>p</w:t>
      </w:r>
      <w:r w:rsidRPr="00786CF6">
        <w:rPr>
          <w:rFonts w:ascii="Times New Roman" w:hAnsi="Times New Roman" w:cs="Times New Roman"/>
        </w:rPr>
        <w:t xml:space="preserve"> values refer to between-group comparisons in the matched cohort. *</w:t>
      </w:r>
      <w:r w:rsidR="00931558">
        <w:rPr>
          <w:rFonts w:ascii="Times New Roman" w:hAnsi="Times New Roman" w:cs="Times New Roman" w:hint="eastAsia"/>
          <w:i/>
          <w:iCs/>
        </w:rPr>
        <w:t>p</w:t>
      </w:r>
      <w:r w:rsidRPr="00786CF6">
        <w:rPr>
          <w:rFonts w:ascii="Times New Roman" w:hAnsi="Times New Roman" w:cs="Times New Roman"/>
        </w:rPr>
        <w:t>&lt;</w:t>
      </w:r>
      <w:r w:rsidR="005E3B58">
        <w:rPr>
          <w:rFonts w:ascii="Times New Roman" w:hAnsi="Times New Roman" w:cs="Times New Roman" w:hint="eastAsia"/>
        </w:rPr>
        <w:t xml:space="preserve"> </w:t>
      </w:r>
      <w:r w:rsidRPr="00786CF6">
        <w:rPr>
          <w:rFonts w:ascii="Times New Roman" w:hAnsi="Times New Roman" w:cs="Times New Roman"/>
        </w:rPr>
        <w:t>.05.</w:t>
      </w:r>
    </w:p>
    <w:p w14:paraId="6278D007" w14:textId="77777777" w:rsidR="0064475E" w:rsidRPr="00786CF6" w:rsidRDefault="0064475E">
      <w:pPr>
        <w:rPr>
          <w:rFonts w:ascii="Times New Roman" w:hAnsi="Times New Roman"/>
        </w:rPr>
      </w:pPr>
    </w:p>
    <w:p w14:paraId="320D9B65" w14:textId="58D671EE" w:rsidR="0064475E" w:rsidRPr="00786CF6" w:rsidRDefault="0046457F">
      <w:pPr>
        <w:rPr>
          <w:rFonts w:ascii="Times New Roman" w:hAnsi="Times New Roman" w:cs="Times New Roman"/>
        </w:rPr>
      </w:pPr>
      <w:r w:rsidRPr="00786CF6">
        <w:rPr>
          <w:rFonts w:ascii="Times New Roman" w:hAnsi="Times New Roman" w:cs="Times New Roman"/>
        </w:rPr>
        <w:t>Table S2</w:t>
      </w:r>
      <w:r w:rsidR="002214D7">
        <w:rPr>
          <w:rFonts w:ascii="Times New Roman" w:hAnsi="Times New Roman" w:cs="Times New Roman" w:hint="eastAsia"/>
        </w:rPr>
        <w:t xml:space="preserve">. </w:t>
      </w:r>
      <w:r w:rsidR="00197119" w:rsidRPr="00786CF6">
        <w:rPr>
          <w:rFonts w:ascii="Times New Roman" w:hAnsi="Times New Roman" w:cs="Times New Roman" w:hint="eastAsia"/>
        </w:rPr>
        <w:t>Baseline clinical and cycle characteristics in NC vs HRT</w:t>
      </w:r>
    </w:p>
    <w:tbl>
      <w:tblPr>
        <w:tblW w:w="0" w:type="auto"/>
        <w:tblInd w:w="-3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654"/>
        <w:gridCol w:w="1885"/>
        <w:gridCol w:w="1885"/>
        <w:gridCol w:w="912"/>
      </w:tblGrid>
      <w:tr w:rsidR="0064475E" w:rsidRPr="00786CF6" w14:paraId="243C64E6" w14:textId="77777777" w:rsidTr="002B07B8">
        <w:trPr>
          <w:trHeight w:val="24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ACC555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EE8E73" w14:textId="77777777" w:rsidR="002B07B8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NC</w:t>
            </w:r>
          </w:p>
          <w:p w14:paraId="3B1B488A" w14:textId="623DD580" w:rsidR="0064475E" w:rsidRPr="00786CF6" w:rsidRDefault="002B07B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(N=458)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EAABB4" w14:textId="77777777" w:rsidR="0064475E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HRT</w:t>
            </w:r>
          </w:p>
          <w:p w14:paraId="20BA96F3" w14:textId="6611BFB9" w:rsidR="002B07B8" w:rsidRPr="00786CF6" w:rsidRDefault="002B07B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(N=912)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3DA053" w14:textId="47960EEE" w:rsidR="0064475E" w:rsidRPr="00F5272D" w:rsidRDefault="0093155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>p</w:t>
            </w:r>
          </w:p>
        </w:tc>
      </w:tr>
      <w:tr w:rsidR="0064475E" w:rsidRPr="00786CF6" w14:paraId="149AD785" w14:textId="77777777" w:rsidTr="002B07B8">
        <w:trPr>
          <w:trHeight w:val="247"/>
        </w:trPr>
        <w:tc>
          <w:tcPr>
            <w:tcW w:w="0" w:type="auto"/>
            <w:tcBorders>
              <w:top w:val="single" w:sz="4" w:space="0" w:color="auto"/>
            </w:tcBorders>
          </w:tcPr>
          <w:p w14:paraId="3BF78FBD" w14:textId="7DB761FE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Age,</w:t>
            </w:r>
            <w:r w:rsidRPr="00786CF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522ABE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36.00 (32.00–40.00)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3E6FC6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36.00 (32.00–40.00)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52D3F9" w14:textId="079D1283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.844</w:t>
            </w:r>
          </w:p>
        </w:tc>
      </w:tr>
      <w:tr w:rsidR="0064475E" w:rsidRPr="00786CF6" w14:paraId="2933399A" w14:textId="77777777" w:rsidTr="00E73548">
        <w:trPr>
          <w:trHeight w:val="247"/>
        </w:trPr>
        <w:tc>
          <w:tcPr>
            <w:tcW w:w="0" w:type="auto"/>
          </w:tcPr>
          <w:p w14:paraId="134AB78D" w14:textId="09505FBA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BMI, kg/m2</w:t>
            </w:r>
          </w:p>
        </w:tc>
        <w:tc>
          <w:tcPr>
            <w:tcW w:w="0" w:type="auto"/>
          </w:tcPr>
          <w:p w14:paraId="34705279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21.76 (19.91–23.73)</w:t>
            </w:r>
          </w:p>
        </w:tc>
        <w:tc>
          <w:tcPr>
            <w:tcW w:w="0" w:type="auto"/>
          </w:tcPr>
          <w:p w14:paraId="5418B2EA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21.77 (20.00–23.74)</w:t>
            </w:r>
          </w:p>
        </w:tc>
        <w:tc>
          <w:tcPr>
            <w:tcW w:w="0" w:type="auto"/>
          </w:tcPr>
          <w:p w14:paraId="5294955F" w14:textId="22AA6BF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.857</w:t>
            </w:r>
          </w:p>
        </w:tc>
      </w:tr>
      <w:tr w:rsidR="0064475E" w:rsidRPr="00786CF6" w14:paraId="1399E243" w14:textId="77777777" w:rsidTr="00E73548">
        <w:trPr>
          <w:trHeight w:val="247"/>
        </w:trPr>
        <w:tc>
          <w:tcPr>
            <w:tcW w:w="0" w:type="auto"/>
          </w:tcPr>
          <w:p w14:paraId="2D35857D" w14:textId="05C49D12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AFC</w:t>
            </w:r>
          </w:p>
        </w:tc>
        <w:tc>
          <w:tcPr>
            <w:tcW w:w="0" w:type="auto"/>
          </w:tcPr>
          <w:p w14:paraId="794EDD41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4.00 (3.00–6.00)</w:t>
            </w:r>
          </w:p>
        </w:tc>
        <w:tc>
          <w:tcPr>
            <w:tcW w:w="0" w:type="auto"/>
          </w:tcPr>
          <w:p w14:paraId="618B0670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4.00 (3.00–6.00)</w:t>
            </w:r>
          </w:p>
        </w:tc>
        <w:tc>
          <w:tcPr>
            <w:tcW w:w="0" w:type="auto"/>
          </w:tcPr>
          <w:p w14:paraId="2D82F265" w14:textId="7EFCA902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.591</w:t>
            </w:r>
          </w:p>
        </w:tc>
      </w:tr>
      <w:tr w:rsidR="0064475E" w:rsidRPr="00786CF6" w14:paraId="21D03B1E" w14:textId="77777777" w:rsidTr="00E73548">
        <w:trPr>
          <w:trHeight w:val="247"/>
        </w:trPr>
        <w:tc>
          <w:tcPr>
            <w:tcW w:w="0" w:type="auto"/>
          </w:tcPr>
          <w:p w14:paraId="1189E874" w14:textId="0A3747F5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AMH level, ng/ml</w:t>
            </w:r>
          </w:p>
        </w:tc>
        <w:tc>
          <w:tcPr>
            <w:tcW w:w="0" w:type="auto"/>
          </w:tcPr>
          <w:p w14:paraId="72A761E2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0.84 (0.56–1.10)</w:t>
            </w:r>
          </w:p>
        </w:tc>
        <w:tc>
          <w:tcPr>
            <w:tcW w:w="0" w:type="auto"/>
          </w:tcPr>
          <w:p w14:paraId="1A6320B4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0.86 (0.56–1.10)</w:t>
            </w:r>
          </w:p>
        </w:tc>
        <w:tc>
          <w:tcPr>
            <w:tcW w:w="0" w:type="auto"/>
          </w:tcPr>
          <w:p w14:paraId="67EA47C5" w14:textId="3DECC0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.745</w:t>
            </w:r>
          </w:p>
        </w:tc>
      </w:tr>
      <w:tr w:rsidR="0064475E" w:rsidRPr="00786CF6" w14:paraId="55FBDF6C" w14:textId="77777777" w:rsidTr="00E73548">
        <w:trPr>
          <w:trHeight w:val="247"/>
        </w:trPr>
        <w:tc>
          <w:tcPr>
            <w:tcW w:w="0" w:type="auto"/>
          </w:tcPr>
          <w:p w14:paraId="4C78AC9D" w14:textId="2080B745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Duration of infertility, y</w:t>
            </w:r>
          </w:p>
        </w:tc>
        <w:tc>
          <w:tcPr>
            <w:tcW w:w="0" w:type="auto"/>
          </w:tcPr>
          <w:p w14:paraId="4C82DE26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2.00 (1.00–5.00)</w:t>
            </w:r>
          </w:p>
        </w:tc>
        <w:tc>
          <w:tcPr>
            <w:tcW w:w="0" w:type="auto"/>
          </w:tcPr>
          <w:p w14:paraId="53912CD9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2.00 (1.00–5.00)</w:t>
            </w:r>
          </w:p>
        </w:tc>
        <w:tc>
          <w:tcPr>
            <w:tcW w:w="0" w:type="auto"/>
          </w:tcPr>
          <w:p w14:paraId="037260E5" w14:textId="3EA0701E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.584</w:t>
            </w:r>
          </w:p>
        </w:tc>
      </w:tr>
      <w:tr w:rsidR="0064475E" w:rsidRPr="00786CF6" w14:paraId="7EBFEFDC" w14:textId="77777777" w:rsidTr="00E73548">
        <w:trPr>
          <w:trHeight w:val="247"/>
        </w:trPr>
        <w:tc>
          <w:tcPr>
            <w:tcW w:w="0" w:type="auto"/>
          </w:tcPr>
          <w:p w14:paraId="3AB70ED9" w14:textId="76A7CED1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Duration of stimulation, d</w:t>
            </w:r>
          </w:p>
        </w:tc>
        <w:tc>
          <w:tcPr>
            <w:tcW w:w="0" w:type="auto"/>
          </w:tcPr>
          <w:p w14:paraId="1BC161CB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9.00 (8.00–10.00)</w:t>
            </w:r>
          </w:p>
        </w:tc>
        <w:tc>
          <w:tcPr>
            <w:tcW w:w="0" w:type="auto"/>
          </w:tcPr>
          <w:p w14:paraId="64D15CBF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9.00 (8.00–10.00)</w:t>
            </w:r>
          </w:p>
        </w:tc>
        <w:tc>
          <w:tcPr>
            <w:tcW w:w="0" w:type="auto"/>
          </w:tcPr>
          <w:p w14:paraId="4EDFE779" w14:textId="2BFA156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.560</w:t>
            </w:r>
          </w:p>
        </w:tc>
      </w:tr>
      <w:tr w:rsidR="0064475E" w:rsidRPr="00786CF6" w14:paraId="08CC5FC0" w14:textId="77777777" w:rsidTr="00E73548">
        <w:trPr>
          <w:trHeight w:val="247"/>
        </w:trPr>
        <w:tc>
          <w:tcPr>
            <w:tcW w:w="0" w:type="auto"/>
          </w:tcPr>
          <w:p w14:paraId="2461C223" w14:textId="717D2FEA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FSH,</w:t>
            </w:r>
            <w:r w:rsidR="00024637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mIU</w:t>
            </w:r>
            <w:proofErr w:type="spellEnd"/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/mL</w:t>
            </w:r>
          </w:p>
        </w:tc>
        <w:tc>
          <w:tcPr>
            <w:tcW w:w="0" w:type="auto"/>
          </w:tcPr>
          <w:p w14:paraId="55616BE4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9.36 (7.28–12.34)</w:t>
            </w:r>
          </w:p>
        </w:tc>
        <w:tc>
          <w:tcPr>
            <w:tcW w:w="0" w:type="auto"/>
          </w:tcPr>
          <w:p w14:paraId="1574E5FE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9.38 (7.49–12.09)</w:t>
            </w:r>
          </w:p>
        </w:tc>
        <w:tc>
          <w:tcPr>
            <w:tcW w:w="0" w:type="auto"/>
          </w:tcPr>
          <w:p w14:paraId="40A804C9" w14:textId="3413D67A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.463</w:t>
            </w:r>
          </w:p>
        </w:tc>
      </w:tr>
      <w:tr w:rsidR="0064475E" w:rsidRPr="00786CF6" w14:paraId="7E2E900C" w14:textId="77777777" w:rsidTr="00E73548">
        <w:trPr>
          <w:trHeight w:val="247"/>
        </w:trPr>
        <w:tc>
          <w:tcPr>
            <w:tcW w:w="0" w:type="auto"/>
          </w:tcPr>
          <w:p w14:paraId="2381FC3A" w14:textId="4736F854" w:rsidR="0064475E" w:rsidRPr="00786CF6" w:rsidRDefault="00091E57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23E99">
              <w:rPr>
                <w:rFonts w:ascii="Times New Roman" w:eastAsia="等线" w:hAnsi="Times New Roman" w:cs="Times New Roman"/>
                <w:kern w:val="0"/>
                <w:szCs w:val="21"/>
              </w:rPr>
              <w:t>E2</w:t>
            </w:r>
            <w:r w:rsidRPr="00323E99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 xml:space="preserve">, </w:t>
            </w:r>
            <w:proofErr w:type="spellStart"/>
            <w:r w:rsidRPr="00323E99">
              <w:rPr>
                <w:rFonts w:ascii="Times New Roman" w:hAnsi="Times New Roman" w:cs="Times New Roman" w:hint="eastAsia"/>
              </w:rPr>
              <w:t>pg</w:t>
            </w:r>
            <w:proofErr w:type="spellEnd"/>
            <w:r w:rsidRPr="00323E99">
              <w:rPr>
                <w:rFonts w:ascii="Times New Roman" w:hAnsi="Times New Roman" w:cs="Times New Roman" w:hint="eastAsia"/>
              </w:rPr>
              <w:t>/mL</w:t>
            </w:r>
          </w:p>
        </w:tc>
        <w:tc>
          <w:tcPr>
            <w:tcW w:w="0" w:type="auto"/>
          </w:tcPr>
          <w:p w14:paraId="4CB60EBE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1137.00 (748.25–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1662.75)</w:t>
            </w:r>
          </w:p>
        </w:tc>
        <w:tc>
          <w:tcPr>
            <w:tcW w:w="0" w:type="auto"/>
          </w:tcPr>
          <w:p w14:paraId="7F606869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1171.00 (776.00–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1634.00)</w:t>
            </w:r>
          </w:p>
        </w:tc>
        <w:tc>
          <w:tcPr>
            <w:tcW w:w="0" w:type="auto"/>
          </w:tcPr>
          <w:p w14:paraId="309278BC" w14:textId="7817D9CA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.519</w:t>
            </w:r>
          </w:p>
        </w:tc>
      </w:tr>
      <w:tr w:rsidR="0064475E" w:rsidRPr="00786CF6" w14:paraId="24EFA468" w14:textId="77777777" w:rsidTr="00E73548">
        <w:trPr>
          <w:trHeight w:val="247"/>
        </w:trPr>
        <w:tc>
          <w:tcPr>
            <w:tcW w:w="0" w:type="auto"/>
          </w:tcPr>
          <w:p w14:paraId="5B590EB3" w14:textId="63AB9E2F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0" w:type="auto"/>
          </w:tcPr>
          <w:p w14:paraId="0295CA10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0.63 (0.40–0.93)</w:t>
            </w:r>
          </w:p>
        </w:tc>
        <w:tc>
          <w:tcPr>
            <w:tcW w:w="0" w:type="auto"/>
          </w:tcPr>
          <w:p w14:paraId="477583E8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 (0.41–0.93)</w:t>
            </w:r>
          </w:p>
        </w:tc>
        <w:tc>
          <w:tcPr>
            <w:tcW w:w="0" w:type="auto"/>
          </w:tcPr>
          <w:p w14:paraId="025228B0" w14:textId="460B018F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.988</w:t>
            </w:r>
          </w:p>
        </w:tc>
      </w:tr>
      <w:tr w:rsidR="0064475E" w:rsidRPr="00786CF6" w14:paraId="75D31907" w14:textId="77777777" w:rsidTr="00E73548">
        <w:trPr>
          <w:trHeight w:val="247"/>
        </w:trPr>
        <w:tc>
          <w:tcPr>
            <w:tcW w:w="0" w:type="auto"/>
          </w:tcPr>
          <w:p w14:paraId="1882F3AA" w14:textId="58A949B3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Endometrial thickness,</w:t>
            </w:r>
            <w:r w:rsidR="00024637"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mm</w:t>
            </w:r>
          </w:p>
        </w:tc>
        <w:tc>
          <w:tcPr>
            <w:tcW w:w="0" w:type="auto"/>
          </w:tcPr>
          <w:p w14:paraId="72CA8EFB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9.00 (8.30–9.80)</w:t>
            </w:r>
          </w:p>
        </w:tc>
        <w:tc>
          <w:tcPr>
            <w:tcW w:w="0" w:type="auto"/>
          </w:tcPr>
          <w:p w14:paraId="5FDC254C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9.40 (8.30–10.70)</w:t>
            </w:r>
          </w:p>
        </w:tc>
        <w:tc>
          <w:tcPr>
            <w:tcW w:w="0" w:type="auto"/>
          </w:tcPr>
          <w:p w14:paraId="1B8FC707" w14:textId="2F47A96F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&lt;.0001</w:t>
            </w:r>
            <w:r w:rsidR="004721CC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</w:p>
        </w:tc>
      </w:tr>
      <w:tr w:rsidR="0064475E" w:rsidRPr="00786CF6" w14:paraId="163A0458" w14:textId="77777777" w:rsidTr="00E73548">
        <w:trPr>
          <w:trHeight w:val="247"/>
        </w:trPr>
        <w:tc>
          <w:tcPr>
            <w:tcW w:w="0" w:type="auto"/>
          </w:tcPr>
          <w:p w14:paraId="3E74184E" w14:textId="4699C23A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Gonadotropin dose, IU</w:t>
            </w:r>
          </w:p>
        </w:tc>
        <w:tc>
          <w:tcPr>
            <w:tcW w:w="0" w:type="auto"/>
          </w:tcPr>
          <w:p w14:paraId="06D53E6F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2775.00 (2325.00–3335.62)</w:t>
            </w:r>
          </w:p>
        </w:tc>
        <w:tc>
          <w:tcPr>
            <w:tcW w:w="0" w:type="auto"/>
          </w:tcPr>
          <w:p w14:paraId="3DC8D07C" w14:textId="77777777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2812.50 (2400.00–3450.00)</w:t>
            </w:r>
          </w:p>
        </w:tc>
        <w:tc>
          <w:tcPr>
            <w:tcW w:w="0" w:type="auto"/>
          </w:tcPr>
          <w:p w14:paraId="5BF30CAC" w14:textId="6B3BE309" w:rsidR="0064475E" w:rsidRPr="00786CF6" w:rsidRDefault="0064475E" w:rsidP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.308</w:t>
            </w:r>
          </w:p>
        </w:tc>
      </w:tr>
      <w:tr w:rsidR="0064475E" w:rsidRPr="00786CF6" w14:paraId="5C7F78D5" w14:textId="77777777" w:rsidTr="00E73548">
        <w:trPr>
          <w:trHeight w:val="247"/>
        </w:trPr>
        <w:tc>
          <w:tcPr>
            <w:tcW w:w="0" w:type="auto"/>
          </w:tcPr>
          <w:p w14:paraId="4AC55FFC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oocytes retrieved</w:t>
            </w:r>
          </w:p>
        </w:tc>
        <w:tc>
          <w:tcPr>
            <w:tcW w:w="0" w:type="auto"/>
          </w:tcPr>
          <w:p w14:paraId="11003359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5.00 (3.00–7.00)</w:t>
            </w:r>
          </w:p>
        </w:tc>
        <w:tc>
          <w:tcPr>
            <w:tcW w:w="0" w:type="auto"/>
          </w:tcPr>
          <w:p w14:paraId="4FBE86E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5.00 (3.00–7.00)</w:t>
            </w:r>
          </w:p>
        </w:tc>
        <w:tc>
          <w:tcPr>
            <w:tcW w:w="0" w:type="auto"/>
          </w:tcPr>
          <w:p w14:paraId="5B4AB7F1" w14:textId="7381B6B2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.159</w:t>
            </w:r>
          </w:p>
        </w:tc>
      </w:tr>
      <w:tr w:rsidR="0064475E" w:rsidRPr="00786CF6" w14:paraId="0DACC58A" w14:textId="77777777" w:rsidTr="00E73548">
        <w:trPr>
          <w:trHeight w:val="247"/>
        </w:trPr>
        <w:tc>
          <w:tcPr>
            <w:tcW w:w="0" w:type="auto"/>
          </w:tcPr>
          <w:p w14:paraId="214B6CE1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MII oocytes</w:t>
            </w:r>
          </w:p>
        </w:tc>
        <w:tc>
          <w:tcPr>
            <w:tcW w:w="0" w:type="auto"/>
          </w:tcPr>
          <w:p w14:paraId="659CC3FC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4.00 (2.00–6.00)</w:t>
            </w:r>
          </w:p>
        </w:tc>
        <w:tc>
          <w:tcPr>
            <w:tcW w:w="0" w:type="auto"/>
          </w:tcPr>
          <w:p w14:paraId="4A1788FE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4.00 (3.00–6.00)</w:t>
            </w:r>
          </w:p>
        </w:tc>
        <w:tc>
          <w:tcPr>
            <w:tcW w:w="0" w:type="auto"/>
          </w:tcPr>
          <w:p w14:paraId="03EF4813" w14:textId="524AB031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.178</w:t>
            </w:r>
          </w:p>
        </w:tc>
      </w:tr>
      <w:tr w:rsidR="0064475E" w:rsidRPr="00786CF6" w14:paraId="591E0861" w14:textId="77777777" w:rsidTr="00E73548">
        <w:trPr>
          <w:trHeight w:val="247"/>
        </w:trPr>
        <w:tc>
          <w:tcPr>
            <w:tcW w:w="0" w:type="auto"/>
          </w:tcPr>
          <w:p w14:paraId="3823014C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2PN</w:t>
            </w:r>
          </w:p>
        </w:tc>
        <w:tc>
          <w:tcPr>
            <w:tcW w:w="0" w:type="auto"/>
          </w:tcPr>
          <w:p w14:paraId="31F582FF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 (2.00–4.00)</w:t>
            </w:r>
          </w:p>
        </w:tc>
        <w:tc>
          <w:tcPr>
            <w:tcW w:w="0" w:type="auto"/>
          </w:tcPr>
          <w:p w14:paraId="32AF47EE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3.00 (2.00–5.00)</w:t>
            </w:r>
          </w:p>
        </w:tc>
        <w:tc>
          <w:tcPr>
            <w:tcW w:w="0" w:type="auto"/>
          </w:tcPr>
          <w:p w14:paraId="09674065" w14:textId="16562670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.109</w:t>
            </w:r>
          </w:p>
        </w:tc>
      </w:tr>
      <w:tr w:rsidR="0064475E" w:rsidRPr="00786CF6" w14:paraId="577E61EB" w14:textId="77777777" w:rsidTr="00E73548">
        <w:trPr>
          <w:trHeight w:val="247"/>
        </w:trPr>
        <w:tc>
          <w:tcPr>
            <w:tcW w:w="0" w:type="auto"/>
          </w:tcPr>
          <w:p w14:paraId="70345916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34A97C1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FAC9D34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C17C8C8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7DB4E743" w14:textId="77777777" w:rsidTr="00E73548">
        <w:trPr>
          <w:trHeight w:val="247"/>
        </w:trPr>
        <w:tc>
          <w:tcPr>
            <w:tcW w:w="0" w:type="auto"/>
          </w:tcPr>
          <w:p w14:paraId="267F563B" w14:textId="58D47ED9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Normal fertilization rate,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7E1BD173" w14:textId="576F94B4" w:rsidR="0064475E" w:rsidRPr="00786CF6" w:rsidRDefault="00A22DAB" w:rsidP="00A22DAB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75.00 (55.56–100.00)</w:t>
            </w:r>
          </w:p>
        </w:tc>
        <w:tc>
          <w:tcPr>
            <w:tcW w:w="0" w:type="auto"/>
          </w:tcPr>
          <w:p w14:paraId="0C3F1594" w14:textId="355856D1" w:rsidR="0064475E" w:rsidRPr="00786CF6" w:rsidRDefault="00A22DAB" w:rsidP="00A22DAB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75.00 (50.00–100.00)</w:t>
            </w:r>
          </w:p>
        </w:tc>
        <w:tc>
          <w:tcPr>
            <w:tcW w:w="0" w:type="auto"/>
          </w:tcPr>
          <w:p w14:paraId="50E7376C" w14:textId="020D59FA" w:rsidR="00A22DAB" w:rsidRPr="00786CF6" w:rsidRDefault="00A22DAB" w:rsidP="00A22DAB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6CF6">
              <w:rPr>
                <w:rFonts w:ascii="Times New Roman" w:hAnsi="Times New Roman" w:cs="Times New Roman"/>
                <w:color w:val="000000"/>
                <w:szCs w:val="21"/>
              </w:rPr>
              <w:t>.5800</w:t>
            </w:r>
          </w:p>
          <w:p w14:paraId="6B2B7859" w14:textId="77777777" w:rsidR="0064475E" w:rsidRPr="00786CF6" w:rsidRDefault="0064475E" w:rsidP="00A22DAB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28FBCA99" w14:textId="77777777" w:rsidTr="00E73548">
        <w:trPr>
          <w:trHeight w:val="247"/>
        </w:trPr>
        <w:tc>
          <w:tcPr>
            <w:tcW w:w="0" w:type="auto"/>
          </w:tcPr>
          <w:p w14:paraId="2018FC23" w14:textId="6B132618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Blastocyst formation rate,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798D9BDC" w14:textId="27BAE6B5" w:rsidR="0064475E" w:rsidRPr="00786CF6" w:rsidRDefault="00A22DAB" w:rsidP="00A22DAB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75.00 (50.00–100.00)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ab/>
            </w:r>
          </w:p>
        </w:tc>
        <w:tc>
          <w:tcPr>
            <w:tcW w:w="0" w:type="auto"/>
          </w:tcPr>
          <w:p w14:paraId="48A13C42" w14:textId="4831886B" w:rsidR="0064475E" w:rsidRPr="00786CF6" w:rsidRDefault="00A22DAB" w:rsidP="00A22DAB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66.67 (42.86–100.00)</w:t>
            </w:r>
          </w:p>
        </w:tc>
        <w:tc>
          <w:tcPr>
            <w:tcW w:w="0" w:type="auto"/>
          </w:tcPr>
          <w:p w14:paraId="45C67DC9" w14:textId="554183A4" w:rsidR="00A22DAB" w:rsidRPr="00786CF6" w:rsidRDefault="00A22DAB" w:rsidP="00A22DAB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6CF6">
              <w:rPr>
                <w:rFonts w:ascii="Times New Roman" w:hAnsi="Times New Roman" w:cs="Times New Roman"/>
                <w:color w:val="000000"/>
                <w:szCs w:val="21"/>
              </w:rPr>
              <w:t>.0996</w:t>
            </w:r>
          </w:p>
          <w:p w14:paraId="6C919B32" w14:textId="77777777" w:rsidR="0064475E" w:rsidRPr="00786CF6" w:rsidRDefault="0064475E" w:rsidP="00A22DAB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43A8203A" w14:textId="77777777" w:rsidTr="00E73548">
        <w:trPr>
          <w:trHeight w:val="247"/>
        </w:trPr>
        <w:tc>
          <w:tcPr>
            <w:tcW w:w="0" w:type="auto"/>
          </w:tcPr>
          <w:p w14:paraId="5E9805C1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921A378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A88EAB6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1A14A32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6EF67C1D" w14:textId="77777777" w:rsidTr="00E73548">
        <w:trPr>
          <w:trHeight w:val="247"/>
        </w:trPr>
        <w:tc>
          <w:tcPr>
            <w:tcW w:w="0" w:type="auto"/>
          </w:tcPr>
          <w:p w14:paraId="23E93686" w14:textId="13FF110F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Infertility diagnosis,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44DD8A45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20E5FDF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C80A994" w14:textId="4D6410C8" w:rsidR="0064475E" w:rsidRPr="00786CF6" w:rsidRDefault="00861049" w:rsidP="00861049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.958</w:t>
            </w:r>
          </w:p>
        </w:tc>
      </w:tr>
      <w:tr w:rsidR="0064475E" w:rsidRPr="00786CF6" w14:paraId="44D31823" w14:textId="77777777" w:rsidTr="00E73548">
        <w:trPr>
          <w:trHeight w:val="247"/>
        </w:trPr>
        <w:tc>
          <w:tcPr>
            <w:tcW w:w="0" w:type="auto"/>
          </w:tcPr>
          <w:p w14:paraId="0104644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Primary infertility</w:t>
            </w:r>
          </w:p>
        </w:tc>
        <w:tc>
          <w:tcPr>
            <w:tcW w:w="0" w:type="auto"/>
          </w:tcPr>
          <w:p w14:paraId="2088392F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270 (59.0%)</w:t>
            </w:r>
          </w:p>
        </w:tc>
        <w:tc>
          <w:tcPr>
            <w:tcW w:w="0" w:type="auto"/>
          </w:tcPr>
          <w:p w14:paraId="250692CC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539 (59.1%)</w:t>
            </w:r>
          </w:p>
        </w:tc>
        <w:tc>
          <w:tcPr>
            <w:tcW w:w="0" w:type="auto"/>
          </w:tcPr>
          <w:p w14:paraId="083A6F79" w14:textId="3738210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0FC037B8" w14:textId="77777777" w:rsidTr="00E73548">
        <w:trPr>
          <w:trHeight w:val="247"/>
        </w:trPr>
        <w:tc>
          <w:tcPr>
            <w:tcW w:w="0" w:type="auto"/>
          </w:tcPr>
          <w:p w14:paraId="7151C81F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Secondary infertility</w:t>
            </w:r>
          </w:p>
        </w:tc>
        <w:tc>
          <w:tcPr>
            <w:tcW w:w="0" w:type="auto"/>
          </w:tcPr>
          <w:p w14:paraId="697747D8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188 (41.0%)</w:t>
            </w:r>
          </w:p>
        </w:tc>
        <w:tc>
          <w:tcPr>
            <w:tcW w:w="0" w:type="auto"/>
          </w:tcPr>
          <w:p w14:paraId="200C099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373 (40.9%)</w:t>
            </w:r>
          </w:p>
        </w:tc>
        <w:tc>
          <w:tcPr>
            <w:tcW w:w="0" w:type="auto"/>
          </w:tcPr>
          <w:p w14:paraId="08D93483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1F969181" w14:textId="77777777" w:rsidTr="00E73548">
        <w:trPr>
          <w:trHeight w:val="247"/>
        </w:trPr>
        <w:tc>
          <w:tcPr>
            <w:tcW w:w="0" w:type="auto"/>
          </w:tcPr>
          <w:p w14:paraId="5C26552D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59E7631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B28FD48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E8997F0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46CE407F" w14:textId="77777777" w:rsidTr="00E73548">
        <w:trPr>
          <w:trHeight w:val="247"/>
        </w:trPr>
        <w:tc>
          <w:tcPr>
            <w:tcW w:w="0" w:type="auto"/>
          </w:tcPr>
          <w:p w14:paraId="6E58C7FE" w14:textId="3B3E1C6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Infertility etiology,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5EFD5C13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8C22809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B86A0AA" w14:textId="12E4B036" w:rsidR="0064475E" w:rsidRPr="00786CF6" w:rsidRDefault="00861049" w:rsidP="00861049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.474</w:t>
            </w:r>
          </w:p>
        </w:tc>
      </w:tr>
      <w:tr w:rsidR="0064475E" w:rsidRPr="00786CF6" w14:paraId="0037815A" w14:textId="77777777" w:rsidTr="00E73548">
        <w:trPr>
          <w:trHeight w:val="247"/>
        </w:trPr>
        <w:tc>
          <w:tcPr>
            <w:tcW w:w="0" w:type="auto"/>
          </w:tcPr>
          <w:p w14:paraId="718D1E7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 factor</w:t>
            </w:r>
          </w:p>
        </w:tc>
        <w:tc>
          <w:tcPr>
            <w:tcW w:w="0" w:type="auto"/>
          </w:tcPr>
          <w:p w14:paraId="4DD62B92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 (25.1%)</w:t>
            </w:r>
          </w:p>
        </w:tc>
        <w:tc>
          <w:tcPr>
            <w:tcW w:w="0" w:type="auto"/>
          </w:tcPr>
          <w:p w14:paraId="2C525B61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207 (22.7%)</w:t>
            </w:r>
          </w:p>
        </w:tc>
        <w:tc>
          <w:tcPr>
            <w:tcW w:w="0" w:type="auto"/>
          </w:tcPr>
          <w:p w14:paraId="6E885BD2" w14:textId="2F2D7764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7897C0B3" w14:textId="77777777" w:rsidTr="00E73548">
        <w:trPr>
          <w:trHeight w:val="247"/>
        </w:trPr>
        <w:tc>
          <w:tcPr>
            <w:tcW w:w="0" w:type="auto"/>
          </w:tcPr>
          <w:p w14:paraId="6C6A091F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 factors</w:t>
            </w:r>
          </w:p>
        </w:tc>
        <w:tc>
          <w:tcPr>
            <w:tcW w:w="0" w:type="auto"/>
          </w:tcPr>
          <w:p w14:paraId="3AECE9A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316 (69.0%)</w:t>
            </w:r>
          </w:p>
        </w:tc>
        <w:tc>
          <w:tcPr>
            <w:tcW w:w="0" w:type="auto"/>
          </w:tcPr>
          <w:p w14:paraId="2DCC18B6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658 (72.1%)</w:t>
            </w:r>
          </w:p>
        </w:tc>
        <w:tc>
          <w:tcPr>
            <w:tcW w:w="0" w:type="auto"/>
          </w:tcPr>
          <w:p w14:paraId="09DCD9AF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7D47DC9C" w14:textId="77777777" w:rsidTr="00E73548">
        <w:trPr>
          <w:trHeight w:val="247"/>
        </w:trPr>
        <w:tc>
          <w:tcPr>
            <w:tcW w:w="0" w:type="auto"/>
          </w:tcPr>
          <w:p w14:paraId="70C880B8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Unexplained/Other</w:t>
            </w:r>
          </w:p>
        </w:tc>
        <w:tc>
          <w:tcPr>
            <w:tcW w:w="0" w:type="auto"/>
          </w:tcPr>
          <w:p w14:paraId="56FF100C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 (5.9%)</w:t>
            </w:r>
          </w:p>
        </w:tc>
        <w:tc>
          <w:tcPr>
            <w:tcW w:w="0" w:type="auto"/>
          </w:tcPr>
          <w:p w14:paraId="12178A48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 (5.2%)</w:t>
            </w:r>
          </w:p>
        </w:tc>
        <w:tc>
          <w:tcPr>
            <w:tcW w:w="0" w:type="auto"/>
          </w:tcPr>
          <w:p w14:paraId="2C20B18B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6C4563CC" w14:textId="77777777" w:rsidTr="00E73548">
        <w:trPr>
          <w:trHeight w:val="247"/>
        </w:trPr>
        <w:tc>
          <w:tcPr>
            <w:tcW w:w="0" w:type="auto"/>
          </w:tcPr>
          <w:p w14:paraId="48E758F0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E4BCA39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C99E125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65F2CC5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44B7DA36" w14:textId="77777777" w:rsidTr="00E73548">
        <w:trPr>
          <w:trHeight w:val="247"/>
        </w:trPr>
        <w:tc>
          <w:tcPr>
            <w:tcW w:w="0" w:type="auto"/>
          </w:tcPr>
          <w:p w14:paraId="3D1267F8" w14:textId="0002B94E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Ovarian stimulation protocols,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062B6D70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B121B15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0A5D3B7" w14:textId="6A48BC24" w:rsidR="0064475E" w:rsidRPr="00786CF6" w:rsidRDefault="00861049" w:rsidP="00861049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.101</w:t>
            </w:r>
          </w:p>
        </w:tc>
      </w:tr>
      <w:tr w:rsidR="0064475E" w:rsidRPr="00786CF6" w14:paraId="0FCA3CC8" w14:textId="77777777" w:rsidTr="00E73548">
        <w:trPr>
          <w:trHeight w:val="247"/>
        </w:trPr>
        <w:tc>
          <w:tcPr>
            <w:tcW w:w="0" w:type="auto"/>
          </w:tcPr>
          <w:p w14:paraId="5C3B3570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PPOS</w:t>
            </w:r>
          </w:p>
        </w:tc>
        <w:tc>
          <w:tcPr>
            <w:tcW w:w="0" w:type="auto"/>
          </w:tcPr>
          <w:p w14:paraId="667DF223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175 (38.2%)</w:t>
            </w:r>
          </w:p>
        </w:tc>
        <w:tc>
          <w:tcPr>
            <w:tcW w:w="0" w:type="auto"/>
          </w:tcPr>
          <w:p w14:paraId="08BF0A80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397 (43.5%)</w:t>
            </w:r>
          </w:p>
        </w:tc>
        <w:tc>
          <w:tcPr>
            <w:tcW w:w="0" w:type="auto"/>
          </w:tcPr>
          <w:p w14:paraId="2402858D" w14:textId="5C43C253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1CE2CEE8" w14:textId="77777777" w:rsidTr="00E73548">
        <w:trPr>
          <w:trHeight w:val="247"/>
        </w:trPr>
        <w:tc>
          <w:tcPr>
            <w:tcW w:w="0" w:type="auto"/>
          </w:tcPr>
          <w:p w14:paraId="5C8A6DDE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GnRH antagonist</w:t>
            </w:r>
          </w:p>
        </w:tc>
        <w:tc>
          <w:tcPr>
            <w:tcW w:w="0" w:type="auto"/>
          </w:tcPr>
          <w:p w14:paraId="45A5B3BE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219 (47.8%)</w:t>
            </w:r>
          </w:p>
        </w:tc>
        <w:tc>
          <w:tcPr>
            <w:tcW w:w="0" w:type="auto"/>
          </w:tcPr>
          <w:p w14:paraId="00ED4E8D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382 (41.9%)</w:t>
            </w:r>
          </w:p>
        </w:tc>
        <w:tc>
          <w:tcPr>
            <w:tcW w:w="0" w:type="auto"/>
          </w:tcPr>
          <w:p w14:paraId="2AEB387D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7BB2AE57" w14:textId="77777777" w:rsidTr="00E73548">
        <w:trPr>
          <w:trHeight w:val="247"/>
        </w:trPr>
        <w:tc>
          <w:tcPr>
            <w:tcW w:w="0" w:type="auto"/>
          </w:tcPr>
          <w:p w14:paraId="442861CD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Other protocols</w:t>
            </w:r>
          </w:p>
        </w:tc>
        <w:tc>
          <w:tcPr>
            <w:tcW w:w="0" w:type="auto"/>
          </w:tcPr>
          <w:p w14:paraId="5C3CCA8D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 (14.0%)</w:t>
            </w:r>
          </w:p>
        </w:tc>
        <w:tc>
          <w:tcPr>
            <w:tcW w:w="0" w:type="auto"/>
          </w:tcPr>
          <w:p w14:paraId="233379E9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133 (14.6%)</w:t>
            </w:r>
          </w:p>
        </w:tc>
        <w:tc>
          <w:tcPr>
            <w:tcW w:w="0" w:type="auto"/>
          </w:tcPr>
          <w:p w14:paraId="08D8AEB3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14BE1F52" w14:textId="77777777" w:rsidTr="00E73548">
        <w:trPr>
          <w:trHeight w:val="247"/>
        </w:trPr>
        <w:tc>
          <w:tcPr>
            <w:tcW w:w="0" w:type="auto"/>
          </w:tcPr>
          <w:p w14:paraId="10D72AFB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9989DE6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EEE5BAA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93F8429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1A31CCFF" w14:textId="77777777" w:rsidTr="00E73548">
        <w:trPr>
          <w:trHeight w:val="247"/>
        </w:trPr>
        <w:tc>
          <w:tcPr>
            <w:tcW w:w="0" w:type="auto"/>
          </w:tcPr>
          <w:p w14:paraId="5CC43B2B" w14:textId="038B9EF6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Luteal phase support,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6F1ECB2B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B6515B4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FFE4F37" w14:textId="03669796" w:rsidR="0064475E" w:rsidRPr="00786CF6" w:rsidRDefault="00861049" w:rsidP="00861049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&lt;.0001*</w:t>
            </w:r>
          </w:p>
        </w:tc>
      </w:tr>
      <w:tr w:rsidR="0064475E" w:rsidRPr="00786CF6" w14:paraId="0EB885B5" w14:textId="77777777" w:rsidTr="00E73548">
        <w:trPr>
          <w:trHeight w:val="247"/>
        </w:trPr>
        <w:tc>
          <w:tcPr>
            <w:tcW w:w="0" w:type="auto"/>
          </w:tcPr>
          <w:p w14:paraId="03920837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Intramuscular injection and oral administration</w:t>
            </w:r>
          </w:p>
        </w:tc>
        <w:tc>
          <w:tcPr>
            <w:tcW w:w="0" w:type="auto"/>
          </w:tcPr>
          <w:p w14:paraId="1451D497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 (8.7%)</w:t>
            </w:r>
          </w:p>
        </w:tc>
        <w:tc>
          <w:tcPr>
            <w:tcW w:w="0" w:type="auto"/>
          </w:tcPr>
          <w:p w14:paraId="22555796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 (9.2%)</w:t>
            </w:r>
          </w:p>
        </w:tc>
        <w:tc>
          <w:tcPr>
            <w:tcW w:w="0" w:type="auto"/>
          </w:tcPr>
          <w:p w14:paraId="3F0DC7D8" w14:textId="557B86E1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5A15E625" w14:textId="77777777" w:rsidTr="00E73548">
        <w:trPr>
          <w:trHeight w:val="247"/>
        </w:trPr>
        <w:tc>
          <w:tcPr>
            <w:tcW w:w="0" w:type="auto"/>
          </w:tcPr>
          <w:p w14:paraId="57EE3B3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Vaginal gel administration and oral administration</w:t>
            </w:r>
          </w:p>
        </w:tc>
        <w:tc>
          <w:tcPr>
            <w:tcW w:w="0" w:type="auto"/>
          </w:tcPr>
          <w:p w14:paraId="69633566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154 (33.6%)</w:t>
            </w:r>
          </w:p>
        </w:tc>
        <w:tc>
          <w:tcPr>
            <w:tcW w:w="0" w:type="auto"/>
          </w:tcPr>
          <w:p w14:paraId="1E048AA2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413 (45.3%)</w:t>
            </w:r>
          </w:p>
        </w:tc>
        <w:tc>
          <w:tcPr>
            <w:tcW w:w="0" w:type="auto"/>
          </w:tcPr>
          <w:p w14:paraId="2F473701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6148436F" w14:textId="77777777" w:rsidTr="00E73548">
        <w:trPr>
          <w:trHeight w:val="247"/>
        </w:trPr>
        <w:tc>
          <w:tcPr>
            <w:tcW w:w="0" w:type="auto"/>
          </w:tcPr>
          <w:p w14:paraId="152B0FE8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Vaginal suppository administration and oral administration</w:t>
            </w:r>
          </w:p>
        </w:tc>
        <w:tc>
          <w:tcPr>
            <w:tcW w:w="0" w:type="auto"/>
          </w:tcPr>
          <w:p w14:paraId="300DF16D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177 (38.6%)</w:t>
            </w:r>
          </w:p>
        </w:tc>
        <w:tc>
          <w:tcPr>
            <w:tcW w:w="0" w:type="auto"/>
          </w:tcPr>
          <w:p w14:paraId="21F3BAA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408 (44.7%)</w:t>
            </w:r>
          </w:p>
        </w:tc>
        <w:tc>
          <w:tcPr>
            <w:tcW w:w="0" w:type="auto"/>
          </w:tcPr>
          <w:p w14:paraId="1E4BE977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789CFC70" w14:textId="77777777" w:rsidTr="00E73548">
        <w:trPr>
          <w:trHeight w:val="247"/>
        </w:trPr>
        <w:tc>
          <w:tcPr>
            <w:tcW w:w="0" w:type="auto"/>
          </w:tcPr>
          <w:p w14:paraId="2C4FE4EC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0" w:type="auto"/>
          </w:tcPr>
          <w:p w14:paraId="100E0548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 (19.0%)</w:t>
            </w:r>
          </w:p>
        </w:tc>
        <w:tc>
          <w:tcPr>
            <w:tcW w:w="0" w:type="auto"/>
          </w:tcPr>
          <w:p w14:paraId="04ED62F1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 (0.8%)</w:t>
            </w:r>
          </w:p>
        </w:tc>
        <w:tc>
          <w:tcPr>
            <w:tcW w:w="0" w:type="auto"/>
          </w:tcPr>
          <w:p w14:paraId="21F96B7A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3895BCE0" w14:textId="77777777" w:rsidTr="00E73548">
        <w:trPr>
          <w:trHeight w:val="247"/>
        </w:trPr>
        <w:tc>
          <w:tcPr>
            <w:tcW w:w="0" w:type="auto"/>
          </w:tcPr>
          <w:p w14:paraId="398D3BB7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A38AC06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B2C6C7F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24B29F7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0DC47148" w14:textId="77777777" w:rsidTr="00E73548">
        <w:trPr>
          <w:trHeight w:val="247"/>
        </w:trPr>
        <w:tc>
          <w:tcPr>
            <w:tcW w:w="0" w:type="auto"/>
          </w:tcPr>
          <w:p w14:paraId="637BB68A" w14:textId="1E5DEAA2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Fertilization,</w:t>
            </w:r>
            <w:r w:rsidR="00024637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(%)</w:t>
            </w:r>
          </w:p>
        </w:tc>
        <w:tc>
          <w:tcPr>
            <w:tcW w:w="0" w:type="auto"/>
          </w:tcPr>
          <w:p w14:paraId="1C16ABD2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314 (68.6%)</w:t>
            </w:r>
          </w:p>
        </w:tc>
        <w:tc>
          <w:tcPr>
            <w:tcW w:w="0" w:type="auto"/>
          </w:tcPr>
          <w:p w14:paraId="2CCA490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623 (68.3%)</w:t>
            </w:r>
          </w:p>
        </w:tc>
        <w:tc>
          <w:tcPr>
            <w:tcW w:w="0" w:type="auto"/>
          </w:tcPr>
          <w:p w14:paraId="6760F5D9" w14:textId="11D1F531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.137</w:t>
            </w:r>
          </w:p>
        </w:tc>
      </w:tr>
      <w:tr w:rsidR="0064475E" w:rsidRPr="00786CF6" w14:paraId="7B324266" w14:textId="77777777" w:rsidTr="00E73548">
        <w:trPr>
          <w:trHeight w:val="247"/>
        </w:trPr>
        <w:tc>
          <w:tcPr>
            <w:tcW w:w="0" w:type="auto"/>
          </w:tcPr>
          <w:p w14:paraId="443A9CC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IVF</w:t>
            </w:r>
          </w:p>
        </w:tc>
        <w:tc>
          <w:tcPr>
            <w:tcW w:w="0" w:type="auto"/>
          </w:tcPr>
          <w:p w14:paraId="179CDB3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135 (29.5%)</w:t>
            </w:r>
          </w:p>
        </w:tc>
        <w:tc>
          <w:tcPr>
            <w:tcW w:w="0" w:type="auto"/>
          </w:tcPr>
          <w:p w14:paraId="7793199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253 (27.7%)</w:t>
            </w:r>
          </w:p>
        </w:tc>
        <w:tc>
          <w:tcPr>
            <w:tcW w:w="0" w:type="auto"/>
          </w:tcPr>
          <w:p w14:paraId="614A51D5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3EA6A70C" w14:textId="77777777" w:rsidTr="00E73548">
        <w:trPr>
          <w:trHeight w:val="247"/>
        </w:trPr>
        <w:tc>
          <w:tcPr>
            <w:tcW w:w="0" w:type="auto"/>
          </w:tcPr>
          <w:p w14:paraId="522A4415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ICSI</w:t>
            </w:r>
          </w:p>
        </w:tc>
        <w:tc>
          <w:tcPr>
            <w:tcW w:w="0" w:type="auto"/>
          </w:tcPr>
          <w:p w14:paraId="3A82AB60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(2.0%)</w:t>
            </w:r>
          </w:p>
        </w:tc>
        <w:tc>
          <w:tcPr>
            <w:tcW w:w="0" w:type="auto"/>
          </w:tcPr>
          <w:p w14:paraId="41F5623C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 (3.9%)</w:t>
            </w:r>
          </w:p>
        </w:tc>
        <w:tc>
          <w:tcPr>
            <w:tcW w:w="0" w:type="auto"/>
          </w:tcPr>
          <w:p w14:paraId="7DC661E6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2734D09A" w14:textId="77777777" w:rsidTr="00E73548">
        <w:trPr>
          <w:trHeight w:val="247"/>
        </w:trPr>
        <w:tc>
          <w:tcPr>
            <w:tcW w:w="0" w:type="auto"/>
          </w:tcPr>
          <w:p w14:paraId="1A633FD1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Rescue ICSI</w:t>
            </w:r>
          </w:p>
        </w:tc>
        <w:tc>
          <w:tcPr>
            <w:tcW w:w="0" w:type="auto"/>
          </w:tcPr>
          <w:p w14:paraId="6C940133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4FEFE49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56DFAA1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4327B470" w14:textId="77777777" w:rsidTr="00E73548">
        <w:trPr>
          <w:trHeight w:val="247"/>
        </w:trPr>
        <w:tc>
          <w:tcPr>
            <w:tcW w:w="0" w:type="auto"/>
          </w:tcPr>
          <w:p w14:paraId="30335CD1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D7C9298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F10B4CC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EF4DF4E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2E2E7E03" w14:textId="77777777" w:rsidTr="00E73548">
        <w:trPr>
          <w:trHeight w:val="247"/>
        </w:trPr>
        <w:tc>
          <w:tcPr>
            <w:tcW w:w="0" w:type="auto"/>
          </w:tcPr>
          <w:p w14:paraId="65420553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embryos thawed</w:t>
            </w:r>
          </w:p>
        </w:tc>
        <w:tc>
          <w:tcPr>
            <w:tcW w:w="0" w:type="auto"/>
          </w:tcPr>
          <w:p w14:paraId="30D33CC9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2CFB99F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610D0FE" w14:textId="3EB805E8" w:rsidR="0064475E" w:rsidRPr="00786CF6" w:rsidRDefault="00861049" w:rsidP="00861049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.598</w:t>
            </w:r>
          </w:p>
        </w:tc>
      </w:tr>
      <w:tr w:rsidR="0064475E" w:rsidRPr="00786CF6" w14:paraId="518BE4FD" w14:textId="77777777" w:rsidTr="00E73548">
        <w:trPr>
          <w:trHeight w:val="247"/>
        </w:trPr>
        <w:tc>
          <w:tcPr>
            <w:tcW w:w="0" w:type="auto"/>
          </w:tcPr>
          <w:p w14:paraId="48A4F57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7B6A58F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327 (71.6)</w:t>
            </w:r>
          </w:p>
        </w:tc>
        <w:tc>
          <w:tcPr>
            <w:tcW w:w="0" w:type="auto"/>
          </w:tcPr>
          <w:p w14:paraId="39E390B6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625 (69.1)</w:t>
            </w:r>
          </w:p>
        </w:tc>
        <w:tc>
          <w:tcPr>
            <w:tcW w:w="0" w:type="auto"/>
          </w:tcPr>
          <w:p w14:paraId="6A336A8F" w14:textId="6A333144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1E45DBEC" w14:textId="77777777" w:rsidTr="00E73548">
        <w:trPr>
          <w:trHeight w:val="247"/>
        </w:trPr>
        <w:tc>
          <w:tcPr>
            <w:tcW w:w="0" w:type="auto"/>
          </w:tcPr>
          <w:p w14:paraId="7EDC8D1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0" w:type="auto"/>
          </w:tcPr>
          <w:p w14:paraId="6E1E44C9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125 (27.4)</w:t>
            </w:r>
          </w:p>
        </w:tc>
        <w:tc>
          <w:tcPr>
            <w:tcW w:w="0" w:type="auto"/>
          </w:tcPr>
          <w:p w14:paraId="1A41B627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267 (29.5)</w:t>
            </w:r>
          </w:p>
        </w:tc>
        <w:tc>
          <w:tcPr>
            <w:tcW w:w="0" w:type="auto"/>
          </w:tcPr>
          <w:p w14:paraId="65F5B5A1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4657C212" w14:textId="77777777" w:rsidTr="00E73548">
        <w:trPr>
          <w:trHeight w:val="247"/>
        </w:trPr>
        <w:tc>
          <w:tcPr>
            <w:tcW w:w="0" w:type="auto"/>
          </w:tcPr>
          <w:p w14:paraId="7912BEED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&gt;=3</w:t>
            </w:r>
          </w:p>
        </w:tc>
        <w:tc>
          <w:tcPr>
            <w:tcW w:w="0" w:type="auto"/>
          </w:tcPr>
          <w:p w14:paraId="5F33944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 (1.1)</w:t>
            </w:r>
          </w:p>
        </w:tc>
        <w:tc>
          <w:tcPr>
            <w:tcW w:w="0" w:type="auto"/>
          </w:tcPr>
          <w:p w14:paraId="58CBCC71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 (1.4)</w:t>
            </w:r>
          </w:p>
        </w:tc>
        <w:tc>
          <w:tcPr>
            <w:tcW w:w="0" w:type="auto"/>
          </w:tcPr>
          <w:p w14:paraId="1D6EFFCB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5A2E19F6" w14:textId="77777777" w:rsidTr="00E73548">
        <w:trPr>
          <w:trHeight w:val="247"/>
        </w:trPr>
        <w:tc>
          <w:tcPr>
            <w:tcW w:w="0" w:type="auto"/>
          </w:tcPr>
          <w:p w14:paraId="2FBD16A4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41A4CDA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002EE50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B7D1F80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1DC525D5" w14:textId="77777777" w:rsidTr="00E73548">
        <w:trPr>
          <w:trHeight w:val="247"/>
        </w:trPr>
        <w:tc>
          <w:tcPr>
            <w:tcW w:w="0" w:type="auto"/>
          </w:tcPr>
          <w:p w14:paraId="35A6DD56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surviving embryos</w:t>
            </w:r>
          </w:p>
        </w:tc>
        <w:tc>
          <w:tcPr>
            <w:tcW w:w="0" w:type="auto"/>
          </w:tcPr>
          <w:p w14:paraId="5D860D59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ABAF8C1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1E5F3C1" w14:textId="34C77C75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.644</w:t>
            </w:r>
          </w:p>
        </w:tc>
      </w:tr>
      <w:tr w:rsidR="0064475E" w:rsidRPr="00786CF6" w14:paraId="4F63BF34" w14:textId="77777777" w:rsidTr="00E73548">
        <w:trPr>
          <w:trHeight w:val="247"/>
        </w:trPr>
        <w:tc>
          <w:tcPr>
            <w:tcW w:w="0" w:type="auto"/>
          </w:tcPr>
          <w:p w14:paraId="2F49137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217C1006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328 (71.8)</w:t>
            </w:r>
          </w:p>
        </w:tc>
        <w:tc>
          <w:tcPr>
            <w:tcW w:w="0" w:type="auto"/>
          </w:tcPr>
          <w:p w14:paraId="2F7F899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630 (69.5)</w:t>
            </w:r>
          </w:p>
        </w:tc>
        <w:tc>
          <w:tcPr>
            <w:tcW w:w="0" w:type="auto"/>
          </w:tcPr>
          <w:p w14:paraId="4ACDAC9C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3514716E" w14:textId="77777777" w:rsidTr="00E73548">
        <w:trPr>
          <w:trHeight w:val="247"/>
        </w:trPr>
        <w:tc>
          <w:tcPr>
            <w:tcW w:w="0" w:type="auto"/>
          </w:tcPr>
          <w:p w14:paraId="40AB0243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7B828C0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124 (27.1)</w:t>
            </w:r>
          </w:p>
        </w:tc>
        <w:tc>
          <w:tcPr>
            <w:tcW w:w="0" w:type="auto"/>
          </w:tcPr>
          <w:p w14:paraId="5A437BAE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267 (29.5)</w:t>
            </w:r>
          </w:p>
        </w:tc>
        <w:tc>
          <w:tcPr>
            <w:tcW w:w="0" w:type="auto"/>
          </w:tcPr>
          <w:p w14:paraId="69EC9B73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58D3D447" w14:textId="77777777" w:rsidTr="00E73548">
        <w:trPr>
          <w:trHeight w:val="247"/>
        </w:trPr>
        <w:tc>
          <w:tcPr>
            <w:tcW w:w="0" w:type="auto"/>
          </w:tcPr>
          <w:p w14:paraId="6C505CF4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620AEE3B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 (1.1)</w:t>
            </w:r>
          </w:p>
        </w:tc>
        <w:tc>
          <w:tcPr>
            <w:tcW w:w="0" w:type="auto"/>
          </w:tcPr>
          <w:p w14:paraId="5862355C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(1.0)</w:t>
            </w:r>
          </w:p>
        </w:tc>
        <w:tc>
          <w:tcPr>
            <w:tcW w:w="0" w:type="auto"/>
          </w:tcPr>
          <w:p w14:paraId="4AA5E1CA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5C9EFDB1" w14:textId="77777777" w:rsidTr="00E73548">
        <w:trPr>
          <w:trHeight w:val="247"/>
        </w:trPr>
        <w:tc>
          <w:tcPr>
            <w:tcW w:w="0" w:type="auto"/>
          </w:tcPr>
          <w:p w14:paraId="51839616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021B238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7BEDB38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1FECDB1F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2B27DE91" w14:textId="77777777" w:rsidTr="00E73548">
        <w:trPr>
          <w:trHeight w:val="247"/>
        </w:trPr>
        <w:tc>
          <w:tcPr>
            <w:tcW w:w="0" w:type="auto"/>
          </w:tcPr>
          <w:p w14:paraId="5A774970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of embryos transferred</w:t>
            </w:r>
          </w:p>
        </w:tc>
        <w:tc>
          <w:tcPr>
            <w:tcW w:w="0" w:type="auto"/>
          </w:tcPr>
          <w:p w14:paraId="2D493B3C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D7235B3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51830A1D" w14:textId="63FE72E9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.39</w:t>
            </w:r>
            <w:r w:rsidR="00D41CD0"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:rsidR="0064475E" w:rsidRPr="00786CF6" w14:paraId="40C59D28" w14:textId="77777777" w:rsidTr="00E73548">
        <w:trPr>
          <w:trHeight w:val="247"/>
        </w:trPr>
        <w:tc>
          <w:tcPr>
            <w:tcW w:w="0" w:type="auto"/>
          </w:tcPr>
          <w:p w14:paraId="339226F6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08ED6D62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333 (72.9)</w:t>
            </w:r>
          </w:p>
        </w:tc>
        <w:tc>
          <w:tcPr>
            <w:tcW w:w="0" w:type="auto"/>
          </w:tcPr>
          <w:p w14:paraId="1789FD0E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641 (70.7)</w:t>
            </w:r>
          </w:p>
        </w:tc>
        <w:tc>
          <w:tcPr>
            <w:tcW w:w="0" w:type="auto"/>
          </w:tcPr>
          <w:p w14:paraId="23BDBB42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475E" w:rsidRPr="00786CF6" w14:paraId="6AD7CF0B" w14:textId="77777777" w:rsidTr="00E73548">
        <w:trPr>
          <w:trHeight w:val="247"/>
        </w:trPr>
        <w:tc>
          <w:tcPr>
            <w:tcW w:w="0" w:type="auto"/>
          </w:tcPr>
          <w:p w14:paraId="782ADAA0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1F1216D3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124 (27.1)</w:t>
            </w:r>
          </w:p>
        </w:tc>
        <w:tc>
          <w:tcPr>
            <w:tcW w:w="0" w:type="auto"/>
          </w:tcPr>
          <w:p w14:paraId="1402694F" w14:textId="77777777" w:rsidR="0064475E" w:rsidRPr="00786CF6" w:rsidRDefault="0064475E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86C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266 (29.3)</w:t>
            </w:r>
          </w:p>
        </w:tc>
        <w:tc>
          <w:tcPr>
            <w:tcW w:w="0" w:type="auto"/>
          </w:tcPr>
          <w:p w14:paraId="3B8EA835" w14:textId="77777777" w:rsidR="0064475E" w:rsidRPr="00786CF6" w:rsidRDefault="0064475E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EA7C7DF" w14:textId="7375AA23" w:rsidR="00B129C1" w:rsidRPr="00786CF6" w:rsidRDefault="00B129C1" w:rsidP="00B129C1">
      <w:pPr>
        <w:rPr>
          <w:rFonts w:ascii="Times New Roman" w:hAnsi="Times New Roman" w:cs="Times New Roman"/>
        </w:rPr>
      </w:pPr>
      <w:r w:rsidRPr="00786CF6">
        <w:rPr>
          <w:rFonts w:ascii="Times New Roman" w:hAnsi="Times New Roman" w:cs="Times New Roman" w:hint="eastAsia"/>
        </w:rPr>
        <w:t xml:space="preserve">Notes: </w:t>
      </w:r>
      <w:r w:rsidRPr="00786CF6">
        <w:rPr>
          <w:rFonts w:ascii="Times New Roman" w:hAnsi="Times New Roman" w:cs="Times New Roman"/>
        </w:rPr>
        <w:t xml:space="preserve">Continuous variables are presented as median (first–third quartile) and compared using the Wilcoxon rank-sum test; categorical variables are n (%) and compared using the χ² test or Fisher’s exact test, as appropriate. </w:t>
      </w:r>
      <w:r w:rsidR="00931558">
        <w:rPr>
          <w:rFonts w:ascii="Times New Roman" w:hAnsi="Times New Roman" w:cs="Times New Roman"/>
        </w:rPr>
        <w:t>p</w:t>
      </w:r>
      <w:r w:rsidR="00931558">
        <w:rPr>
          <w:rFonts w:ascii="Times New Roman" w:hAnsi="Times New Roman" w:cs="Times New Roman" w:hint="eastAsia"/>
        </w:rPr>
        <w:t xml:space="preserve"> </w:t>
      </w:r>
      <w:r w:rsidRPr="00786CF6">
        <w:rPr>
          <w:rFonts w:ascii="Times New Roman" w:hAnsi="Times New Roman" w:cs="Times New Roman"/>
        </w:rPr>
        <w:t>values refer to between-group comparisons in the matched cohort. *</w:t>
      </w:r>
      <w:r w:rsidR="00931558">
        <w:rPr>
          <w:rFonts w:ascii="Times New Roman" w:hAnsi="Times New Roman" w:cs="Times New Roman" w:hint="eastAsia"/>
          <w:i/>
          <w:iCs/>
        </w:rPr>
        <w:t>p</w:t>
      </w:r>
      <w:r w:rsidR="00DC3E2A">
        <w:rPr>
          <w:rFonts w:ascii="Times New Roman" w:hAnsi="Times New Roman" w:cs="Times New Roman" w:hint="eastAsia"/>
          <w:i/>
          <w:iCs/>
        </w:rPr>
        <w:t xml:space="preserve"> </w:t>
      </w:r>
      <w:r w:rsidRPr="00786CF6">
        <w:rPr>
          <w:rFonts w:ascii="Times New Roman" w:hAnsi="Times New Roman" w:cs="Times New Roman"/>
        </w:rPr>
        <w:t>&lt;</w:t>
      </w:r>
      <w:r w:rsidR="005E3B58">
        <w:rPr>
          <w:rFonts w:ascii="Times New Roman" w:hAnsi="Times New Roman" w:cs="Times New Roman" w:hint="eastAsia"/>
        </w:rPr>
        <w:t xml:space="preserve"> </w:t>
      </w:r>
      <w:r w:rsidRPr="00786CF6">
        <w:rPr>
          <w:rFonts w:ascii="Times New Roman" w:hAnsi="Times New Roman" w:cs="Times New Roman"/>
        </w:rPr>
        <w:t>.05.</w:t>
      </w:r>
    </w:p>
    <w:p w14:paraId="1778819A" w14:textId="77777777" w:rsidR="0064475E" w:rsidRDefault="0064475E">
      <w:pPr>
        <w:rPr>
          <w:rFonts w:ascii="Times New Roman" w:hAnsi="Times New Roman"/>
        </w:rPr>
      </w:pPr>
    </w:p>
    <w:p w14:paraId="1A4C5127" w14:textId="77777777" w:rsidR="00814A52" w:rsidRPr="001E0575" w:rsidRDefault="00814A52" w:rsidP="00814A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/>
          <w:sz w:val="22"/>
          <w:szCs w:val="24"/>
        </w:rPr>
      </w:pPr>
      <w:r w:rsidRPr="001E0575">
        <w:rPr>
          <w:rFonts w:ascii="Times New Roman" w:hAnsi="Times New Roman"/>
          <w:sz w:val="22"/>
        </w:rPr>
        <w:t>Table S</w:t>
      </w:r>
      <w:r>
        <w:rPr>
          <w:rFonts w:ascii="Times New Roman" w:hAnsi="Times New Roman" w:hint="eastAsia"/>
          <w:sz w:val="22"/>
        </w:rPr>
        <w:t xml:space="preserve">3. </w:t>
      </w:r>
      <w:r w:rsidRPr="001E0575">
        <w:rPr>
          <w:rFonts w:ascii="Times New Roman" w:hAnsi="Times New Roman"/>
          <w:sz w:val="22"/>
        </w:rPr>
        <w:t>Adjusted predicted rates (%) by age strata and regimen (IPTW-weighted logistic, marginal standardization).</w:t>
      </w:r>
    </w:p>
    <w:tbl>
      <w:tblPr>
        <w:tblW w:w="0" w:type="auto"/>
        <w:tblInd w:w="-3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711"/>
        <w:gridCol w:w="1581"/>
        <w:gridCol w:w="711"/>
        <w:gridCol w:w="1581"/>
      </w:tblGrid>
      <w:tr w:rsidR="00814A52" w:rsidRPr="001E0575" w14:paraId="06E6AE6C" w14:textId="77777777" w:rsidTr="00DE5C1B">
        <w:trPr>
          <w:trHeight w:val="298"/>
        </w:trPr>
        <w:tc>
          <w:tcPr>
            <w:tcW w:w="0" w:type="auto"/>
          </w:tcPr>
          <w:p w14:paraId="7CD20A53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</w:tcPr>
          <w:p w14:paraId="20E30518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&lt;35</w:t>
            </w:r>
          </w:p>
        </w:tc>
        <w:tc>
          <w:tcPr>
            <w:tcW w:w="0" w:type="auto"/>
            <w:gridSpan w:val="2"/>
          </w:tcPr>
          <w:p w14:paraId="404735C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≥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</w:tr>
      <w:tr w:rsidR="00814A52" w:rsidRPr="001E0575" w14:paraId="58DD8F49" w14:textId="77777777" w:rsidTr="00DE5C1B">
        <w:trPr>
          <w:trHeight w:val="288"/>
        </w:trPr>
        <w:tc>
          <w:tcPr>
            <w:tcW w:w="0" w:type="auto"/>
          </w:tcPr>
          <w:p w14:paraId="5ABE0F4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</w:tcPr>
          <w:p w14:paraId="485CA01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HRT</w:t>
            </w:r>
          </w:p>
        </w:tc>
        <w:tc>
          <w:tcPr>
            <w:tcW w:w="0" w:type="auto"/>
          </w:tcPr>
          <w:p w14:paraId="2476338D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GnRH-a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+HRT</w:t>
            </w:r>
          </w:p>
        </w:tc>
        <w:tc>
          <w:tcPr>
            <w:tcW w:w="0" w:type="auto"/>
          </w:tcPr>
          <w:p w14:paraId="65A46D9B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HRT</w:t>
            </w:r>
          </w:p>
        </w:tc>
        <w:tc>
          <w:tcPr>
            <w:tcW w:w="0" w:type="auto"/>
          </w:tcPr>
          <w:p w14:paraId="700DB4CA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GnRH-a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+HRT</w:t>
            </w:r>
          </w:p>
        </w:tc>
      </w:tr>
      <w:tr w:rsidR="00814A52" w:rsidRPr="001E0575" w14:paraId="54BD01AE" w14:textId="77777777" w:rsidTr="00DE5C1B">
        <w:trPr>
          <w:trHeight w:val="288"/>
        </w:trPr>
        <w:tc>
          <w:tcPr>
            <w:tcW w:w="0" w:type="auto"/>
          </w:tcPr>
          <w:p w14:paraId="46CEBE8F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Live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Birth</w:t>
            </w:r>
          </w:p>
        </w:tc>
        <w:tc>
          <w:tcPr>
            <w:tcW w:w="0" w:type="auto"/>
          </w:tcPr>
          <w:p w14:paraId="04714207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34.86</w:t>
            </w:r>
          </w:p>
        </w:tc>
        <w:tc>
          <w:tcPr>
            <w:tcW w:w="0" w:type="auto"/>
          </w:tcPr>
          <w:p w14:paraId="07FEC45D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39.20 </w:t>
            </w:r>
          </w:p>
        </w:tc>
        <w:tc>
          <w:tcPr>
            <w:tcW w:w="0" w:type="auto"/>
          </w:tcPr>
          <w:p w14:paraId="53BFD1A4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17.09</w:t>
            </w:r>
          </w:p>
        </w:tc>
        <w:tc>
          <w:tcPr>
            <w:tcW w:w="0" w:type="auto"/>
          </w:tcPr>
          <w:p w14:paraId="00DA60B7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22.98 </w:t>
            </w:r>
          </w:p>
        </w:tc>
      </w:tr>
      <w:tr w:rsidR="00814A52" w:rsidRPr="001E0575" w14:paraId="40D26262" w14:textId="77777777" w:rsidTr="00DE5C1B">
        <w:trPr>
          <w:trHeight w:val="288"/>
        </w:trPr>
        <w:tc>
          <w:tcPr>
            <w:tcW w:w="0" w:type="auto"/>
          </w:tcPr>
          <w:p w14:paraId="71F648B3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Clinical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104FF431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44.01</w:t>
            </w:r>
          </w:p>
        </w:tc>
        <w:tc>
          <w:tcPr>
            <w:tcW w:w="0" w:type="auto"/>
          </w:tcPr>
          <w:p w14:paraId="6657A456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45.44 </w:t>
            </w:r>
          </w:p>
        </w:tc>
        <w:tc>
          <w:tcPr>
            <w:tcW w:w="0" w:type="auto"/>
          </w:tcPr>
          <w:p w14:paraId="4B485B59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26.96</w:t>
            </w:r>
          </w:p>
        </w:tc>
        <w:tc>
          <w:tcPr>
            <w:tcW w:w="0" w:type="auto"/>
          </w:tcPr>
          <w:p w14:paraId="31E53296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35.58 </w:t>
            </w:r>
          </w:p>
        </w:tc>
      </w:tr>
      <w:tr w:rsidR="00814A52" w:rsidRPr="001E0575" w14:paraId="0FF374F1" w14:textId="77777777" w:rsidTr="00DE5C1B">
        <w:trPr>
          <w:trHeight w:val="288"/>
        </w:trPr>
        <w:tc>
          <w:tcPr>
            <w:tcW w:w="0" w:type="auto"/>
          </w:tcPr>
          <w:p w14:paraId="621524CA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Miscarriage</w:t>
            </w:r>
          </w:p>
        </w:tc>
        <w:tc>
          <w:tcPr>
            <w:tcW w:w="0" w:type="auto"/>
          </w:tcPr>
          <w:p w14:paraId="6031356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7.855</w:t>
            </w:r>
          </w:p>
        </w:tc>
        <w:tc>
          <w:tcPr>
            <w:tcW w:w="0" w:type="auto"/>
          </w:tcPr>
          <w:p w14:paraId="5ADA3FA1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5.06 </w:t>
            </w:r>
          </w:p>
        </w:tc>
        <w:tc>
          <w:tcPr>
            <w:tcW w:w="0" w:type="auto"/>
          </w:tcPr>
          <w:p w14:paraId="01C7D876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9.057</w:t>
            </w:r>
          </w:p>
        </w:tc>
        <w:tc>
          <w:tcPr>
            <w:tcW w:w="0" w:type="auto"/>
          </w:tcPr>
          <w:p w14:paraId="6AC7D997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12.68 </w:t>
            </w:r>
          </w:p>
        </w:tc>
      </w:tr>
      <w:tr w:rsidR="00814A52" w:rsidRPr="001E0575" w14:paraId="3921FC94" w14:textId="77777777" w:rsidTr="00DE5C1B">
        <w:trPr>
          <w:trHeight w:val="288"/>
        </w:trPr>
        <w:tc>
          <w:tcPr>
            <w:tcW w:w="0" w:type="auto"/>
          </w:tcPr>
          <w:p w14:paraId="09D9E824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Multiple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07AB7576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5.464</w:t>
            </w:r>
          </w:p>
        </w:tc>
        <w:tc>
          <w:tcPr>
            <w:tcW w:w="0" w:type="auto"/>
          </w:tcPr>
          <w:p w14:paraId="57C5F52D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6.70 </w:t>
            </w:r>
          </w:p>
        </w:tc>
        <w:tc>
          <w:tcPr>
            <w:tcW w:w="0" w:type="auto"/>
          </w:tcPr>
          <w:p w14:paraId="605B99D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2.421</w:t>
            </w:r>
          </w:p>
        </w:tc>
        <w:tc>
          <w:tcPr>
            <w:tcW w:w="0" w:type="auto"/>
          </w:tcPr>
          <w:p w14:paraId="352A76F2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5.04 </w:t>
            </w:r>
          </w:p>
        </w:tc>
      </w:tr>
      <w:tr w:rsidR="00814A52" w:rsidRPr="001E0575" w14:paraId="3DDAAFCB" w14:textId="77777777" w:rsidTr="00DE5C1B">
        <w:trPr>
          <w:trHeight w:val="288"/>
        </w:trPr>
        <w:tc>
          <w:tcPr>
            <w:tcW w:w="0" w:type="auto"/>
          </w:tcPr>
          <w:p w14:paraId="67E38B5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Ectopic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1F66413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0" w:type="auto"/>
          </w:tcPr>
          <w:p w14:paraId="30E0609A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0.83 </w:t>
            </w:r>
          </w:p>
        </w:tc>
        <w:tc>
          <w:tcPr>
            <w:tcW w:w="0" w:type="auto"/>
          </w:tcPr>
          <w:p w14:paraId="2AE6BF53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0.688</w:t>
            </w:r>
          </w:p>
        </w:tc>
        <w:tc>
          <w:tcPr>
            <w:tcW w:w="0" w:type="auto"/>
          </w:tcPr>
          <w:p w14:paraId="7146A2A6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0.00 </w:t>
            </w:r>
          </w:p>
        </w:tc>
      </w:tr>
      <w:tr w:rsidR="00814A52" w:rsidRPr="001E0575" w14:paraId="18F1F2BF" w14:textId="77777777" w:rsidTr="00DE5C1B">
        <w:trPr>
          <w:trHeight w:val="288"/>
        </w:trPr>
        <w:tc>
          <w:tcPr>
            <w:tcW w:w="0" w:type="auto"/>
          </w:tcPr>
          <w:p w14:paraId="0996D16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Biochemical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79EBD093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8.059</w:t>
            </w:r>
          </w:p>
        </w:tc>
        <w:tc>
          <w:tcPr>
            <w:tcW w:w="0" w:type="auto"/>
          </w:tcPr>
          <w:p w14:paraId="66ADA324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5.93 </w:t>
            </w:r>
          </w:p>
        </w:tc>
        <w:tc>
          <w:tcPr>
            <w:tcW w:w="0" w:type="auto"/>
          </w:tcPr>
          <w:p w14:paraId="2E589324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>5.733</w:t>
            </w:r>
          </w:p>
        </w:tc>
        <w:tc>
          <w:tcPr>
            <w:tcW w:w="0" w:type="auto"/>
          </w:tcPr>
          <w:p w14:paraId="1711979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Calibri"/>
                <w:color w:val="000000"/>
                <w:kern w:val="0"/>
                <w:sz w:val="22"/>
              </w:rPr>
              <w:t xml:space="preserve">7.51 </w:t>
            </w:r>
          </w:p>
        </w:tc>
      </w:tr>
    </w:tbl>
    <w:p w14:paraId="14FA5046" w14:textId="15AE4477" w:rsidR="00814A52" w:rsidRDefault="00814A52" w:rsidP="00814A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2"/>
        </w:rPr>
      </w:pPr>
      <w:r w:rsidRPr="001E0575">
        <w:rPr>
          <w:rFonts w:ascii="Times New Roman" w:hAnsi="Times New Roman"/>
          <w:sz w:val="22"/>
        </w:rPr>
        <w:t>Values are adjusted predicted rates (%) from IPTW-weighted multivariable logistic models with marginal standardization. Covariates: BMI, AMH, AFC, duration of infertility, infertility type, endometrial thickness at transfer, and number of embryos transferred. Age strata: &lt;35 vs ≥35 years; exposure: GnRH-a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+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HRT vs HRT. Rates are percentages; no multiplicity</w:t>
      </w:r>
      <w:r w:rsidR="0078135C"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adjustment in this descriptive table.</w:t>
      </w:r>
    </w:p>
    <w:p w14:paraId="585DA113" w14:textId="77777777" w:rsidR="00814A52" w:rsidRPr="001E0575" w:rsidRDefault="00814A52" w:rsidP="00814A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2"/>
        </w:rPr>
      </w:pPr>
    </w:p>
    <w:p w14:paraId="1AF93870" w14:textId="77777777" w:rsidR="00814A52" w:rsidRPr="001E0575" w:rsidRDefault="00814A52" w:rsidP="00814A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2"/>
        </w:rPr>
      </w:pPr>
      <w:r w:rsidRPr="001E0575">
        <w:rPr>
          <w:rFonts w:ascii="Times New Roman" w:hAnsi="Times New Roman"/>
          <w:sz w:val="22"/>
        </w:rPr>
        <w:t>Table S</w:t>
      </w:r>
      <w:r>
        <w:rPr>
          <w:rFonts w:ascii="Times New Roman" w:hAnsi="Times New Roman" w:hint="eastAsia"/>
          <w:sz w:val="22"/>
        </w:rPr>
        <w:t>4</w:t>
      </w:r>
      <w:r w:rsidRPr="001E0575">
        <w:rPr>
          <w:rFonts w:ascii="Times New Roman" w:hAnsi="Times New Roman"/>
          <w:sz w:val="22"/>
        </w:rPr>
        <w:t>. Absolute risk difference (ARD, percentage points) and NNT/NNH for GnRH-a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+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HRT vs HRT by age strata.</w:t>
      </w:r>
    </w:p>
    <w:p w14:paraId="65F6CEB1" w14:textId="77777777" w:rsidR="00814A52" w:rsidRPr="001E0575" w:rsidRDefault="00814A52" w:rsidP="00814A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2"/>
        </w:rPr>
      </w:pPr>
    </w:p>
    <w:tbl>
      <w:tblPr>
        <w:tblW w:w="0" w:type="auto"/>
        <w:tblInd w:w="-3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327"/>
        <w:gridCol w:w="1103"/>
        <w:gridCol w:w="1206"/>
        <w:gridCol w:w="1103"/>
        <w:gridCol w:w="1206"/>
      </w:tblGrid>
      <w:tr w:rsidR="00814A52" w:rsidRPr="001E0575" w14:paraId="46371512" w14:textId="77777777" w:rsidTr="00DE5C1B">
        <w:trPr>
          <w:trHeight w:val="288"/>
        </w:trPr>
        <w:tc>
          <w:tcPr>
            <w:tcW w:w="0" w:type="auto"/>
          </w:tcPr>
          <w:p w14:paraId="48644A5F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GnRH-a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+HRT vs HRT</w:t>
            </w:r>
          </w:p>
        </w:tc>
        <w:tc>
          <w:tcPr>
            <w:tcW w:w="0" w:type="auto"/>
          </w:tcPr>
          <w:p w14:paraId="4A85F1D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</w:tcPr>
          <w:p w14:paraId="0F9B519F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</w:tcPr>
          <w:p w14:paraId="5497010D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</w:tcPr>
          <w:p w14:paraId="401023B8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14A52" w:rsidRPr="001E0575" w14:paraId="4B8FCC9D" w14:textId="77777777" w:rsidTr="00DE5C1B">
        <w:trPr>
          <w:trHeight w:val="298"/>
        </w:trPr>
        <w:tc>
          <w:tcPr>
            <w:tcW w:w="0" w:type="auto"/>
          </w:tcPr>
          <w:p w14:paraId="4A303B77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</w:tcPr>
          <w:p w14:paraId="37661B99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&lt;35</w:t>
            </w:r>
          </w:p>
        </w:tc>
        <w:tc>
          <w:tcPr>
            <w:tcW w:w="0" w:type="auto"/>
            <w:gridSpan w:val="2"/>
          </w:tcPr>
          <w:p w14:paraId="633D8E7A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≥35</w:t>
            </w:r>
          </w:p>
        </w:tc>
      </w:tr>
      <w:tr w:rsidR="00814A52" w:rsidRPr="001E0575" w14:paraId="6CEB3E6A" w14:textId="77777777" w:rsidTr="00DE5C1B">
        <w:trPr>
          <w:trHeight w:val="288"/>
        </w:trPr>
        <w:tc>
          <w:tcPr>
            <w:tcW w:w="0" w:type="auto"/>
          </w:tcPr>
          <w:p w14:paraId="66A98B42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</w:tcPr>
          <w:p w14:paraId="11505638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ARD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(pp)</w:t>
            </w:r>
          </w:p>
        </w:tc>
        <w:tc>
          <w:tcPr>
            <w:tcW w:w="0" w:type="auto"/>
          </w:tcPr>
          <w:p w14:paraId="520863C1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NNT/NNH</w:t>
            </w:r>
          </w:p>
        </w:tc>
        <w:tc>
          <w:tcPr>
            <w:tcW w:w="0" w:type="auto"/>
          </w:tcPr>
          <w:p w14:paraId="26E7D2E8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ARD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(pp)</w:t>
            </w:r>
          </w:p>
        </w:tc>
        <w:tc>
          <w:tcPr>
            <w:tcW w:w="0" w:type="auto"/>
          </w:tcPr>
          <w:p w14:paraId="2692E86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NNT/NNH</w:t>
            </w:r>
          </w:p>
        </w:tc>
      </w:tr>
      <w:tr w:rsidR="00814A52" w:rsidRPr="001E0575" w14:paraId="12FE5403" w14:textId="77777777" w:rsidTr="00DE5C1B">
        <w:trPr>
          <w:trHeight w:val="288"/>
        </w:trPr>
        <w:tc>
          <w:tcPr>
            <w:tcW w:w="0" w:type="auto"/>
          </w:tcPr>
          <w:p w14:paraId="17C657C7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Live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Birth</w:t>
            </w:r>
          </w:p>
        </w:tc>
        <w:tc>
          <w:tcPr>
            <w:tcW w:w="0" w:type="auto"/>
          </w:tcPr>
          <w:p w14:paraId="2F223D18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4.34 </w:t>
            </w:r>
          </w:p>
        </w:tc>
        <w:tc>
          <w:tcPr>
            <w:tcW w:w="0" w:type="auto"/>
          </w:tcPr>
          <w:p w14:paraId="4F8E865A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23 </w:t>
            </w:r>
          </w:p>
        </w:tc>
        <w:tc>
          <w:tcPr>
            <w:tcW w:w="0" w:type="auto"/>
          </w:tcPr>
          <w:p w14:paraId="29C51339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5.89 </w:t>
            </w:r>
          </w:p>
        </w:tc>
        <w:tc>
          <w:tcPr>
            <w:tcW w:w="0" w:type="auto"/>
          </w:tcPr>
          <w:p w14:paraId="087F3419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17 </w:t>
            </w:r>
          </w:p>
        </w:tc>
      </w:tr>
      <w:tr w:rsidR="00814A52" w:rsidRPr="001E0575" w14:paraId="408726F6" w14:textId="77777777" w:rsidTr="00DE5C1B">
        <w:trPr>
          <w:trHeight w:val="288"/>
        </w:trPr>
        <w:tc>
          <w:tcPr>
            <w:tcW w:w="0" w:type="auto"/>
          </w:tcPr>
          <w:p w14:paraId="41E9C20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Clinical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3FC505DE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1.43 </w:t>
            </w:r>
          </w:p>
        </w:tc>
        <w:tc>
          <w:tcPr>
            <w:tcW w:w="0" w:type="auto"/>
          </w:tcPr>
          <w:p w14:paraId="047EFD81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70 </w:t>
            </w:r>
          </w:p>
        </w:tc>
        <w:tc>
          <w:tcPr>
            <w:tcW w:w="0" w:type="auto"/>
          </w:tcPr>
          <w:p w14:paraId="16CFE7E7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8.62 </w:t>
            </w:r>
          </w:p>
        </w:tc>
        <w:tc>
          <w:tcPr>
            <w:tcW w:w="0" w:type="auto"/>
          </w:tcPr>
          <w:p w14:paraId="41003893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12 </w:t>
            </w:r>
          </w:p>
        </w:tc>
      </w:tr>
      <w:tr w:rsidR="00814A52" w:rsidRPr="001E0575" w14:paraId="2CF8D9C4" w14:textId="77777777" w:rsidTr="00DE5C1B">
        <w:trPr>
          <w:trHeight w:val="288"/>
        </w:trPr>
        <w:tc>
          <w:tcPr>
            <w:tcW w:w="0" w:type="auto"/>
          </w:tcPr>
          <w:p w14:paraId="1BEE70C1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Miscarriage</w:t>
            </w:r>
          </w:p>
        </w:tc>
        <w:tc>
          <w:tcPr>
            <w:tcW w:w="0" w:type="auto"/>
          </w:tcPr>
          <w:p w14:paraId="2568573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-2.80 </w:t>
            </w:r>
          </w:p>
        </w:tc>
        <w:tc>
          <w:tcPr>
            <w:tcW w:w="0" w:type="auto"/>
          </w:tcPr>
          <w:p w14:paraId="2EE75856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 NNH</w:t>
            </w:r>
          </w:p>
        </w:tc>
        <w:tc>
          <w:tcPr>
            <w:tcW w:w="0" w:type="auto"/>
          </w:tcPr>
          <w:p w14:paraId="7C34B647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3.62 </w:t>
            </w:r>
          </w:p>
        </w:tc>
        <w:tc>
          <w:tcPr>
            <w:tcW w:w="0" w:type="auto"/>
          </w:tcPr>
          <w:p w14:paraId="0D41B63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28 </w:t>
            </w:r>
          </w:p>
        </w:tc>
      </w:tr>
      <w:tr w:rsidR="00814A52" w:rsidRPr="001E0575" w14:paraId="7F3F3BB4" w14:textId="77777777" w:rsidTr="00DE5C1B">
        <w:trPr>
          <w:trHeight w:val="288"/>
        </w:trPr>
        <w:tc>
          <w:tcPr>
            <w:tcW w:w="0" w:type="auto"/>
          </w:tcPr>
          <w:p w14:paraId="61C6EFFF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Multiple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27F1E188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1.23 </w:t>
            </w:r>
          </w:p>
        </w:tc>
        <w:tc>
          <w:tcPr>
            <w:tcW w:w="0" w:type="auto"/>
          </w:tcPr>
          <w:p w14:paraId="0565D45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81 </w:t>
            </w:r>
          </w:p>
        </w:tc>
        <w:tc>
          <w:tcPr>
            <w:tcW w:w="0" w:type="auto"/>
          </w:tcPr>
          <w:p w14:paraId="2E907882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2.62 </w:t>
            </w:r>
          </w:p>
        </w:tc>
        <w:tc>
          <w:tcPr>
            <w:tcW w:w="0" w:type="auto"/>
          </w:tcPr>
          <w:p w14:paraId="776BD7B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38 </w:t>
            </w:r>
          </w:p>
        </w:tc>
      </w:tr>
      <w:tr w:rsidR="00814A52" w:rsidRPr="001E0575" w14:paraId="75BE4247" w14:textId="77777777" w:rsidTr="00DE5C1B">
        <w:trPr>
          <w:trHeight w:val="288"/>
        </w:trPr>
        <w:tc>
          <w:tcPr>
            <w:tcW w:w="0" w:type="auto"/>
          </w:tcPr>
          <w:p w14:paraId="37E25975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Ectopic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018EBB18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0" w:type="auto"/>
          </w:tcPr>
          <w:p w14:paraId="5BAC362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560 </w:t>
            </w:r>
          </w:p>
        </w:tc>
        <w:tc>
          <w:tcPr>
            <w:tcW w:w="0" w:type="auto"/>
          </w:tcPr>
          <w:p w14:paraId="78A72780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0.69 </w:t>
            </w:r>
          </w:p>
        </w:tc>
        <w:tc>
          <w:tcPr>
            <w:tcW w:w="0" w:type="auto"/>
          </w:tcPr>
          <w:p w14:paraId="3FA345EC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 NNH</w:t>
            </w:r>
          </w:p>
        </w:tc>
      </w:tr>
      <w:tr w:rsidR="00814A52" w:rsidRPr="001E0575" w14:paraId="4934103C" w14:textId="77777777" w:rsidTr="00DE5C1B">
        <w:trPr>
          <w:trHeight w:val="288"/>
        </w:trPr>
        <w:tc>
          <w:tcPr>
            <w:tcW w:w="0" w:type="auto"/>
          </w:tcPr>
          <w:p w14:paraId="1F018BF1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Biochemical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196250A1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-2.13 </w:t>
            </w:r>
          </w:p>
        </w:tc>
        <w:tc>
          <w:tcPr>
            <w:tcW w:w="0" w:type="auto"/>
          </w:tcPr>
          <w:p w14:paraId="6BBBED2E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 NNH</w:t>
            </w:r>
          </w:p>
        </w:tc>
        <w:tc>
          <w:tcPr>
            <w:tcW w:w="0" w:type="auto"/>
          </w:tcPr>
          <w:p w14:paraId="2386DC7F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+</w:t>
            </w: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1.78 </w:t>
            </w:r>
          </w:p>
        </w:tc>
        <w:tc>
          <w:tcPr>
            <w:tcW w:w="0" w:type="auto"/>
          </w:tcPr>
          <w:p w14:paraId="07C5C570" w14:textId="77777777" w:rsidR="00814A52" w:rsidRPr="001E0575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E057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56 </w:t>
            </w:r>
          </w:p>
        </w:tc>
      </w:tr>
    </w:tbl>
    <w:p w14:paraId="6D5FB0A0" w14:textId="77777777" w:rsidR="00814A52" w:rsidRPr="001E0575" w:rsidRDefault="00814A52" w:rsidP="00814A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sz w:val="22"/>
        </w:rPr>
      </w:pPr>
      <w:r w:rsidRPr="001E0575">
        <w:rPr>
          <w:rFonts w:ascii="Times New Roman" w:hAnsi="Times New Roman"/>
          <w:sz w:val="22"/>
        </w:rPr>
        <w:lastRenderedPageBreak/>
        <w:t>ARD = Predicted rate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(GnRH-a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+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 xml:space="preserve">HRT) </w:t>
      </w:r>
      <w:r w:rsidRPr="001E0575">
        <w:rPr>
          <w:rFonts w:ascii="Times New Roman" w:hAnsi="Times New Roman" w:cs="Cambria Math"/>
          <w:sz w:val="22"/>
        </w:rPr>
        <w:t>−</w:t>
      </w:r>
      <w:r w:rsidRPr="001E0575">
        <w:rPr>
          <w:rFonts w:ascii="Times New Roman" w:hAnsi="Times New Roman"/>
          <w:sz w:val="22"/>
        </w:rPr>
        <w:t xml:space="preserve"> Predicted rate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(HRT), in percentage points (pp). Positive ARD favors GnRH-a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+</w:t>
      </w:r>
      <w:r>
        <w:rPr>
          <w:rFonts w:ascii="Times New Roman" w:hAnsi="Times New Roman" w:hint="eastAsia"/>
          <w:sz w:val="22"/>
        </w:rPr>
        <w:t xml:space="preserve"> </w:t>
      </w:r>
      <w:r w:rsidRPr="001E0575">
        <w:rPr>
          <w:rFonts w:ascii="Times New Roman" w:hAnsi="Times New Roman"/>
          <w:sz w:val="22"/>
        </w:rPr>
        <w:t>HRT for beneficial outcomes; negative ARD implies potential harm and is labeled NNH. NNT/NNH = 1/|ARD| using ARD in proportions; values are rounded to integers</w:t>
      </w:r>
      <w:r>
        <w:rPr>
          <w:rFonts w:ascii="Times New Roman" w:hAnsi="Times New Roman" w:hint="eastAsia"/>
          <w:sz w:val="22"/>
        </w:rPr>
        <w:t>.</w:t>
      </w:r>
      <w:r w:rsidRPr="001E0575">
        <w:rPr>
          <w:rFonts w:ascii="Times New Roman" w:hAnsi="Times New Roman"/>
          <w:sz w:val="22"/>
        </w:rPr>
        <w:t xml:space="preserve"> </w:t>
      </w:r>
    </w:p>
    <w:p w14:paraId="0B07DA5F" w14:textId="77777777" w:rsidR="00814A52" w:rsidRPr="001E0575" w:rsidRDefault="00814A52" w:rsidP="00814A52">
      <w:pPr>
        <w:rPr>
          <w:rFonts w:ascii="Times New Roman" w:hAnsi="Times New Roman"/>
          <w:sz w:val="22"/>
        </w:rPr>
      </w:pPr>
    </w:p>
    <w:p w14:paraId="1841043A" w14:textId="77777777" w:rsidR="00814A52" w:rsidRPr="00FD45F9" w:rsidRDefault="00814A52" w:rsidP="00814A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cs="Times New Roman"/>
          <w:sz w:val="22"/>
        </w:rPr>
      </w:pPr>
      <w:r w:rsidRPr="00FD45F9">
        <w:rPr>
          <w:rFonts w:ascii="Times New Roman" w:hAnsi="Times New Roman" w:cs="Times New Roman"/>
          <w:sz w:val="22"/>
        </w:rPr>
        <w:t>Table S</w:t>
      </w:r>
      <w:r>
        <w:rPr>
          <w:rFonts w:ascii="Times New Roman" w:hAnsi="Times New Roman" w:cs="Times New Roman" w:hint="eastAsia"/>
          <w:sz w:val="22"/>
        </w:rPr>
        <w:t>5.</w:t>
      </w:r>
      <w:r w:rsidRPr="00FD45F9">
        <w:rPr>
          <w:rFonts w:ascii="Times New Roman" w:hAnsi="Times New Roman" w:cs="Times New Roman"/>
          <w:sz w:val="22"/>
        </w:rPr>
        <w:t xml:space="preserve"> Age-stratified sensitivity analyses of reproductive outcomes comparing GnRH-a</w:t>
      </w:r>
      <w:r>
        <w:rPr>
          <w:rFonts w:ascii="Times New Roman" w:hAnsi="Times New Roman" w:cs="Times New Roman" w:hint="eastAsia"/>
          <w:sz w:val="22"/>
        </w:rPr>
        <w:t xml:space="preserve"> + </w:t>
      </w:r>
      <w:r w:rsidRPr="00FD45F9">
        <w:rPr>
          <w:rFonts w:ascii="Times New Roman" w:hAnsi="Times New Roman" w:cs="Times New Roman"/>
          <w:sz w:val="22"/>
        </w:rPr>
        <w:t>HRT vs HRT.</w:t>
      </w:r>
    </w:p>
    <w:tbl>
      <w:tblPr>
        <w:tblW w:w="0" w:type="auto"/>
        <w:tblInd w:w="-3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1701"/>
        <w:gridCol w:w="946"/>
        <w:gridCol w:w="1591"/>
        <w:gridCol w:w="836"/>
      </w:tblGrid>
      <w:tr w:rsidR="00814A52" w:rsidRPr="00FD45F9" w14:paraId="3B28864C" w14:textId="77777777" w:rsidTr="00DE5C1B">
        <w:trPr>
          <w:trHeight w:val="29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4BEDE8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F28E0B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D45F9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aOR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95%CI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4000D5" w14:textId="6541BB72" w:rsidR="00814A52" w:rsidRPr="000E2542" w:rsidRDefault="00931558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6CF0AD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aOR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95%CI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59FC14" w14:textId="7382B0A0" w:rsidR="00814A52" w:rsidRPr="000E2542" w:rsidRDefault="00931558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814A52" w:rsidRPr="00FD45F9" w14:paraId="64CA079C" w14:textId="77777777" w:rsidTr="00DE5C1B">
        <w:trPr>
          <w:trHeight w:val="298"/>
        </w:trPr>
        <w:tc>
          <w:tcPr>
            <w:tcW w:w="0" w:type="auto"/>
            <w:tcBorders>
              <w:top w:val="single" w:sz="4" w:space="0" w:color="auto"/>
            </w:tcBorders>
          </w:tcPr>
          <w:p w14:paraId="1CB4F557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6534DB60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37D0EABC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≥35</w:t>
            </w:r>
          </w:p>
        </w:tc>
      </w:tr>
      <w:tr w:rsidR="00814A52" w:rsidRPr="00FD45F9" w14:paraId="6AC80294" w14:textId="77777777" w:rsidTr="00DE5C1B">
        <w:trPr>
          <w:trHeight w:val="288"/>
        </w:trPr>
        <w:tc>
          <w:tcPr>
            <w:tcW w:w="0" w:type="auto"/>
          </w:tcPr>
          <w:p w14:paraId="3592D94B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Live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Birth</w:t>
            </w:r>
          </w:p>
        </w:tc>
        <w:tc>
          <w:tcPr>
            <w:tcW w:w="0" w:type="auto"/>
          </w:tcPr>
          <w:p w14:paraId="5DA6E21E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1.41-1.42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</w:tcPr>
          <w:p w14:paraId="663D8ADD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0" w:type="auto"/>
          </w:tcPr>
          <w:p w14:paraId="620524B0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1.43(1.43-1.44)</w:t>
            </w:r>
          </w:p>
        </w:tc>
        <w:tc>
          <w:tcPr>
            <w:tcW w:w="0" w:type="auto"/>
          </w:tcPr>
          <w:p w14:paraId="7A5D5D0F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&lt;.001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*</w:t>
            </w:r>
          </w:p>
        </w:tc>
      </w:tr>
      <w:tr w:rsidR="00814A52" w:rsidRPr="00FD45F9" w14:paraId="59060118" w14:textId="77777777" w:rsidTr="00DE5C1B">
        <w:trPr>
          <w:trHeight w:val="288"/>
        </w:trPr>
        <w:tc>
          <w:tcPr>
            <w:tcW w:w="0" w:type="auto"/>
          </w:tcPr>
          <w:p w14:paraId="1617EAF8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Clinical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2E9DE1AB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1.21(0.91-1.60)</w:t>
            </w:r>
          </w:p>
        </w:tc>
        <w:tc>
          <w:tcPr>
            <w:tcW w:w="0" w:type="auto"/>
          </w:tcPr>
          <w:p w14:paraId="79E73216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0" w:type="auto"/>
          </w:tcPr>
          <w:p w14:paraId="35797572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1.60(1.23-2.11)</w:t>
            </w:r>
          </w:p>
        </w:tc>
        <w:tc>
          <w:tcPr>
            <w:tcW w:w="0" w:type="auto"/>
          </w:tcPr>
          <w:p w14:paraId="0F9B6F35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.001</w:t>
            </w:r>
          </w:p>
        </w:tc>
      </w:tr>
      <w:tr w:rsidR="00814A52" w:rsidRPr="00FD45F9" w14:paraId="763F66B4" w14:textId="77777777" w:rsidTr="00DE5C1B">
        <w:trPr>
          <w:trHeight w:val="288"/>
        </w:trPr>
        <w:tc>
          <w:tcPr>
            <w:tcW w:w="0" w:type="auto"/>
          </w:tcPr>
          <w:p w14:paraId="5664E270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Miscarriage</w:t>
            </w:r>
          </w:p>
        </w:tc>
        <w:tc>
          <w:tcPr>
            <w:tcW w:w="0" w:type="auto"/>
          </w:tcPr>
          <w:p w14:paraId="774FD207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0.37(0.11-1.32)</w:t>
            </w:r>
          </w:p>
        </w:tc>
        <w:tc>
          <w:tcPr>
            <w:tcW w:w="0" w:type="auto"/>
          </w:tcPr>
          <w:p w14:paraId="4C395399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0" w:type="auto"/>
          </w:tcPr>
          <w:p w14:paraId="4E48F491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1.41(0.62-3.24)</w:t>
            </w:r>
          </w:p>
        </w:tc>
        <w:tc>
          <w:tcPr>
            <w:tcW w:w="0" w:type="auto"/>
          </w:tcPr>
          <w:p w14:paraId="5FDB2C4D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.416</w:t>
            </w:r>
          </w:p>
        </w:tc>
      </w:tr>
      <w:tr w:rsidR="00814A52" w:rsidRPr="00FD45F9" w14:paraId="08EF70B6" w14:textId="77777777" w:rsidTr="00DE5C1B">
        <w:trPr>
          <w:trHeight w:val="288"/>
        </w:trPr>
        <w:tc>
          <w:tcPr>
            <w:tcW w:w="0" w:type="auto"/>
          </w:tcPr>
          <w:p w14:paraId="7953F455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Multiple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24D16547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2.62(2.61-2.63)</w:t>
            </w:r>
          </w:p>
        </w:tc>
        <w:tc>
          <w:tcPr>
            <w:tcW w:w="0" w:type="auto"/>
          </w:tcPr>
          <w:p w14:paraId="10272D23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0" w:type="auto"/>
          </w:tcPr>
          <w:p w14:paraId="49FB511C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3.01(3.00-3.02)</w:t>
            </w:r>
          </w:p>
        </w:tc>
        <w:tc>
          <w:tcPr>
            <w:tcW w:w="0" w:type="auto"/>
          </w:tcPr>
          <w:p w14:paraId="49637E41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&lt;.001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*</w:t>
            </w:r>
          </w:p>
        </w:tc>
      </w:tr>
      <w:tr w:rsidR="00814A52" w:rsidRPr="00FD45F9" w14:paraId="143A5046" w14:textId="77777777" w:rsidTr="00DE5C1B">
        <w:trPr>
          <w:trHeight w:val="288"/>
        </w:trPr>
        <w:tc>
          <w:tcPr>
            <w:tcW w:w="0" w:type="auto"/>
          </w:tcPr>
          <w:p w14:paraId="64C3BB93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Ectopic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43FFDEDA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0.39(0.01-16.40)</w:t>
            </w:r>
          </w:p>
        </w:tc>
        <w:tc>
          <w:tcPr>
            <w:tcW w:w="0" w:type="auto"/>
          </w:tcPr>
          <w:p w14:paraId="4A1532FA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0.623</w:t>
            </w:r>
          </w:p>
        </w:tc>
        <w:tc>
          <w:tcPr>
            <w:tcW w:w="0" w:type="auto"/>
          </w:tcPr>
          <w:p w14:paraId="2A517C3C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</w:tcPr>
          <w:p w14:paraId="1317D45B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.998</w:t>
            </w:r>
          </w:p>
        </w:tc>
      </w:tr>
      <w:tr w:rsidR="00814A52" w:rsidRPr="00FD45F9" w14:paraId="6999D2C2" w14:textId="77777777" w:rsidTr="00DE5C1B">
        <w:trPr>
          <w:trHeight w:val="288"/>
        </w:trPr>
        <w:tc>
          <w:tcPr>
            <w:tcW w:w="0" w:type="auto"/>
          </w:tcPr>
          <w:p w14:paraId="1C263D29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Biochemical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Pregnancy</w:t>
            </w:r>
          </w:p>
        </w:tc>
        <w:tc>
          <w:tcPr>
            <w:tcW w:w="0" w:type="auto"/>
          </w:tcPr>
          <w:p w14:paraId="02051C6C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0.71(0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31-1.63)</w:t>
            </w:r>
          </w:p>
        </w:tc>
        <w:tc>
          <w:tcPr>
            <w:tcW w:w="0" w:type="auto"/>
          </w:tcPr>
          <w:p w14:paraId="19201C80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0" w:type="auto"/>
          </w:tcPr>
          <w:p w14:paraId="7FF215FE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0.87(0.40-1.90)</w:t>
            </w:r>
          </w:p>
        </w:tc>
        <w:tc>
          <w:tcPr>
            <w:tcW w:w="0" w:type="auto"/>
          </w:tcPr>
          <w:p w14:paraId="0542AAA9" w14:textId="77777777" w:rsidR="00814A52" w:rsidRPr="00FD45F9" w:rsidRDefault="00814A52" w:rsidP="00DE5C1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D45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.731</w:t>
            </w:r>
          </w:p>
        </w:tc>
      </w:tr>
    </w:tbl>
    <w:p w14:paraId="451EB470" w14:textId="6A86A598" w:rsidR="00814A52" w:rsidRPr="009E1CF4" w:rsidRDefault="00814A52" w:rsidP="009E1C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 w:hint="eastAsia"/>
          <w:sz w:val="22"/>
        </w:rPr>
      </w:pPr>
      <w:proofErr w:type="spellStart"/>
      <w:r w:rsidRPr="00FD45F9">
        <w:rPr>
          <w:rFonts w:ascii="Times New Roman" w:eastAsia="宋体" w:hAnsi="Times New Roman" w:cs="Times New Roman"/>
          <w:sz w:val="22"/>
        </w:rPr>
        <w:t>aORs</w:t>
      </w:r>
      <w:proofErr w:type="spellEnd"/>
      <w:r w:rsidRPr="00FD45F9">
        <w:rPr>
          <w:rFonts w:ascii="Times New Roman" w:eastAsia="宋体" w:hAnsi="Times New Roman" w:cs="Times New Roman"/>
          <w:sz w:val="22"/>
        </w:rPr>
        <w:t xml:space="preserve"> are adjusted for BMI, AMH, AFC, infertility duration, infertility type, endometrial thickness, and number of embryos transferred. GLMM includes a patient-level random intercept. Two-sided P-values are reported.</w:t>
      </w:r>
      <w:r w:rsidRPr="00BF1ADB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*</w:t>
      </w:r>
      <w:r w:rsidR="00931558">
        <w:rPr>
          <w:rFonts w:ascii="Times New Roman" w:hAnsi="Times New Roman" w:cs="Times New Roman" w:hint="eastAsia"/>
          <w:i/>
          <w:iCs/>
          <w:kern w:val="0"/>
        </w:rPr>
        <w:t>p</w:t>
      </w:r>
      <w:r>
        <w:rPr>
          <w:rFonts w:ascii="Times New Roman" w:hAnsi="Times New Roman" w:cs="Times New Roman" w:hint="eastAsia"/>
          <w:sz w:val="22"/>
        </w:rPr>
        <w:t>&lt;</w:t>
      </w:r>
      <w:r w:rsidR="005E3B58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.05</w:t>
      </w:r>
    </w:p>
    <w:sectPr w:rsidR="00814A52" w:rsidRPr="009E1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C010" w14:textId="77777777" w:rsidR="00965447" w:rsidRDefault="00965447" w:rsidP="000675B2">
      <w:pPr>
        <w:rPr>
          <w:rFonts w:hint="eastAsia"/>
        </w:rPr>
      </w:pPr>
      <w:r>
        <w:separator/>
      </w:r>
    </w:p>
  </w:endnote>
  <w:endnote w:type="continuationSeparator" w:id="0">
    <w:p w14:paraId="288B7311" w14:textId="77777777" w:rsidR="00965447" w:rsidRDefault="00965447" w:rsidP="000675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977D" w14:textId="77777777" w:rsidR="00965447" w:rsidRDefault="00965447" w:rsidP="000675B2">
      <w:pPr>
        <w:rPr>
          <w:rFonts w:hint="eastAsia"/>
        </w:rPr>
      </w:pPr>
      <w:r>
        <w:separator/>
      </w:r>
    </w:p>
  </w:footnote>
  <w:footnote w:type="continuationSeparator" w:id="0">
    <w:p w14:paraId="6E6A0681" w14:textId="77777777" w:rsidR="00965447" w:rsidRDefault="00965447" w:rsidP="000675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1tTA2NjcytTA3MzBT0lEKTi0uzszPAykwNKkFAPAAxlQtAAAA"/>
  </w:docVars>
  <w:rsids>
    <w:rsidRoot w:val="00BE38FD"/>
    <w:rsid w:val="00001884"/>
    <w:rsid w:val="00024637"/>
    <w:rsid w:val="0005157C"/>
    <w:rsid w:val="000675B2"/>
    <w:rsid w:val="00091E57"/>
    <w:rsid w:val="000B492D"/>
    <w:rsid w:val="000C713D"/>
    <w:rsid w:val="00132FD4"/>
    <w:rsid w:val="0014609D"/>
    <w:rsid w:val="00197119"/>
    <w:rsid w:val="001B6E51"/>
    <w:rsid w:val="001D137F"/>
    <w:rsid w:val="002214D7"/>
    <w:rsid w:val="002260B0"/>
    <w:rsid w:val="00255EB1"/>
    <w:rsid w:val="002B07B8"/>
    <w:rsid w:val="002E6050"/>
    <w:rsid w:val="003941AC"/>
    <w:rsid w:val="003F376E"/>
    <w:rsid w:val="004209CF"/>
    <w:rsid w:val="00432D97"/>
    <w:rsid w:val="0046457F"/>
    <w:rsid w:val="004721CC"/>
    <w:rsid w:val="00474B0D"/>
    <w:rsid w:val="00593E53"/>
    <w:rsid w:val="005B082A"/>
    <w:rsid w:val="005E3B58"/>
    <w:rsid w:val="00625003"/>
    <w:rsid w:val="0064475E"/>
    <w:rsid w:val="0067145C"/>
    <w:rsid w:val="006A5ACC"/>
    <w:rsid w:val="006E3C7D"/>
    <w:rsid w:val="006F2B84"/>
    <w:rsid w:val="006F6377"/>
    <w:rsid w:val="007169D3"/>
    <w:rsid w:val="0078135C"/>
    <w:rsid w:val="00786CF6"/>
    <w:rsid w:val="007B688C"/>
    <w:rsid w:val="007F3384"/>
    <w:rsid w:val="00814A52"/>
    <w:rsid w:val="00861049"/>
    <w:rsid w:val="008900BB"/>
    <w:rsid w:val="008A6E16"/>
    <w:rsid w:val="008B2BA1"/>
    <w:rsid w:val="009031E8"/>
    <w:rsid w:val="00921F20"/>
    <w:rsid w:val="00926CD4"/>
    <w:rsid w:val="00931558"/>
    <w:rsid w:val="00936C67"/>
    <w:rsid w:val="00947656"/>
    <w:rsid w:val="00965447"/>
    <w:rsid w:val="009D20FA"/>
    <w:rsid w:val="009E1CED"/>
    <w:rsid w:val="009E1CF4"/>
    <w:rsid w:val="00A203F8"/>
    <w:rsid w:val="00A22DAB"/>
    <w:rsid w:val="00A54EAA"/>
    <w:rsid w:val="00AA0B2A"/>
    <w:rsid w:val="00AC4668"/>
    <w:rsid w:val="00AE01F2"/>
    <w:rsid w:val="00B129C1"/>
    <w:rsid w:val="00B64DD4"/>
    <w:rsid w:val="00BE38FD"/>
    <w:rsid w:val="00C11279"/>
    <w:rsid w:val="00C35AAC"/>
    <w:rsid w:val="00C97D42"/>
    <w:rsid w:val="00CB2C2C"/>
    <w:rsid w:val="00CB2ED5"/>
    <w:rsid w:val="00CC1A2C"/>
    <w:rsid w:val="00CF6695"/>
    <w:rsid w:val="00D41CD0"/>
    <w:rsid w:val="00D45C00"/>
    <w:rsid w:val="00DC3E2A"/>
    <w:rsid w:val="00E47A91"/>
    <w:rsid w:val="00E73548"/>
    <w:rsid w:val="00F274DC"/>
    <w:rsid w:val="00F5272D"/>
    <w:rsid w:val="00F6002F"/>
    <w:rsid w:val="00F7012C"/>
    <w:rsid w:val="00F82023"/>
    <w:rsid w:val="00F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15486"/>
  <w15:chartTrackingRefBased/>
  <w15:docId w15:val="{F2BA936C-E498-42D4-91C1-044C77DF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0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8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8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8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38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8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8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8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8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38F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75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75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7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7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1159</Words>
  <Characters>6356</Characters>
  <Application>Microsoft Office Word</Application>
  <DocSecurity>0</DocSecurity>
  <Lines>706</Lines>
  <Paragraphs>500</Paragraphs>
  <ScaleCrop>false</ScaleCrop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越平 周</dc:creator>
  <cp:keywords/>
  <dc:description/>
  <cp:lastModifiedBy>越平 周</cp:lastModifiedBy>
  <cp:revision>8</cp:revision>
  <dcterms:created xsi:type="dcterms:W3CDTF">2025-11-05T11:45:00Z</dcterms:created>
  <dcterms:modified xsi:type="dcterms:W3CDTF">2025-11-10T08:23:00Z</dcterms:modified>
</cp:coreProperties>
</file>