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AE7C04">
      <w:pPr>
        <w:pStyle w:val="23"/>
        <w:jc w:val="center"/>
      </w:pPr>
      <w:r>
        <w:rPr>
          <w:rFonts w:hint="eastAsia"/>
        </w:rPr>
        <w:t>Supporting Information</w:t>
      </w:r>
    </w:p>
    <w:p w14:paraId="2DD88583">
      <w:pPr>
        <w:rPr>
          <w:rFonts w:eastAsiaTheme="minorEastAsia"/>
          <w:b/>
          <w:bCs/>
          <w:sz w:val="28"/>
          <w:szCs w:val="28"/>
          <w:shd w:val="clear" w:color="auto" w:fill="FFFFFF"/>
        </w:rPr>
      </w:pPr>
    </w:p>
    <w:p w14:paraId="6686C72F">
      <w:pPr>
        <w:rPr>
          <w:rFonts w:eastAsiaTheme="minorEastAsia"/>
          <w:b/>
          <w:bCs/>
          <w:sz w:val="28"/>
          <w:szCs w:val="28"/>
          <w:shd w:val="clear" w:color="auto" w:fill="FFFFFF"/>
        </w:rPr>
      </w:pPr>
    </w:p>
    <w:p w14:paraId="5B9432AF">
      <w:pPr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274310" cy="2898140"/>
            <wp:effectExtent l="0" t="0" r="2540" b="0"/>
            <wp:docPr id="543810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107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50E5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S1. Bleomycin induces ferroptosis in MLE-12 cells in vitro.</w:t>
      </w:r>
      <w:bookmarkStart w:id="0" w:name="_GoBack"/>
      <w:bookmarkEnd w:id="0"/>
    </w:p>
    <w:p w14:paraId="66513B8E">
      <w:pPr>
        <w:rPr>
          <w:rFonts w:eastAsiaTheme="minorEastAsia"/>
          <w:sz w:val="21"/>
          <w:szCs w:val="21"/>
          <w:shd w:val="clear" w:color="auto" w:fill="FFFFFF"/>
          <w:lang w:eastAsia="zh-CN"/>
        </w:rPr>
      </w:pP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 xml:space="preserve">A) Cell viability of MLE-12 cells following treatment with bleomycin or bleomycin </w:t>
      </w:r>
      <w:r>
        <w:rPr>
          <w:rFonts w:hint="eastAsia" w:eastAsiaTheme="minorEastAsia"/>
          <w:sz w:val="21"/>
          <w:szCs w:val="21"/>
          <w:shd w:val="clear" w:color="auto" w:fill="FFFFFF"/>
        </w:rPr>
        <w:t>+</w:t>
      </w:r>
      <w:r>
        <w:rPr>
          <w:rFonts w:eastAsiaTheme="minorEastAsia"/>
          <w:sz w:val="21"/>
          <w:szCs w:val="21"/>
          <w:shd w:val="clear" w:color="auto" w:fill="FFFFFF"/>
        </w:rPr>
        <w:t xml:space="preserve"> Fer-1, as assessed by CCK-8 assay.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B) Intracellular ROS levels measured by flow cytometry using DCFH-DA probe after bleomycin or bleomycin + Fer-1 treatment.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>(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C</w:t>
      </w:r>
      <w:r>
        <w:rPr>
          <w:rFonts w:eastAsiaTheme="minorEastAsia"/>
          <w:sz w:val="21"/>
          <w:szCs w:val="21"/>
          <w:shd w:val="clear" w:color="auto" w:fill="FFFFFF"/>
        </w:rPr>
        <w:t>) Lipid peroxidation levels detected by flow cytometry using the C11-BODIPY probe following bleomycin or bleomycin + Fer-1 treatment.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>(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D</w:t>
      </w:r>
      <w:r>
        <w:rPr>
          <w:rFonts w:eastAsiaTheme="minorEastAsia"/>
          <w:sz w:val="21"/>
          <w:szCs w:val="21"/>
          <w:shd w:val="clear" w:color="auto" w:fill="FFFFFF"/>
        </w:rPr>
        <w:t>) Intracellular Fe²⁺ levels assessed by flow cytometry after treatment with bleomycin, bleomycin + Fer-1, or DFO.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>Data are presented as the mean ± SD. *P &lt; 0.05, **P &lt; 0.01, ***P &lt; 0.001</w:t>
      </w:r>
    </w:p>
    <w:p w14:paraId="556692AC">
      <w:pPr>
        <w:rPr>
          <w:rFonts w:eastAsiaTheme="minorEastAsia"/>
          <w:sz w:val="21"/>
          <w:szCs w:val="21"/>
          <w:shd w:val="clear" w:color="auto" w:fill="FFFFFF"/>
        </w:rPr>
      </w:pPr>
    </w:p>
    <w:p w14:paraId="5B15B363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274310" cy="3918585"/>
            <wp:effectExtent l="0" t="0" r="2540" b="5715"/>
            <wp:docPr id="381232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3248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D42C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S2. Establishment of a bleomycin-induced pulmonary fibrosis model via intratracheal instillation in mice.</w:t>
      </w:r>
    </w:p>
    <w:p w14:paraId="2ACB9BD0">
      <w:pPr>
        <w:rPr>
          <w:rFonts w:eastAsiaTheme="minorEastAsia"/>
          <w:sz w:val="21"/>
          <w:szCs w:val="21"/>
          <w:shd w:val="clear" w:color="auto" w:fill="FFFFFF"/>
          <w:lang w:eastAsia="zh-CN"/>
        </w:rPr>
      </w:pP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A) Schematic diagram of the experimental design.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B) Representative gross images of mouse lungs on Day 0, Day 14, and Day 21 post-bleomycin instillation.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>(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C</w:t>
      </w:r>
      <w:r>
        <w:rPr>
          <w:rFonts w:eastAsiaTheme="minorEastAsia"/>
          <w:sz w:val="21"/>
          <w:szCs w:val="21"/>
          <w:shd w:val="clear" w:color="auto" w:fill="FFFFFF"/>
        </w:rPr>
        <w:t>) Histological analyses of lung tissues by HE and Masson's trichrome staining; immunohistochemical staining for TGF-β1 and α-SMA; and enhanced Prussian blue (EPPB) staining for iron deposition.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>(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D</w:t>
      </w:r>
      <w:r>
        <w:rPr>
          <w:rFonts w:eastAsiaTheme="minorEastAsia"/>
          <w:sz w:val="21"/>
          <w:szCs w:val="21"/>
          <w:shd w:val="clear" w:color="auto" w:fill="FFFFFF"/>
        </w:rPr>
        <w:t>) Quantitative analysis of histological and immunohistochemical staining results.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>Data are presented as the mean ± SD. *P &lt; 0.05, **P &lt; 0.01, ***P &lt; 0.001</w:t>
      </w:r>
    </w:p>
    <w:p w14:paraId="60254FC1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491480" cy="2835275"/>
            <wp:effectExtent l="0" t="0" r="0" b="3175"/>
            <wp:docPr id="247402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0287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8D1C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S3. Histopathological analysis of lung tissue sections from IPF patients.</w:t>
      </w:r>
    </w:p>
    <w:p w14:paraId="293F3787">
      <w:pPr>
        <w:pStyle w:val="46"/>
        <w:widowControl w:val="0"/>
        <w:numPr>
          <w:ilvl w:val="0"/>
          <w:numId w:val="1"/>
        </w:numPr>
        <w:adjustRightInd w:val="0"/>
        <w:spacing w:after="0" w:line="360" w:lineRule="atLeast"/>
        <w:ind w:left="0" w:firstLine="0" w:firstLineChars="0"/>
        <w:textAlignment w:val="baseline"/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Representative images of HE staining, Masson's trichrome staining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 xml:space="preserve"> and</w:t>
      </w:r>
      <w:r>
        <w:rPr>
          <w:rFonts w:eastAsiaTheme="minorEastAsia"/>
          <w:sz w:val="21"/>
          <w:szCs w:val="21"/>
          <w:shd w:val="clear" w:color="auto" w:fill="FFFFFF"/>
        </w:rPr>
        <w:t xml:space="preserve"> EPPB staining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.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B) </w:t>
      </w:r>
      <w:r>
        <w:rPr>
          <w:rFonts w:eastAsiaTheme="minorEastAsia"/>
          <w:sz w:val="21"/>
          <w:szCs w:val="21"/>
          <w:shd w:val="clear" w:color="auto" w:fill="FFFFFF"/>
        </w:rPr>
        <w:t xml:space="preserve">Quantitative analysis of histological and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IHC</w:t>
      </w:r>
      <w:r>
        <w:rPr>
          <w:rFonts w:eastAsiaTheme="minorEastAsia"/>
          <w:sz w:val="21"/>
          <w:szCs w:val="21"/>
          <w:shd w:val="clear" w:color="auto" w:fill="FFFFFF"/>
        </w:rPr>
        <w:t xml:space="preserve"> staining results.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 xml:space="preserve">Data are presented as the mean ± SD.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 xml:space="preserve">ns </w:t>
      </w:r>
      <w:r>
        <w:rPr>
          <w:rFonts w:eastAsiaTheme="minorEastAsia"/>
          <w:sz w:val="21"/>
          <w:szCs w:val="21"/>
          <w:shd w:val="clear" w:color="auto" w:fill="FFFFFF"/>
        </w:rPr>
        <w:t xml:space="preserve">P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&gt;</w:t>
      </w:r>
      <w:r>
        <w:rPr>
          <w:rFonts w:eastAsiaTheme="minorEastAsia"/>
          <w:sz w:val="21"/>
          <w:szCs w:val="21"/>
          <w:shd w:val="clear" w:color="auto" w:fill="FFFFFF"/>
        </w:rPr>
        <w:t xml:space="preserve"> 0.05, **P &lt; 0.01</w:t>
      </w:r>
    </w:p>
    <w:p w14:paraId="7941ED0A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</w:p>
    <w:p w14:paraId="712F7EE8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274310" cy="2266950"/>
            <wp:effectExtent l="0" t="0" r="2540" b="0"/>
            <wp:docPr id="1521541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4193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883C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S4. Culture and characterization of HucMSCs.</w:t>
      </w:r>
    </w:p>
    <w:p w14:paraId="028B4CAD">
      <w:pPr>
        <w:pStyle w:val="46"/>
        <w:widowControl w:val="0"/>
        <w:numPr>
          <w:ilvl w:val="0"/>
          <w:numId w:val="2"/>
        </w:numPr>
        <w:adjustRightInd w:val="0"/>
        <w:spacing w:after="0" w:line="360" w:lineRule="atLeast"/>
        <w:ind w:left="0" w:firstLine="0" w:firstLineChars="0"/>
        <w:textAlignment w:val="baseline"/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 xml:space="preserve">Morphology of HucMSCs observed under a light microscope.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B) Flow cytometric analysis of surface marker expression.</w:t>
      </w:r>
    </w:p>
    <w:p w14:paraId="35094B63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</w:p>
    <w:p w14:paraId="409DD3D5">
      <w:pPr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274310" cy="1639570"/>
            <wp:effectExtent l="0" t="0" r="2540" b="0"/>
            <wp:docPr id="603738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387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6C12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S5. Preparation and cellular uptake of T7-EV</w:t>
      </w:r>
    </w:p>
    <w:p w14:paraId="4D42B246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A) Standard curve of FITC-DSPE-PEG-T7.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B) Flow cytometric analysis of EV and T7-EV uptake by MLE-12 cells.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>(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C</w:t>
      </w:r>
      <w:r>
        <w:rPr>
          <w:rFonts w:eastAsiaTheme="minorEastAsia"/>
          <w:sz w:val="21"/>
          <w:szCs w:val="21"/>
          <w:shd w:val="clear" w:color="auto" w:fill="FFFFFF"/>
        </w:rPr>
        <w:t>) Flow cytometric analysis of EV and T7-EV uptake by NIH 3T3 cells.</w:t>
      </w:r>
    </w:p>
    <w:p w14:paraId="12BE0911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491480" cy="2989580"/>
            <wp:effectExtent l="0" t="0" r="0" b="1270"/>
            <wp:docPr id="5272899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8998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8F4B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S6. Preparation and characterization of EV+siRNA complexes</w:t>
      </w:r>
    </w:p>
    <w:p w14:paraId="6F7BF9F9">
      <w:pPr>
        <w:pStyle w:val="46"/>
        <w:ind w:firstLine="0" w:firstLineChars="0"/>
        <w:rPr>
          <w:rFonts w:hint="eastAsia" w:eastAsiaTheme="minorEastAsia"/>
          <w:sz w:val="21"/>
          <w:szCs w:val="21"/>
          <w:shd w:val="clear" w:color="auto" w:fill="FFFFFF"/>
          <w:lang w:eastAsia="zh-CN"/>
        </w:rPr>
      </w:pP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A) Transmission electron microscopy, particle size, and zeta potential characterization of EV+siRNA complexes.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B) Western blot analysis of CD63, Flotillin-1, and Calnexin expression in EVs and EV+siRNA complexes.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>(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C</w:t>
      </w:r>
      <w:r>
        <w:rPr>
          <w:rFonts w:eastAsiaTheme="minorEastAsia"/>
          <w:sz w:val="21"/>
          <w:szCs w:val="21"/>
          <w:shd w:val="clear" w:color="auto" w:fill="FFFFFF"/>
        </w:rPr>
        <w:t>) CCK-8 assay to evaluate the cytotoxicity of Lipo2000 and EVs on MLE-12 and NIH 3T3 cells.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 xml:space="preserve"> </w:t>
      </w:r>
    </w:p>
    <w:p w14:paraId="0231BB79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274310" cy="4412615"/>
            <wp:effectExtent l="0" t="0" r="2540" b="6985"/>
            <wp:docPr id="672414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1412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C7BB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S7. Validation of siRNA delivery efficiency by EV+siRNA complexes</w:t>
      </w:r>
    </w:p>
    <w:p w14:paraId="7E88224E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  <w:lang w:eastAsia="zh-CN"/>
        </w:rPr>
      </w:pP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 xml:space="preserve">A) Flow cytometry analysis of uptake efficiency of Naked-siRNA, Lipo+siRNA, and EV+siRNA by MLE-12 </w:t>
      </w:r>
      <w:r>
        <w:rPr>
          <w:rFonts w:hint="eastAsia" w:eastAsiaTheme="minorEastAsia"/>
          <w:sz w:val="21"/>
          <w:szCs w:val="21"/>
          <w:shd w:val="clear" w:color="auto" w:fill="FFFFFF"/>
        </w:rPr>
        <w:t xml:space="preserve">and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hint="eastAsia" w:eastAsiaTheme="minorEastAsia"/>
          <w:sz w:val="21"/>
          <w:szCs w:val="21"/>
          <w:shd w:val="clear" w:color="auto" w:fill="FFFFFF"/>
        </w:rPr>
        <w:t>B) NIH 3T3 cells.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 xml:space="preserve"> (C) </w:t>
      </w:r>
      <w:r>
        <w:rPr>
          <w:rFonts w:eastAsiaTheme="minorEastAsia"/>
          <w:sz w:val="21"/>
          <w:szCs w:val="21"/>
          <w:shd w:val="clear" w:color="auto" w:fill="FFFFFF"/>
        </w:rPr>
        <w:t xml:space="preserve">Representative confocal microscopy images showing the uptake of 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Naked-siRNA, Lipo+siRNA and EV+siRNA by MLE-12 and NIH 3T3 cells after 24</w:t>
      </w:r>
      <w:r>
        <w:rPr>
          <w:rFonts w:eastAsiaTheme="minorEastAsia"/>
          <w:sz w:val="21"/>
          <w:szCs w:val="21"/>
          <w:shd w:val="clear" w:color="auto" w:fill="FFFFFF"/>
        </w:rPr>
        <w:t xml:space="preserve"> h of incubation.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 xml:space="preserve"> </w:t>
      </w:r>
      <w:r>
        <w:rPr>
          <w:rFonts w:eastAsiaTheme="minorEastAsia"/>
          <w:sz w:val="21"/>
          <w:szCs w:val="21"/>
          <w:shd w:val="clear" w:color="auto" w:fill="FFFFFF"/>
        </w:rPr>
        <w:t>Data are presented as the mean ± SD. ***P &lt; 0.001</w:t>
      </w:r>
    </w:p>
    <w:p w14:paraId="47990538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274310" cy="4935220"/>
            <wp:effectExtent l="0" t="0" r="2540" b="0"/>
            <wp:docPr id="2115856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5625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0AFC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S8. Loading efficiency and delivery capability of T7-EV/siRNA</w:t>
      </w:r>
    </w:p>
    <w:p w14:paraId="033456FE">
      <w:pPr>
        <w:pStyle w:val="46"/>
        <w:widowControl w:val="0"/>
        <w:numPr>
          <w:ilvl w:val="0"/>
          <w:numId w:val="3"/>
        </w:numPr>
        <w:adjustRightInd w:val="0"/>
        <w:spacing w:after="0" w:line="360" w:lineRule="atLeast"/>
        <w:ind w:left="0" w:firstLine="0" w:firstLineChars="0"/>
        <w:textAlignment w:val="baseline"/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siRNA loading efficiency in EV/siRNA and T7-EV/siRNA complexes. B) Flow cytometry analysis of uptake efficiency of EV/siRNA and T7-EV/siRNA by MLE-12 and (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C</w:t>
      </w:r>
      <w:r>
        <w:rPr>
          <w:rFonts w:eastAsiaTheme="minorEastAsia"/>
          <w:sz w:val="21"/>
          <w:szCs w:val="21"/>
          <w:shd w:val="clear" w:color="auto" w:fill="FFFFFF"/>
        </w:rPr>
        <w:t>) NIH 3T3 cells.</w:t>
      </w:r>
    </w:p>
    <w:p w14:paraId="4B49B3BC">
      <w:pPr>
        <w:rPr>
          <w:rFonts w:hint="eastAsia" w:eastAsiaTheme="minorEastAsia"/>
          <w:sz w:val="21"/>
          <w:szCs w:val="21"/>
          <w:shd w:val="clear" w:color="auto" w:fill="FFFFFF"/>
          <w:lang w:eastAsia="zh-CN"/>
        </w:rPr>
      </w:pPr>
    </w:p>
    <w:p w14:paraId="07B46B72">
      <w:pPr>
        <w:rPr>
          <w:rFonts w:hint="eastAsia" w:eastAsiaTheme="minorEastAsia"/>
          <w:sz w:val="21"/>
          <w:szCs w:val="21"/>
          <w:shd w:val="clear" w:color="auto" w:fill="FFFFFF"/>
          <w:lang w:eastAsia="zh-CN"/>
        </w:rPr>
      </w:pPr>
      <w:r>
        <w:drawing>
          <wp:inline distT="0" distB="0" distL="0" distR="0">
            <wp:extent cx="5491480" cy="1572260"/>
            <wp:effectExtent l="0" t="0" r="0" b="8890"/>
            <wp:docPr id="1128229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2939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9EFA">
      <w:pPr>
        <w:rPr>
          <w:rFonts w:hint="default" w:ascii="Times New Roman" w:hAnsi="Times New Roman" w:eastAsiaTheme="minorEastAsia"/>
          <w:sz w:val="21"/>
          <w:szCs w:val="21"/>
          <w:shd w:val="clear" w:color="auto" w:fill="FFFFFF"/>
          <w:lang w:eastAsia="zh-CN"/>
        </w:rPr>
      </w:pPr>
      <w:r>
        <w:rPr>
          <w:rFonts w:ascii="Times New Roman" w:hAnsi="Times New Roman" w:eastAsiaTheme="minorEastAsia"/>
          <w:sz w:val="21"/>
          <w:szCs w:val="21"/>
          <w:shd w:val="clear" w:color="auto" w:fill="FFFFFF"/>
        </w:rPr>
        <w:t>Figure S</w:t>
      </w:r>
      <w:r>
        <w:rPr>
          <w:rFonts w:hint="default" w:ascii="Times New Roman" w:hAnsi="Times New Roman" w:eastAsiaTheme="minorEastAsia"/>
          <w:sz w:val="21"/>
          <w:szCs w:val="21"/>
          <w:shd w:val="clear" w:color="auto" w:fill="FFFFFF"/>
          <w:lang w:eastAsia="zh-CN"/>
        </w:rPr>
        <w:t>9</w:t>
      </w:r>
      <w:r>
        <w:rPr>
          <w:rFonts w:ascii="Times New Roman" w:hAnsi="Times New Roman" w:eastAsiaTheme="minorEastAsia"/>
          <w:sz w:val="21"/>
          <w:szCs w:val="21"/>
          <w:shd w:val="clear" w:color="auto" w:fill="FFFFFF"/>
        </w:rPr>
        <w:t>. Storage conditions</w:t>
      </w:r>
      <w:r>
        <w:rPr>
          <w:rFonts w:hint="default" w:ascii="Times New Roman" w:hAnsi="Times New Roman" w:eastAsiaTheme="minorEastAsia"/>
          <w:sz w:val="21"/>
          <w:szCs w:val="21"/>
          <w:shd w:val="clear" w:color="auto" w:fill="FFFFFF"/>
          <w:lang w:eastAsia="zh-CN"/>
        </w:rPr>
        <w:t xml:space="preserve"> of T7-EV/siTGF-β1</w:t>
      </w:r>
    </w:p>
    <w:p w14:paraId="740196E3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(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A</w:t>
      </w:r>
      <w:r>
        <w:rPr>
          <w:rFonts w:eastAsiaTheme="minorEastAsia"/>
          <w:sz w:val="21"/>
          <w:szCs w:val="21"/>
          <w:shd w:val="clear" w:color="auto" w:fill="FFFFFF"/>
        </w:rPr>
        <w:t>) Particle size measured by NTA after storage at room temperature, 4 °C, −20 °C, and −80 °C for 0, 7, and 14 days. (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B</w:t>
      </w:r>
      <w:r>
        <w:rPr>
          <w:rFonts w:eastAsiaTheme="minorEastAsia"/>
          <w:sz w:val="21"/>
          <w:szCs w:val="21"/>
          <w:shd w:val="clear" w:color="auto" w:fill="FFFFFF"/>
        </w:rPr>
        <w:t>) Zeta potential measured by NTA after storage at room temperature, 4 °C, −20 °C, and −80 °C for 0, 7, and 14 days. Data are presented as the mean ± SD. *P &lt; 0.05, ****P &lt; 0.0001</w:t>
      </w:r>
    </w:p>
    <w:p w14:paraId="0147FB79">
      <w:pPr>
        <w:rPr>
          <w:rFonts w:hint="eastAsia" w:eastAsiaTheme="minorEastAsia"/>
          <w:sz w:val="21"/>
          <w:szCs w:val="21"/>
          <w:shd w:val="clear" w:color="auto" w:fill="FFFFFF"/>
          <w:lang w:eastAsia="zh-CN"/>
        </w:rPr>
      </w:pPr>
    </w:p>
    <w:p w14:paraId="5727B42A">
      <w:pPr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274310" cy="2444750"/>
            <wp:effectExtent l="0" t="0" r="2540" b="0"/>
            <wp:docPr id="420680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8082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9767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10</w:t>
      </w:r>
      <w:r>
        <w:rPr>
          <w:rFonts w:eastAsiaTheme="minorEastAsia"/>
          <w:sz w:val="21"/>
          <w:szCs w:val="21"/>
          <w:shd w:val="clear" w:color="auto" w:fill="FFFFFF"/>
        </w:rPr>
        <w:t>. Biodistribution of T7-EV/Cy5-siRNA following nebulized inhalation</w:t>
      </w:r>
    </w:p>
    <w:p w14:paraId="54B8010A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A) Ex vivo imaging showing the distribution of T7-EV/Cy5-siRNA in major organs after nebulized administration.</w:t>
      </w:r>
    </w:p>
    <w:p w14:paraId="2F255615">
      <w:pPr>
        <w:pStyle w:val="46"/>
        <w:ind w:firstLine="0" w:firstLineChars="0"/>
        <w:rPr>
          <w:rFonts w:hint="eastAsia" w:eastAsiaTheme="minorEastAsia"/>
          <w:sz w:val="21"/>
          <w:szCs w:val="21"/>
          <w:shd w:val="clear" w:color="auto" w:fill="FFFFFF"/>
          <w:lang w:eastAsia="zh-CN"/>
        </w:rPr>
      </w:pPr>
    </w:p>
    <w:p w14:paraId="46644197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drawing>
          <wp:inline distT="0" distB="0" distL="0" distR="0">
            <wp:extent cx="5274310" cy="3021330"/>
            <wp:effectExtent l="0" t="0" r="2540" b="7620"/>
            <wp:docPr id="2076556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561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0F28">
      <w:pPr>
        <w:rPr>
          <w:rFonts w:eastAsiaTheme="minorEastAsia"/>
          <w:sz w:val="21"/>
          <w:szCs w:val="21"/>
          <w:shd w:val="clear" w:color="auto" w:fill="FFFFFF"/>
        </w:rPr>
      </w:pPr>
      <w:r>
        <w:rPr>
          <w:rFonts w:eastAsiaTheme="minorEastAsia"/>
          <w:sz w:val="21"/>
          <w:szCs w:val="21"/>
          <w:shd w:val="clear" w:color="auto" w:fill="FFFFFF"/>
        </w:rPr>
        <w:t>Figure S1</w:t>
      </w: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1</w:t>
      </w:r>
      <w:r>
        <w:rPr>
          <w:rFonts w:eastAsiaTheme="minorEastAsia"/>
          <w:sz w:val="21"/>
          <w:szCs w:val="21"/>
          <w:shd w:val="clear" w:color="auto" w:fill="FFFFFF"/>
        </w:rPr>
        <w:t>. Preliminary safety evaluation of T7-EV/siTGF-β1</w:t>
      </w:r>
    </w:p>
    <w:p w14:paraId="01932815">
      <w:pPr>
        <w:pStyle w:val="46"/>
        <w:ind w:firstLine="0" w:firstLineChars="0"/>
        <w:rPr>
          <w:rFonts w:eastAsiaTheme="minorEastAsia"/>
          <w:sz w:val="21"/>
          <w:szCs w:val="21"/>
          <w:shd w:val="clear" w:color="auto" w:fill="FFFFFF"/>
        </w:rPr>
      </w:pPr>
      <w:r>
        <w:rPr>
          <w:rFonts w:hint="eastAsia" w:eastAsiaTheme="minorEastAsia"/>
          <w:sz w:val="21"/>
          <w:szCs w:val="21"/>
          <w:shd w:val="clear" w:color="auto" w:fill="FFFFFF"/>
          <w:lang w:eastAsia="zh-CN"/>
        </w:rPr>
        <w:t>(</w:t>
      </w:r>
      <w:r>
        <w:rPr>
          <w:rFonts w:eastAsiaTheme="minorEastAsia"/>
          <w:sz w:val="21"/>
          <w:szCs w:val="21"/>
          <w:shd w:val="clear" w:color="auto" w:fill="FFFFFF"/>
        </w:rPr>
        <w:t>A) HE staining of major organs.</w:t>
      </w:r>
    </w:p>
    <w:p w14:paraId="05756A1A"/>
    <w:sectPr>
      <w:pgSz w:w="12242" w:h="15842"/>
      <w:pgMar w:top="1440" w:right="1797" w:bottom="1440" w:left="1797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no Pro">
    <w:altName w:val="Times New Roman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CB33DA"/>
    <w:multiLevelType w:val="multilevel"/>
    <w:tmpl w:val="15CB33DA"/>
    <w:lvl w:ilvl="0" w:tentative="0">
      <w:start w:val="1"/>
      <w:numFmt w:val="upperLetter"/>
      <w:lvlText w:val="(%1)"/>
      <w:lvlJc w:val="left"/>
      <w:pPr>
        <w:ind w:left="360" w:hanging="360"/>
      </w:pPr>
      <w:rPr>
        <w:rFonts w:ascii="Times New Roman" w:hAnsi="Times New Roman" w:cs="Times New Roman" w:eastAsiaTheme="minor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DA22DD1"/>
    <w:multiLevelType w:val="multilevel"/>
    <w:tmpl w:val="3DA22DD1"/>
    <w:lvl w:ilvl="0" w:tentative="0">
      <w:start w:val="1"/>
      <w:numFmt w:val="upperLetter"/>
      <w:lvlText w:val="(%1)"/>
      <w:lvlJc w:val="left"/>
      <w:pPr>
        <w:ind w:left="368" w:hanging="36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40873DF7"/>
    <w:multiLevelType w:val="multilevel"/>
    <w:tmpl w:val="40873DF7"/>
    <w:lvl w:ilvl="0" w:tentative="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attachedTemplate r:id="rId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F60A5D"/>
    <w:rsid w:val="0001243B"/>
    <w:rsid w:val="00290C87"/>
    <w:rsid w:val="00295DD5"/>
    <w:rsid w:val="002E1F73"/>
    <w:rsid w:val="00381449"/>
    <w:rsid w:val="004F5F10"/>
    <w:rsid w:val="006B4452"/>
    <w:rsid w:val="006C25A2"/>
    <w:rsid w:val="00733392"/>
    <w:rsid w:val="008D7486"/>
    <w:rsid w:val="009A1144"/>
    <w:rsid w:val="00A06FE9"/>
    <w:rsid w:val="00A24469"/>
    <w:rsid w:val="00A80B6D"/>
    <w:rsid w:val="00A835EF"/>
    <w:rsid w:val="00B160ED"/>
    <w:rsid w:val="00CB138F"/>
    <w:rsid w:val="00D1508D"/>
    <w:rsid w:val="00D15A78"/>
    <w:rsid w:val="00E64815"/>
    <w:rsid w:val="00F222CB"/>
    <w:rsid w:val="00F33D1B"/>
    <w:rsid w:val="102E4164"/>
    <w:rsid w:val="3C2455E1"/>
    <w:rsid w:val="4AF60A5D"/>
    <w:rsid w:val="52F77E99"/>
    <w:rsid w:val="58F125A0"/>
    <w:rsid w:val="779C3251"/>
    <w:rsid w:val="7FA2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  <w:jc w:val="both"/>
    </w:pPr>
    <w:rPr>
      <w:rFonts w:ascii="Times" w:hAnsi="Times" w:eastAsia="Times New Roman" w:cs="Times New Roman"/>
      <w:sz w:val="24"/>
      <w:lang w:val="en-US" w:eastAsia="en-US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line="415" w:lineRule="auto"/>
      <w:jc w:val="left"/>
      <w:outlineLvl w:val="1"/>
    </w:pPr>
    <w:rPr>
      <w:rFonts w:cstheme="majorBidi"/>
      <w:b/>
      <w:bCs/>
      <w:sz w:val="30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center"/>
    </w:pPr>
    <w:rPr>
      <w:b/>
      <w:sz w:val="40"/>
    </w:rPr>
  </w:style>
  <w:style w:type="paragraph" w:styleId="4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5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6">
    <w:name w:val="header"/>
    <w:basedOn w:val="1"/>
    <w:link w:val="4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next w:val="8"/>
    <w:semiHidden/>
    <w:qFormat/>
    <w:uiPriority w:val="0"/>
  </w:style>
  <w:style w:type="paragraph" w:customStyle="1" w:styleId="8">
    <w:name w:val="TF_References_Section"/>
    <w:basedOn w:val="1"/>
    <w:qFormat/>
    <w:uiPriority w:val="0"/>
    <w:pPr>
      <w:spacing w:line="480" w:lineRule="auto"/>
      <w:ind w:firstLine="187"/>
    </w:pPr>
  </w:style>
  <w:style w:type="character" w:styleId="11">
    <w:name w:val="page number"/>
    <w:basedOn w:val="10"/>
    <w:qFormat/>
    <w:uiPriority w:val="0"/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line number"/>
    <w:basedOn w:val="10"/>
    <w:qFormat/>
    <w:uiPriority w:val="0"/>
  </w:style>
  <w:style w:type="character" w:styleId="14">
    <w:name w:val="Hyperlink"/>
    <w:qFormat/>
    <w:uiPriority w:val="0"/>
    <w:rPr>
      <w:color w:val="0000FF"/>
      <w:u w:val="single"/>
    </w:rPr>
  </w:style>
  <w:style w:type="paragraph" w:customStyle="1" w:styleId="15">
    <w:name w:val="TA_Main_Text"/>
    <w:basedOn w:val="1"/>
    <w:qFormat/>
    <w:uiPriority w:val="0"/>
    <w:pPr>
      <w:spacing w:after="0" w:line="480" w:lineRule="auto"/>
      <w:ind w:firstLine="202"/>
    </w:pPr>
  </w:style>
  <w:style w:type="paragraph" w:customStyle="1" w:styleId="16">
    <w:name w:val="BA_Title"/>
    <w:basedOn w:val="1"/>
    <w:next w:val="17"/>
    <w:qFormat/>
    <w:uiPriority w:val="0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17">
    <w:name w:val="BB_Author_Name"/>
    <w:basedOn w:val="1"/>
    <w:next w:val="18"/>
    <w:qFormat/>
    <w:uiPriority w:val="0"/>
    <w:pPr>
      <w:spacing w:after="240" w:line="480" w:lineRule="auto"/>
      <w:jc w:val="center"/>
    </w:pPr>
    <w:rPr>
      <w:i/>
    </w:rPr>
  </w:style>
  <w:style w:type="paragraph" w:customStyle="1" w:styleId="18">
    <w:name w:val="BC_Author_Address"/>
    <w:basedOn w:val="1"/>
    <w:next w:val="19"/>
    <w:qFormat/>
    <w:uiPriority w:val="0"/>
    <w:pPr>
      <w:spacing w:after="240" w:line="480" w:lineRule="auto"/>
      <w:jc w:val="center"/>
    </w:pPr>
  </w:style>
  <w:style w:type="paragraph" w:customStyle="1" w:styleId="19">
    <w:name w:val="BI_Email_Address"/>
    <w:basedOn w:val="1"/>
    <w:next w:val="20"/>
    <w:qFormat/>
    <w:uiPriority w:val="0"/>
    <w:pPr>
      <w:spacing w:line="480" w:lineRule="auto"/>
    </w:pPr>
  </w:style>
  <w:style w:type="paragraph" w:customStyle="1" w:styleId="20">
    <w:name w:val="AI_Received_Date"/>
    <w:basedOn w:val="1"/>
    <w:next w:val="21"/>
    <w:qFormat/>
    <w:uiPriority w:val="0"/>
    <w:pPr>
      <w:spacing w:after="240" w:line="480" w:lineRule="auto"/>
    </w:pPr>
    <w:rPr>
      <w:b/>
    </w:rPr>
  </w:style>
  <w:style w:type="paragraph" w:customStyle="1" w:styleId="21">
    <w:name w:val="BD_Abstract"/>
    <w:basedOn w:val="1"/>
    <w:next w:val="15"/>
    <w:qFormat/>
    <w:uiPriority w:val="0"/>
    <w:pPr>
      <w:spacing w:before="360" w:after="360" w:line="480" w:lineRule="auto"/>
    </w:pPr>
  </w:style>
  <w:style w:type="paragraph" w:customStyle="1" w:styleId="22">
    <w:name w:val="TD_Acknowledgments"/>
    <w:basedOn w:val="1"/>
    <w:next w:val="1"/>
    <w:qFormat/>
    <w:uiPriority w:val="0"/>
    <w:pPr>
      <w:spacing w:before="200" w:line="480" w:lineRule="auto"/>
      <w:ind w:firstLine="202"/>
    </w:pPr>
  </w:style>
  <w:style w:type="paragraph" w:customStyle="1" w:styleId="23">
    <w:name w:val="TE_Supporting_Information"/>
    <w:basedOn w:val="1"/>
    <w:next w:val="1"/>
    <w:qFormat/>
    <w:uiPriority w:val="0"/>
    <w:pPr>
      <w:spacing w:line="480" w:lineRule="auto"/>
      <w:ind w:firstLine="187"/>
    </w:pPr>
  </w:style>
  <w:style w:type="paragraph" w:customStyle="1" w:styleId="24">
    <w:name w:val="VC_Scheme_Title"/>
    <w:basedOn w:val="1"/>
    <w:next w:val="1"/>
    <w:qFormat/>
    <w:uiPriority w:val="0"/>
    <w:pPr>
      <w:spacing w:line="480" w:lineRule="auto"/>
    </w:pPr>
  </w:style>
  <w:style w:type="paragraph" w:customStyle="1" w:styleId="25">
    <w:name w:val="VD_Table_Title"/>
    <w:basedOn w:val="1"/>
    <w:next w:val="1"/>
    <w:qFormat/>
    <w:uiPriority w:val="0"/>
    <w:pPr>
      <w:spacing w:line="480" w:lineRule="auto"/>
    </w:pPr>
  </w:style>
  <w:style w:type="paragraph" w:customStyle="1" w:styleId="26">
    <w:name w:val="VA_Figure_Caption"/>
    <w:basedOn w:val="1"/>
    <w:next w:val="1"/>
    <w:qFormat/>
    <w:uiPriority w:val="0"/>
    <w:pPr>
      <w:spacing w:line="480" w:lineRule="auto"/>
    </w:pPr>
  </w:style>
  <w:style w:type="paragraph" w:customStyle="1" w:styleId="27">
    <w:name w:val="VB_Chart_Title"/>
    <w:basedOn w:val="1"/>
    <w:next w:val="1"/>
    <w:qFormat/>
    <w:uiPriority w:val="0"/>
    <w:pPr>
      <w:spacing w:line="480" w:lineRule="auto"/>
    </w:pPr>
  </w:style>
  <w:style w:type="paragraph" w:customStyle="1" w:styleId="28">
    <w:name w:val="FE_Table_Footnote"/>
    <w:basedOn w:val="1"/>
    <w:next w:val="1"/>
    <w:qFormat/>
    <w:uiPriority w:val="0"/>
    <w:pPr>
      <w:ind w:firstLine="187"/>
    </w:pPr>
  </w:style>
  <w:style w:type="paragraph" w:customStyle="1" w:styleId="29">
    <w:name w:val="FC_Chart_Footnote"/>
    <w:basedOn w:val="1"/>
    <w:next w:val="1"/>
    <w:qFormat/>
    <w:uiPriority w:val="0"/>
    <w:pPr>
      <w:ind w:firstLine="187"/>
    </w:pPr>
  </w:style>
  <w:style w:type="paragraph" w:customStyle="1" w:styleId="30">
    <w:name w:val="FD_Scheme_Footnote"/>
    <w:basedOn w:val="1"/>
    <w:next w:val="1"/>
    <w:qFormat/>
    <w:uiPriority w:val="0"/>
    <w:pPr>
      <w:ind w:firstLine="187"/>
    </w:pPr>
  </w:style>
  <w:style w:type="paragraph" w:customStyle="1" w:styleId="31">
    <w:name w:val="TC_Table_Body"/>
    <w:basedOn w:val="1"/>
    <w:qFormat/>
    <w:uiPriority w:val="0"/>
  </w:style>
  <w:style w:type="paragraph" w:customStyle="1" w:styleId="32">
    <w:name w:val="AF_Title_Running_Head"/>
    <w:basedOn w:val="1"/>
    <w:next w:val="15"/>
    <w:qFormat/>
    <w:uiPriority w:val="0"/>
    <w:pPr>
      <w:spacing w:line="480" w:lineRule="auto"/>
    </w:pPr>
  </w:style>
  <w:style w:type="paragraph" w:customStyle="1" w:styleId="33">
    <w:name w:val="BE_Author_Biography"/>
    <w:basedOn w:val="1"/>
    <w:qFormat/>
    <w:uiPriority w:val="0"/>
    <w:pPr>
      <w:spacing w:line="480" w:lineRule="auto"/>
    </w:pPr>
  </w:style>
  <w:style w:type="paragraph" w:customStyle="1" w:styleId="34">
    <w:name w:val="FA_Corresponding_Author_Footnote"/>
    <w:basedOn w:val="1"/>
    <w:next w:val="15"/>
    <w:qFormat/>
    <w:uiPriority w:val="0"/>
    <w:pPr>
      <w:spacing w:line="480" w:lineRule="auto"/>
    </w:pPr>
  </w:style>
  <w:style w:type="paragraph" w:customStyle="1" w:styleId="35">
    <w:name w:val="SN_Synopsis_TOC"/>
    <w:basedOn w:val="1"/>
    <w:qFormat/>
    <w:uiPriority w:val="0"/>
    <w:pPr>
      <w:spacing w:line="480" w:lineRule="auto"/>
    </w:pPr>
  </w:style>
  <w:style w:type="paragraph" w:customStyle="1" w:styleId="36">
    <w:name w:val="BG_Keywords"/>
    <w:basedOn w:val="1"/>
    <w:qFormat/>
    <w:uiPriority w:val="0"/>
    <w:pPr>
      <w:spacing w:line="480" w:lineRule="auto"/>
    </w:pPr>
  </w:style>
  <w:style w:type="paragraph" w:customStyle="1" w:styleId="37">
    <w:name w:val="BH_Briefs"/>
    <w:basedOn w:val="1"/>
    <w:qFormat/>
    <w:uiPriority w:val="0"/>
    <w:pPr>
      <w:spacing w:line="480" w:lineRule="auto"/>
    </w:pPr>
  </w:style>
  <w:style w:type="paragraph" w:customStyle="1" w:styleId="38">
    <w:name w:val="Style FA_Corresponding_Author_Footnote + 7 pt"/>
    <w:basedOn w:val="1"/>
    <w:next w:val="36"/>
    <w:link w:val="39"/>
    <w:autoRedefine/>
    <w:qFormat/>
    <w:uiPriority w:val="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39">
    <w:name w:val="Style FA_Corresponding_Author_Footnote + 7 pt Char"/>
    <w:link w:val="38"/>
    <w:qFormat/>
    <w:uiPriority w:val="0"/>
    <w:rPr>
      <w:rFonts w:ascii="Arno Pro" w:hAnsi="Arno Pro"/>
      <w:kern w:val="20"/>
      <w:sz w:val="18"/>
    </w:rPr>
  </w:style>
  <w:style w:type="paragraph" w:customStyle="1" w:styleId="40">
    <w:name w:val="FA_Author_Info_Subtitle"/>
    <w:basedOn w:val="1"/>
    <w:link w:val="41"/>
    <w:autoRedefine/>
    <w:qFormat/>
    <w:uiPriority w:val="0"/>
    <w:pPr>
      <w:spacing w:before="120" w:after="60" w:line="480" w:lineRule="auto"/>
      <w:jc w:val="left"/>
    </w:pPr>
    <w:rPr>
      <w:b/>
    </w:rPr>
  </w:style>
  <w:style w:type="character" w:customStyle="1" w:styleId="41">
    <w:name w:val="FA_Author_Info_Subtitle Char"/>
    <w:link w:val="40"/>
    <w:qFormat/>
    <w:uiPriority w:val="0"/>
    <w:rPr>
      <w:b/>
    </w:rPr>
  </w:style>
  <w:style w:type="paragraph" w:customStyle="1" w:styleId="42">
    <w:name w:val="Default"/>
    <w:qFormat/>
    <w:uiPriority w:val="0"/>
    <w:pPr>
      <w:autoSpaceDE w:val="0"/>
      <w:autoSpaceDN w:val="0"/>
      <w:adjustRightInd w:val="0"/>
    </w:pPr>
    <w:rPr>
      <w:rFonts w:ascii="Symbol" w:hAnsi="Symbol" w:eastAsia="Times New Roman" w:cs="Symbol"/>
      <w:color w:val="000000"/>
      <w:sz w:val="24"/>
      <w:szCs w:val="24"/>
      <w:lang w:val="en-US" w:eastAsia="en-US" w:bidi="ar-SA"/>
    </w:rPr>
  </w:style>
  <w:style w:type="paragraph" w:customStyle="1" w:styleId="43">
    <w:name w:val="MDPI_1.6_affiliation"/>
    <w:qFormat/>
    <w:uiPriority w:val="0"/>
    <w:pPr>
      <w:adjustRightInd w:val="0"/>
      <w:snapToGrid w:val="0"/>
      <w:spacing w:line="200" w:lineRule="atLeast"/>
      <w:ind w:left="2806" w:hanging="198"/>
    </w:pPr>
    <w:rPr>
      <w:rFonts w:ascii="Palatino Linotype" w:hAnsi="Palatino Linotype" w:eastAsia="Times New Roman" w:cs="Times New Roman"/>
      <w:color w:val="000000"/>
      <w:sz w:val="16"/>
      <w:szCs w:val="18"/>
      <w:lang w:val="en-US" w:eastAsia="de-DE" w:bidi="en-US"/>
    </w:rPr>
  </w:style>
  <w:style w:type="paragraph" w:customStyle="1" w:styleId="44">
    <w:name w:val="中文正文"/>
    <w:autoRedefine/>
    <w:qFormat/>
    <w:uiPriority w:val="0"/>
    <w:pPr>
      <w:spacing w:line="360" w:lineRule="auto"/>
      <w:ind w:firstLine="480" w:firstLineChars="200"/>
      <w:jc w:val="both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45">
    <w:name w:val="EndNote Bibliography"/>
    <w:basedOn w:val="1"/>
    <w:qFormat/>
    <w:uiPriority w:val="0"/>
    <w:pPr>
      <w:spacing w:line="240" w:lineRule="atLeast"/>
    </w:pPr>
  </w:style>
  <w:style w:type="paragraph" w:styleId="46">
    <w:name w:val="List Paragraph"/>
    <w:basedOn w:val="1"/>
    <w:qFormat/>
    <w:uiPriority w:val="34"/>
    <w:pPr>
      <w:ind w:firstLine="420" w:firstLineChars="200"/>
    </w:pPr>
  </w:style>
  <w:style w:type="character" w:customStyle="1" w:styleId="47">
    <w:name w:val="页眉 字符"/>
    <w:basedOn w:val="10"/>
    <w:link w:val="6"/>
    <w:qFormat/>
    <w:uiPriority w:val="0"/>
    <w:rPr>
      <w:rFonts w:ascii="Times" w:hAnsi="Times" w:eastAsia="Times New Roman" w:cs="Times New Roman"/>
      <w:sz w:val="18"/>
      <w:szCs w:val="18"/>
      <w:lang w:eastAsia="en-US"/>
    </w:rPr>
  </w:style>
  <w:style w:type="paragraph" w:customStyle="1" w:styleId="48">
    <w:name w:val="修订1"/>
    <w:hidden/>
    <w:unhideWhenUsed/>
    <w:qFormat/>
    <w:uiPriority w:val="99"/>
    <w:rPr>
      <w:rFonts w:ascii="Times" w:hAnsi="Times" w:eastAsia="Times New Roman" w:cs="Times New Roman"/>
      <w:sz w:val="24"/>
      <w:lang w:val="en-US" w:eastAsia="en-US" w:bidi="ar-SA"/>
    </w:rPr>
  </w:style>
  <w:style w:type="paragraph" w:customStyle="1" w:styleId="49">
    <w:name w:val="Revision"/>
    <w:hidden/>
    <w:unhideWhenUsed/>
    <w:uiPriority w:val="99"/>
    <w:rPr>
      <w:rFonts w:ascii="Times" w:hAnsi="Times" w:eastAsia="Times New Roman" w:cs="Times New Roman"/>
      <w:sz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567;&#21941;&#21941;\&#21941;&#21941;&#30340;&#20854;&#20182;&#19994;&#21153;\&#23385;&#24314;\&#25237;&#31295;&#20316;&#22270;\Nano%20letters&#25237;&#31295;&#20869;&#23481;\Supporting%20Information.dot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Supporting Information</Template>
  <Pages>8</Pages>
  <Words>573</Words>
  <Characters>3120</Characters>
  <Lines>70</Lines>
  <Paragraphs>27</Paragraphs>
  <TotalTime>131</TotalTime>
  <ScaleCrop>false</ScaleCrop>
  <LinksUpToDate>false</LinksUpToDate>
  <CharactersWithSpaces>3660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2025-07-31T07:17:00Z</dcterms:created>
  <dc:creator>张沛东</dc:creator>
  <cp:lastModifiedBy>张沛东</cp:lastModifiedBy>
  <dcterms:modified xsi:type="dcterms:W3CDTF">2025-12-24T08:46:23Z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F43E7670405B4B9DB318CD2D2F9EE941_11</vt:lpwstr>
  </property>
  <property fmtid="{D5CDD505-2E9C-101B-9397-08002B2CF9AE}" pid="4" name="KSOTemplateDocerSaveRecord">
    <vt:lpwstr>eyJoZGlkIjoiYzRlYjQyODg0MTI4YTkyYmM5MzE4Y2JjY2FmN2EyYjciLCJ1c2VySWQiOiIzNDk1ODI1MjgifQ==</vt:lpwstr>
  </property>
</Properties>
</file>