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53B5C" w14:textId="77777777" w:rsidR="0076295E" w:rsidRDefault="0076295E" w:rsidP="0076295E">
      <w:pPr>
        <w:adjustRightInd w:val="0"/>
        <w:snapToGrid w:val="0"/>
        <w:spacing w:line="480" w:lineRule="auto"/>
        <w:rPr>
          <w:rFonts w:cs="Times New Roman"/>
          <w:b/>
          <w:bCs/>
          <w:sz w:val="24"/>
          <w:szCs w:val="24"/>
        </w:rPr>
      </w:pPr>
      <w:r w:rsidRPr="00AE3BBA">
        <w:rPr>
          <w:rFonts w:cs="Times New Roman"/>
          <w:b/>
          <w:bCs/>
          <w:sz w:val="24"/>
          <w:szCs w:val="24"/>
        </w:rPr>
        <w:t>Supplementary Figures and table</w:t>
      </w:r>
    </w:p>
    <w:p w14:paraId="01C8A948" w14:textId="77777777" w:rsidR="00555471" w:rsidRDefault="00555471" w:rsidP="0076295E">
      <w:pPr>
        <w:adjustRightInd w:val="0"/>
        <w:snapToGrid w:val="0"/>
        <w:spacing w:line="480" w:lineRule="auto"/>
        <w:rPr>
          <w:rFonts w:cs="Times New Roman"/>
          <w:b/>
          <w:bCs/>
          <w:sz w:val="24"/>
          <w:szCs w:val="24"/>
        </w:rPr>
      </w:pPr>
    </w:p>
    <w:p w14:paraId="12B26556" w14:textId="77777777" w:rsidR="00555471" w:rsidRDefault="00555471" w:rsidP="0076295E">
      <w:pPr>
        <w:adjustRightInd w:val="0"/>
        <w:snapToGrid w:val="0"/>
        <w:spacing w:line="480" w:lineRule="auto"/>
        <w:rPr>
          <w:rFonts w:cs="Times New Roman"/>
          <w:b/>
          <w:bCs/>
          <w:sz w:val="24"/>
          <w:szCs w:val="24"/>
        </w:rPr>
      </w:pPr>
    </w:p>
    <w:p w14:paraId="00FA49C6" w14:textId="77777777" w:rsidR="00555471" w:rsidRDefault="00555471" w:rsidP="0076295E">
      <w:pPr>
        <w:adjustRightInd w:val="0"/>
        <w:snapToGrid w:val="0"/>
        <w:spacing w:line="480" w:lineRule="auto"/>
        <w:rPr>
          <w:rFonts w:cs="Times New Roman"/>
          <w:b/>
          <w:bCs/>
          <w:sz w:val="24"/>
          <w:szCs w:val="24"/>
        </w:rPr>
      </w:pPr>
    </w:p>
    <w:p w14:paraId="460366F7" w14:textId="77777777" w:rsidR="00555471" w:rsidRDefault="00555471" w:rsidP="0076295E">
      <w:pPr>
        <w:adjustRightInd w:val="0"/>
        <w:snapToGrid w:val="0"/>
        <w:spacing w:line="480" w:lineRule="auto"/>
        <w:rPr>
          <w:rFonts w:cs="Times New Roman"/>
          <w:b/>
          <w:bCs/>
          <w:sz w:val="24"/>
          <w:szCs w:val="24"/>
        </w:rPr>
      </w:pPr>
    </w:p>
    <w:p w14:paraId="77284BB1" w14:textId="77777777" w:rsidR="00555471" w:rsidRDefault="00555471" w:rsidP="0076295E">
      <w:pPr>
        <w:adjustRightInd w:val="0"/>
        <w:snapToGrid w:val="0"/>
        <w:spacing w:line="480" w:lineRule="auto"/>
        <w:rPr>
          <w:rFonts w:cs="Times New Roman"/>
          <w:b/>
          <w:bCs/>
          <w:sz w:val="24"/>
          <w:szCs w:val="24"/>
        </w:rPr>
      </w:pPr>
    </w:p>
    <w:p w14:paraId="1AA968DF" w14:textId="77777777" w:rsidR="00555471" w:rsidRDefault="00555471" w:rsidP="0076295E">
      <w:pPr>
        <w:adjustRightInd w:val="0"/>
        <w:snapToGrid w:val="0"/>
        <w:spacing w:line="480" w:lineRule="auto"/>
        <w:rPr>
          <w:rFonts w:cs="Times New Roman"/>
          <w:b/>
          <w:bCs/>
          <w:sz w:val="24"/>
          <w:szCs w:val="24"/>
        </w:rPr>
      </w:pPr>
    </w:p>
    <w:p w14:paraId="6BAF0020" w14:textId="77777777" w:rsidR="00555471" w:rsidRDefault="00555471" w:rsidP="0076295E">
      <w:pPr>
        <w:adjustRightInd w:val="0"/>
        <w:snapToGrid w:val="0"/>
        <w:spacing w:line="480" w:lineRule="auto"/>
        <w:rPr>
          <w:rFonts w:cs="Times New Roman"/>
          <w:b/>
          <w:bCs/>
          <w:sz w:val="24"/>
          <w:szCs w:val="24"/>
        </w:rPr>
      </w:pPr>
    </w:p>
    <w:p w14:paraId="4F750C14" w14:textId="77777777" w:rsidR="00555471" w:rsidRDefault="00555471" w:rsidP="0076295E">
      <w:pPr>
        <w:adjustRightInd w:val="0"/>
        <w:snapToGrid w:val="0"/>
        <w:spacing w:line="480" w:lineRule="auto"/>
        <w:rPr>
          <w:rFonts w:cs="Times New Roman"/>
          <w:b/>
          <w:bCs/>
          <w:sz w:val="24"/>
          <w:szCs w:val="24"/>
        </w:rPr>
      </w:pPr>
    </w:p>
    <w:p w14:paraId="0C71AB79" w14:textId="77777777" w:rsidR="00555471" w:rsidRDefault="00555471" w:rsidP="0076295E">
      <w:pPr>
        <w:adjustRightInd w:val="0"/>
        <w:snapToGrid w:val="0"/>
        <w:spacing w:line="480" w:lineRule="auto"/>
        <w:rPr>
          <w:rFonts w:cs="Times New Roman"/>
          <w:b/>
          <w:bCs/>
          <w:sz w:val="24"/>
          <w:szCs w:val="24"/>
        </w:rPr>
      </w:pPr>
    </w:p>
    <w:p w14:paraId="4F8F6AEF" w14:textId="77777777" w:rsidR="00555471" w:rsidRDefault="00555471" w:rsidP="0076295E">
      <w:pPr>
        <w:adjustRightInd w:val="0"/>
        <w:snapToGrid w:val="0"/>
        <w:spacing w:line="480" w:lineRule="auto"/>
        <w:rPr>
          <w:rFonts w:cs="Times New Roman"/>
          <w:b/>
          <w:bCs/>
          <w:sz w:val="24"/>
          <w:szCs w:val="24"/>
        </w:rPr>
      </w:pPr>
    </w:p>
    <w:p w14:paraId="24BB3E1F" w14:textId="03FA6D77" w:rsidR="00555471" w:rsidRPr="00AE3BBA" w:rsidRDefault="00555471" w:rsidP="0076295E">
      <w:pPr>
        <w:adjustRightInd w:val="0"/>
        <w:snapToGrid w:val="0"/>
        <w:spacing w:line="480" w:lineRule="auto"/>
        <w:rPr>
          <w:rFonts w:cs="Times New Roman"/>
          <w:b/>
          <w:bCs/>
          <w:sz w:val="24"/>
          <w:szCs w:val="24"/>
        </w:rPr>
      </w:pPr>
      <w:r>
        <w:rPr>
          <w:rFonts w:cs="Times New Roman"/>
          <w:b/>
          <w:bCs/>
          <w:noProof/>
          <w:sz w:val="24"/>
          <w:szCs w:val="24"/>
        </w:rPr>
        <w:lastRenderedPageBreak/>
        <w:drawing>
          <wp:inline distT="0" distB="0" distL="0" distR="0" wp14:anchorId="524695EA" wp14:editId="73507FCC">
            <wp:extent cx="4524375" cy="5267325"/>
            <wp:effectExtent l="0" t="0" r="9525" b="9525"/>
            <wp:docPr id="1732801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24375" cy="5267325"/>
                    </a:xfrm>
                    <a:prstGeom prst="rect">
                      <a:avLst/>
                    </a:prstGeom>
                    <a:noFill/>
                    <a:ln>
                      <a:noFill/>
                    </a:ln>
                  </pic:spPr>
                </pic:pic>
              </a:graphicData>
            </a:graphic>
          </wp:inline>
        </w:drawing>
      </w:r>
    </w:p>
    <w:p w14:paraId="7122F111" w14:textId="77777777" w:rsidR="0076295E" w:rsidRDefault="0076295E" w:rsidP="0076295E">
      <w:pPr>
        <w:adjustRightInd w:val="0"/>
        <w:snapToGrid w:val="0"/>
        <w:spacing w:line="480" w:lineRule="auto"/>
        <w:rPr>
          <w:rFonts w:cs="Times New Roman"/>
          <w:sz w:val="24"/>
          <w:szCs w:val="24"/>
        </w:rPr>
      </w:pPr>
      <w:r w:rsidRPr="00AE3BBA">
        <w:rPr>
          <w:rFonts w:cs="Times New Roman"/>
          <w:b/>
          <w:bCs/>
          <w:sz w:val="24"/>
          <w:szCs w:val="24"/>
        </w:rPr>
        <w:lastRenderedPageBreak/>
        <w:t xml:space="preserve">Supplementary Figure S1. </w:t>
      </w:r>
      <w:r w:rsidRPr="00AE3BBA">
        <w:rPr>
          <w:rFonts w:cs="Times New Roman"/>
          <w:sz w:val="24"/>
          <w:szCs w:val="24"/>
        </w:rPr>
        <w:t xml:space="preserve">(A) </w:t>
      </w:r>
      <w:r w:rsidRPr="00AE3BBA">
        <w:rPr>
          <w:rFonts w:cs="Times New Roman"/>
          <w:bCs/>
          <w:sz w:val="24"/>
          <w:szCs w:val="24"/>
        </w:rPr>
        <w:t>Distribution of corresponding author’s publications by country (R bibliometrix).</w:t>
      </w:r>
      <w:r w:rsidRPr="00AE3BBA">
        <w:rPr>
          <w:rFonts w:cs="Times New Roman"/>
          <w:sz w:val="24"/>
          <w:szCs w:val="24"/>
        </w:rPr>
        <w:t xml:space="preserve"> SCP: Single Country Publications. MCP: Multiple Country Publications. Artic</w:t>
      </w:r>
      <w:r w:rsidR="0084156D">
        <w:rPr>
          <w:rFonts w:cs="Times New Roman" w:hint="eastAsia"/>
          <w:sz w:val="24"/>
          <w:szCs w:val="24"/>
        </w:rPr>
        <w:t>s</w:t>
      </w:r>
      <w:r w:rsidRPr="00AE3BBA">
        <w:rPr>
          <w:rFonts w:cs="Times New Roman"/>
          <w:sz w:val="24"/>
          <w:szCs w:val="24"/>
        </w:rPr>
        <w:t xml:space="preserve">les: Publications of Corresponding Authors only. Freq: Frequence of Total Publications. MCP_Ratio: Proportion of Multiple Country Publications. TP: Total Publications. TP_rank: Rank of Total Publications. TC: Total Citations. TC_rank: Rank of Total Citations. Average Citations: The average number of citations per publication. (B) </w:t>
      </w:r>
      <w:r w:rsidRPr="00AE3BBA">
        <w:rPr>
          <w:rFonts w:cs="Times New Roman"/>
          <w:bCs/>
          <w:sz w:val="24"/>
          <w:szCs w:val="24"/>
        </w:rPr>
        <w:t>Visualization map depicting the collaboration among different countries.</w:t>
      </w:r>
      <w:r w:rsidRPr="00AE3BBA">
        <w:rPr>
          <w:rFonts w:cs="Times New Roman"/>
          <w:sz w:val="24"/>
          <w:szCs w:val="24"/>
        </w:rPr>
        <w:t xml:space="preserve"> Nodes represent countries, with size indicating publication count. Links represent co-authorships, with thickness showing collaboration strength. Colors indicate different research clusters. Total link strength in collaboration networks measures the frequency of co-authorship between countries, indicating the level of collaborative research.</w:t>
      </w:r>
    </w:p>
    <w:p w14:paraId="522BF290" w14:textId="77777777" w:rsidR="00555471" w:rsidRDefault="00555471" w:rsidP="0076295E">
      <w:pPr>
        <w:adjustRightInd w:val="0"/>
        <w:snapToGrid w:val="0"/>
        <w:spacing w:line="480" w:lineRule="auto"/>
        <w:rPr>
          <w:rFonts w:cs="Times New Roman"/>
          <w:sz w:val="24"/>
          <w:szCs w:val="24"/>
        </w:rPr>
      </w:pPr>
    </w:p>
    <w:p w14:paraId="198645A6" w14:textId="77777777" w:rsidR="00555471" w:rsidRDefault="00555471" w:rsidP="0076295E">
      <w:pPr>
        <w:adjustRightInd w:val="0"/>
        <w:snapToGrid w:val="0"/>
        <w:spacing w:line="480" w:lineRule="auto"/>
        <w:rPr>
          <w:rFonts w:cs="Times New Roman"/>
          <w:sz w:val="24"/>
          <w:szCs w:val="24"/>
        </w:rPr>
      </w:pPr>
    </w:p>
    <w:p w14:paraId="3547B891" w14:textId="77777777" w:rsidR="00555471" w:rsidRDefault="00555471" w:rsidP="0076295E">
      <w:pPr>
        <w:adjustRightInd w:val="0"/>
        <w:snapToGrid w:val="0"/>
        <w:spacing w:line="480" w:lineRule="auto"/>
        <w:rPr>
          <w:rFonts w:cs="Times New Roman"/>
          <w:sz w:val="24"/>
          <w:szCs w:val="24"/>
        </w:rPr>
      </w:pPr>
    </w:p>
    <w:p w14:paraId="26A22EB7" w14:textId="77777777" w:rsidR="00555471" w:rsidRDefault="00555471" w:rsidP="0076295E">
      <w:pPr>
        <w:adjustRightInd w:val="0"/>
        <w:snapToGrid w:val="0"/>
        <w:spacing w:line="480" w:lineRule="auto"/>
        <w:rPr>
          <w:rFonts w:cs="Times New Roman"/>
          <w:sz w:val="24"/>
          <w:szCs w:val="24"/>
        </w:rPr>
      </w:pPr>
    </w:p>
    <w:p w14:paraId="556DB2D7" w14:textId="77777777" w:rsidR="00555471" w:rsidRDefault="00555471" w:rsidP="0076295E">
      <w:pPr>
        <w:adjustRightInd w:val="0"/>
        <w:snapToGrid w:val="0"/>
        <w:spacing w:line="480" w:lineRule="auto"/>
        <w:rPr>
          <w:rFonts w:cs="Times New Roman"/>
          <w:sz w:val="24"/>
          <w:szCs w:val="24"/>
        </w:rPr>
      </w:pPr>
    </w:p>
    <w:p w14:paraId="0B2AA75D" w14:textId="77777777" w:rsidR="00555471" w:rsidRDefault="00555471" w:rsidP="0076295E">
      <w:pPr>
        <w:adjustRightInd w:val="0"/>
        <w:snapToGrid w:val="0"/>
        <w:spacing w:line="480" w:lineRule="auto"/>
        <w:rPr>
          <w:rFonts w:cs="Times New Roman"/>
          <w:sz w:val="24"/>
          <w:szCs w:val="24"/>
        </w:rPr>
      </w:pPr>
    </w:p>
    <w:p w14:paraId="4114C527" w14:textId="77777777" w:rsidR="00555471" w:rsidRDefault="00555471" w:rsidP="0076295E">
      <w:pPr>
        <w:adjustRightInd w:val="0"/>
        <w:snapToGrid w:val="0"/>
        <w:spacing w:line="480" w:lineRule="auto"/>
        <w:rPr>
          <w:rFonts w:cs="Times New Roman"/>
          <w:sz w:val="24"/>
          <w:szCs w:val="24"/>
        </w:rPr>
      </w:pPr>
    </w:p>
    <w:p w14:paraId="623DC386" w14:textId="5855A65A" w:rsidR="00555471" w:rsidRDefault="00555471" w:rsidP="0076295E">
      <w:pPr>
        <w:adjustRightInd w:val="0"/>
        <w:snapToGrid w:val="0"/>
        <w:spacing w:line="480" w:lineRule="auto"/>
        <w:rPr>
          <w:rFonts w:cs="Times New Roman"/>
          <w:sz w:val="24"/>
          <w:szCs w:val="24"/>
        </w:rPr>
      </w:pPr>
    </w:p>
    <w:p w14:paraId="1427D6BD" w14:textId="5D7321F5" w:rsidR="00555471" w:rsidRPr="00AE3BBA" w:rsidRDefault="00555471" w:rsidP="0076295E">
      <w:pPr>
        <w:adjustRightInd w:val="0"/>
        <w:snapToGrid w:val="0"/>
        <w:spacing w:line="480" w:lineRule="auto"/>
        <w:rPr>
          <w:rFonts w:cs="Times New Roman"/>
          <w:sz w:val="24"/>
          <w:szCs w:val="24"/>
        </w:rPr>
      </w:pPr>
      <w:r>
        <w:rPr>
          <w:rFonts w:cs="Times New Roman"/>
          <w:noProof/>
          <w:sz w:val="24"/>
          <w:szCs w:val="24"/>
        </w:rPr>
        <w:lastRenderedPageBreak/>
        <w:drawing>
          <wp:inline distT="0" distB="0" distL="0" distR="0" wp14:anchorId="2FB2676B" wp14:editId="55748CF5">
            <wp:extent cx="4486275" cy="5267325"/>
            <wp:effectExtent l="0" t="0" r="9525" b="9525"/>
            <wp:docPr id="512014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6275" cy="5267325"/>
                    </a:xfrm>
                    <a:prstGeom prst="rect">
                      <a:avLst/>
                    </a:prstGeom>
                    <a:noFill/>
                    <a:ln>
                      <a:noFill/>
                    </a:ln>
                  </pic:spPr>
                </pic:pic>
              </a:graphicData>
            </a:graphic>
          </wp:inline>
        </w:drawing>
      </w:r>
    </w:p>
    <w:p w14:paraId="6486FF4D" w14:textId="77777777" w:rsidR="0076295E" w:rsidRDefault="0076295E" w:rsidP="0076295E">
      <w:pPr>
        <w:adjustRightInd w:val="0"/>
        <w:snapToGrid w:val="0"/>
        <w:spacing w:line="480" w:lineRule="auto"/>
        <w:rPr>
          <w:rFonts w:cs="Times New Roman"/>
          <w:sz w:val="24"/>
          <w:szCs w:val="24"/>
        </w:rPr>
      </w:pPr>
      <w:r w:rsidRPr="00AE3BBA">
        <w:rPr>
          <w:rFonts w:cs="Times New Roman"/>
          <w:b/>
          <w:bCs/>
          <w:sz w:val="24"/>
          <w:szCs w:val="24"/>
        </w:rPr>
        <w:lastRenderedPageBreak/>
        <w:t xml:space="preserve">Supplementary Figure S2. </w:t>
      </w:r>
      <w:r w:rsidRPr="00AE3BBA">
        <w:rPr>
          <w:rFonts w:cs="Times New Roman"/>
          <w:sz w:val="24"/>
          <w:szCs w:val="24"/>
        </w:rPr>
        <w:t>(A)</w:t>
      </w:r>
      <w:r w:rsidRPr="00AE3BBA">
        <w:rPr>
          <w:rFonts w:cs="Times New Roman"/>
          <w:b/>
          <w:bCs/>
          <w:sz w:val="24"/>
          <w:szCs w:val="24"/>
        </w:rPr>
        <w:t xml:space="preserve"> </w:t>
      </w:r>
      <w:r w:rsidRPr="00AE3BBA">
        <w:rPr>
          <w:rFonts w:cs="Times New Roman"/>
          <w:bCs/>
          <w:sz w:val="24"/>
          <w:szCs w:val="24"/>
        </w:rPr>
        <w:t xml:space="preserve">Top ten institutions by article count and rank. </w:t>
      </w:r>
      <w:r w:rsidRPr="00AE3BBA">
        <w:rPr>
          <w:rFonts w:cs="Times New Roman"/>
          <w:sz w:val="24"/>
          <w:szCs w:val="24"/>
        </w:rPr>
        <w:t>Circle size shows article count. Darker shades indicate higher ranks.</w:t>
      </w:r>
      <w:r w:rsidRPr="00AE3BBA">
        <w:rPr>
          <w:rFonts w:cs="Times New Roman"/>
          <w:bCs/>
          <w:sz w:val="24"/>
          <w:szCs w:val="24"/>
        </w:rPr>
        <w:t xml:space="preserve"> (B) Visualization map depicting the collaboration among different institutions.</w:t>
      </w:r>
      <w:r w:rsidRPr="00AE3BBA">
        <w:rPr>
          <w:rFonts w:cs="Times New Roman"/>
          <w:sz w:val="24"/>
          <w:szCs w:val="24"/>
        </w:rPr>
        <w:t xml:space="preserve"> Nodes represent institutions, with size indicating publication count. Links represent co-authorships, with thickness showing collaboration strength. Colors indicate different research clusters. Total link strength in collaboration networks measures the frequency of co-authorship between institutions, indicating the level of collaborative research.</w:t>
      </w:r>
    </w:p>
    <w:p w14:paraId="4DCB075D" w14:textId="77777777" w:rsidR="00555471" w:rsidRDefault="00555471" w:rsidP="0076295E">
      <w:pPr>
        <w:adjustRightInd w:val="0"/>
        <w:snapToGrid w:val="0"/>
        <w:spacing w:line="480" w:lineRule="auto"/>
        <w:rPr>
          <w:rFonts w:cs="Times New Roman"/>
          <w:sz w:val="24"/>
          <w:szCs w:val="24"/>
        </w:rPr>
      </w:pPr>
    </w:p>
    <w:p w14:paraId="1EF033CF" w14:textId="77777777" w:rsidR="00555471" w:rsidRDefault="00555471" w:rsidP="0076295E">
      <w:pPr>
        <w:adjustRightInd w:val="0"/>
        <w:snapToGrid w:val="0"/>
        <w:spacing w:line="480" w:lineRule="auto"/>
        <w:rPr>
          <w:rFonts w:cs="Times New Roman"/>
          <w:sz w:val="24"/>
          <w:szCs w:val="24"/>
        </w:rPr>
      </w:pPr>
    </w:p>
    <w:p w14:paraId="266C37F1" w14:textId="77777777" w:rsidR="00555471" w:rsidRDefault="00555471" w:rsidP="0076295E">
      <w:pPr>
        <w:adjustRightInd w:val="0"/>
        <w:snapToGrid w:val="0"/>
        <w:spacing w:line="480" w:lineRule="auto"/>
        <w:rPr>
          <w:rFonts w:cs="Times New Roman"/>
          <w:sz w:val="24"/>
          <w:szCs w:val="24"/>
        </w:rPr>
      </w:pPr>
    </w:p>
    <w:p w14:paraId="58543F08" w14:textId="77777777" w:rsidR="00555471" w:rsidRDefault="00555471" w:rsidP="0076295E">
      <w:pPr>
        <w:adjustRightInd w:val="0"/>
        <w:snapToGrid w:val="0"/>
        <w:spacing w:line="480" w:lineRule="auto"/>
        <w:rPr>
          <w:rFonts w:cs="Times New Roman"/>
          <w:sz w:val="24"/>
          <w:szCs w:val="24"/>
        </w:rPr>
      </w:pPr>
    </w:p>
    <w:p w14:paraId="1619CCE7" w14:textId="77777777" w:rsidR="00555471" w:rsidRDefault="00555471" w:rsidP="0076295E">
      <w:pPr>
        <w:adjustRightInd w:val="0"/>
        <w:snapToGrid w:val="0"/>
        <w:spacing w:line="480" w:lineRule="auto"/>
        <w:rPr>
          <w:rFonts w:cs="Times New Roman"/>
          <w:sz w:val="24"/>
          <w:szCs w:val="24"/>
        </w:rPr>
      </w:pPr>
    </w:p>
    <w:p w14:paraId="1D7FB2B9" w14:textId="77777777" w:rsidR="00555471" w:rsidRDefault="00555471" w:rsidP="0076295E">
      <w:pPr>
        <w:adjustRightInd w:val="0"/>
        <w:snapToGrid w:val="0"/>
        <w:spacing w:line="480" w:lineRule="auto"/>
        <w:rPr>
          <w:rFonts w:cs="Times New Roman"/>
          <w:sz w:val="24"/>
          <w:szCs w:val="24"/>
        </w:rPr>
      </w:pPr>
    </w:p>
    <w:p w14:paraId="3B7BD058" w14:textId="77777777" w:rsidR="00555471" w:rsidRDefault="00555471" w:rsidP="0076295E">
      <w:pPr>
        <w:adjustRightInd w:val="0"/>
        <w:snapToGrid w:val="0"/>
        <w:spacing w:line="480" w:lineRule="auto"/>
        <w:rPr>
          <w:rFonts w:cs="Times New Roman"/>
          <w:sz w:val="24"/>
          <w:szCs w:val="24"/>
        </w:rPr>
      </w:pPr>
    </w:p>
    <w:p w14:paraId="1C253E3D" w14:textId="77777777" w:rsidR="00555471" w:rsidRDefault="00555471" w:rsidP="0076295E">
      <w:pPr>
        <w:adjustRightInd w:val="0"/>
        <w:snapToGrid w:val="0"/>
        <w:spacing w:line="480" w:lineRule="auto"/>
        <w:rPr>
          <w:rFonts w:cs="Times New Roman"/>
          <w:sz w:val="24"/>
          <w:szCs w:val="24"/>
        </w:rPr>
      </w:pPr>
    </w:p>
    <w:p w14:paraId="0B6677DB" w14:textId="77777777" w:rsidR="00555471" w:rsidRDefault="00555471" w:rsidP="0076295E">
      <w:pPr>
        <w:adjustRightInd w:val="0"/>
        <w:snapToGrid w:val="0"/>
        <w:spacing w:line="480" w:lineRule="auto"/>
        <w:rPr>
          <w:rFonts w:cs="Times New Roman"/>
          <w:sz w:val="24"/>
          <w:szCs w:val="24"/>
        </w:rPr>
      </w:pPr>
    </w:p>
    <w:p w14:paraId="1CBB40EE" w14:textId="77777777" w:rsidR="00555471" w:rsidRDefault="00555471" w:rsidP="0076295E">
      <w:pPr>
        <w:adjustRightInd w:val="0"/>
        <w:snapToGrid w:val="0"/>
        <w:spacing w:line="480" w:lineRule="auto"/>
        <w:rPr>
          <w:rFonts w:cs="Times New Roman"/>
          <w:sz w:val="24"/>
          <w:szCs w:val="24"/>
        </w:rPr>
      </w:pPr>
    </w:p>
    <w:p w14:paraId="3845C14E" w14:textId="0FB1A759" w:rsidR="00555471" w:rsidRPr="00AE3BBA" w:rsidRDefault="00555471" w:rsidP="0076295E">
      <w:pPr>
        <w:adjustRightInd w:val="0"/>
        <w:snapToGrid w:val="0"/>
        <w:spacing w:line="480" w:lineRule="auto"/>
        <w:rPr>
          <w:rFonts w:cs="Times New Roman"/>
          <w:sz w:val="24"/>
          <w:szCs w:val="24"/>
        </w:rPr>
      </w:pPr>
      <w:r>
        <w:rPr>
          <w:rFonts w:cs="Times New Roman"/>
          <w:noProof/>
          <w:sz w:val="24"/>
          <w:szCs w:val="24"/>
        </w:rPr>
        <w:lastRenderedPageBreak/>
        <w:drawing>
          <wp:inline distT="0" distB="0" distL="0" distR="0" wp14:anchorId="14DED020" wp14:editId="4B8C03A4">
            <wp:extent cx="3819525" cy="5267325"/>
            <wp:effectExtent l="0" t="0" r="9525" b="9525"/>
            <wp:docPr id="1225427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9525" cy="5267325"/>
                    </a:xfrm>
                    <a:prstGeom prst="rect">
                      <a:avLst/>
                    </a:prstGeom>
                    <a:noFill/>
                    <a:ln>
                      <a:noFill/>
                    </a:ln>
                  </pic:spPr>
                </pic:pic>
              </a:graphicData>
            </a:graphic>
          </wp:inline>
        </w:drawing>
      </w:r>
    </w:p>
    <w:p w14:paraId="29FD1CFE" w14:textId="77777777" w:rsidR="0076295E" w:rsidRDefault="0076295E" w:rsidP="0076295E">
      <w:pPr>
        <w:adjustRightInd w:val="0"/>
        <w:snapToGrid w:val="0"/>
        <w:spacing w:line="480" w:lineRule="auto"/>
        <w:rPr>
          <w:rFonts w:cs="Times New Roman"/>
          <w:sz w:val="24"/>
          <w:szCs w:val="24"/>
        </w:rPr>
      </w:pPr>
      <w:r w:rsidRPr="00AE3BBA">
        <w:rPr>
          <w:rFonts w:cs="Times New Roman"/>
          <w:b/>
          <w:bCs/>
          <w:sz w:val="24"/>
          <w:szCs w:val="24"/>
        </w:rPr>
        <w:lastRenderedPageBreak/>
        <w:t xml:space="preserve">Supplementary Figure S3. </w:t>
      </w:r>
      <w:r w:rsidRPr="00AE3BBA">
        <w:rPr>
          <w:rFonts w:cs="Times New Roman"/>
          <w:sz w:val="24"/>
          <w:szCs w:val="24"/>
        </w:rPr>
        <w:t>(A) Co-occurrence Networks: Journal Link Strength in co-occurrence networks measures the frequency with which two journals are cited together within the same articles or references. This metric reflects how often the publications from two different journals are associated in the bibliographies of scholarly articles. High link strength implies that the journals are often cited in tandem, indicating a thematic or topical connection between the research they publish. (B) Coupling Networks: Journal Link Strength in coupling networks assesses the extent to which journals are linked based on the common references cited in their articles. This metric captures the degree to which the research published in two different journals relies on the same body of prior work. A strong link strength in this context signifies that the journals share a substantial number of references, highlighting a shared intellectual foundation or research focus.</w:t>
      </w:r>
    </w:p>
    <w:p w14:paraId="66AF847F" w14:textId="77777777" w:rsidR="00555471" w:rsidRDefault="00555471" w:rsidP="0076295E">
      <w:pPr>
        <w:adjustRightInd w:val="0"/>
        <w:snapToGrid w:val="0"/>
        <w:spacing w:line="480" w:lineRule="auto"/>
        <w:rPr>
          <w:rFonts w:cs="Times New Roman"/>
          <w:sz w:val="24"/>
          <w:szCs w:val="24"/>
        </w:rPr>
      </w:pPr>
    </w:p>
    <w:p w14:paraId="63C2AEB8" w14:textId="77777777" w:rsidR="00555471" w:rsidRDefault="00555471" w:rsidP="0076295E">
      <w:pPr>
        <w:adjustRightInd w:val="0"/>
        <w:snapToGrid w:val="0"/>
        <w:spacing w:line="480" w:lineRule="auto"/>
        <w:rPr>
          <w:rFonts w:cs="Times New Roman"/>
          <w:sz w:val="24"/>
          <w:szCs w:val="24"/>
        </w:rPr>
      </w:pPr>
    </w:p>
    <w:p w14:paraId="5D847353" w14:textId="77777777" w:rsidR="00555471" w:rsidRDefault="00555471" w:rsidP="0076295E">
      <w:pPr>
        <w:adjustRightInd w:val="0"/>
        <w:snapToGrid w:val="0"/>
        <w:spacing w:line="480" w:lineRule="auto"/>
        <w:rPr>
          <w:rFonts w:cs="Times New Roman"/>
          <w:sz w:val="24"/>
          <w:szCs w:val="24"/>
        </w:rPr>
      </w:pPr>
    </w:p>
    <w:p w14:paraId="3A200F49" w14:textId="77777777" w:rsidR="00555471" w:rsidRDefault="00555471" w:rsidP="0076295E">
      <w:pPr>
        <w:adjustRightInd w:val="0"/>
        <w:snapToGrid w:val="0"/>
        <w:spacing w:line="480" w:lineRule="auto"/>
        <w:rPr>
          <w:rFonts w:cs="Times New Roman"/>
          <w:sz w:val="24"/>
          <w:szCs w:val="24"/>
        </w:rPr>
      </w:pPr>
    </w:p>
    <w:p w14:paraId="7B1EF6E6" w14:textId="77777777" w:rsidR="00555471" w:rsidRDefault="00555471" w:rsidP="0076295E">
      <w:pPr>
        <w:adjustRightInd w:val="0"/>
        <w:snapToGrid w:val="0"/>
        <w:spacing w:line="480" w:lineRule="auto"/>
        <w:rPr>
          <w:rFonts w:cs="Times New Roman"/>
          <w:sz w:val="24"/>
          <w:szCs w:val="24"/>
        </w:rPr>
      </w:pPr>
    </w:p>
    <w:p w14:paraId="182D4328" w14:textId="77777777" w:rsidR="00555471" w:rsidRDefault="00555471" w:rsidP="0076295E">
      <w:pPr>
        <w:adjustRightInd w:val="0"/>
        <w:snapToGrid w:val="0"/>
        <w:spacing w:line="480" w:lineRule="auto"/>
        <w:rPr>
          <w:rFonts w:cs="Times New Roman"/>
          <w:sz w:val="24"/>
          <w:szCs w:val="24"/>
        </w:rPr>
      </w:pPr>
    </w:p>
    <w:p w14:paraId="1CDF4566" w14:textId="70E1CC39" w:rsidR="00555471" w:rsidRPr="00AE3BBA" w:rsidRDefault="00555471" w:rsidP="0076295E">
      <w:pPr>
        <w:adjustRightInd w:val="0"/>
        <w:snapToGrid w:val="0"/>
        <w:spacing w:line="480" w:lineRule="auto"/>
        <w:rPr>
          <w:rFonts w:cs="Times New Roman"/>
          <w:sz w:val="24"/>
          <w:szCs w:val="24"/>
        </w:rPr>
      </w:pPr>
      <w:r>
        <w:rPr>
          <w:rFonts w:cs="Times New Roman"/>
          <w:noProof/>
          <w:sz w:val="24"/>
          <w:szCs w:val="24"/>
        </w:rPr>
        <w:lastRenderedPageBreak/>
        <w:drawing>
          <wp:inline distT="0" distB="0" distL="0" distR="0" wp14:anchorId="41E138F3" wp14:editId="067EDA5E">
            <wp:extent cx="6124575" cy="4229100"/>
            <wp:effectExtent l="0" t="0" r="9525" b="0"/>
            <wp:docPr id="1553569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4575" cy="4229100"/>
                    </a:xfrm>
                    <a:prstGeom prst="rect">
                      <a:avLst/>
                    </a:prstGeom>
                    <a:noFill/>
                    <a:ln>
                      <a:noFill/>
                    </a:ln>
                  </pic:spPr>
                </pic:pic>
              </a:graphicData>
            </a:graphic>
          </wp:inline>
        </w:drawing>
      </w:r>
    </w:p>
    <w:p w14:paraId="6E4E04F4" w14:textId="77777777" w:rsidR="0076295E" w:rsidRPr="00AE3BBA" w:rsidRDefault="0076295E" w:rsidP="0076295E">
      <w:pPr>
        <w:adjustRightInd w:val="0"/>
        <w:snapToGrid w:val="0"/>
        <w:spacing w:line="480" w:lineRule="auto"/>
        <w:rPr>
          <w:rFonts w:cs="Times New Roman"/>
          <w:sz w:val="24"/>
          <w:szCs w:val="24"/>
        </w:rPr>
      </w:pPr>
      <w:r w:rsidRPr="00AE3BBA">
        <w:rPr>
          <w:rFonts w:cs="Times New Roman"/>
          <w:b/>
          <w:bCs/>
          <w:sz w:val="24"/>
          <w:szCs w:val="24"/>
        </w:rPr>
        <w:lastRenderedPageBreak/>
        <w:t xml:space="preserve">Supplementary Figure S4. </w:t>
      </w:r>
      <w:r w:rsidRPr="00AE3BBA">
        <w:rPr>
          <w:rFonts w:cs="Times New Roman"/>
          <w:bCs/>
          <w:sz w:val="24"/>
          <w:szCs w:val="24"/>
        </w:rPr>
        <w:t>Visualization map depicting the collaboration among different authors.</w:t>
      </w:r>
      <w:r w:rsidRPr="00AE3BBA">
        <w:rPr>
          <w:rFonts w:cs="Times New Roman"/>
          <w:sz w:val="24"/>
          <w:szCs w:val="24"/>
        </w:rPr>
        <w:t xml:space="preserve"> Nodes represent authors, with size indicating publication count. Links represent co-authorships, with thickness showing collaboration strength. Colors indicate different research clusters. Total link strength in collaboration networks measures the frequency of co-authorship between authors, indicating the level of collaborative research.</w:t>
      </w:r>
    </w:p>
    <w:p w14:paraId="4220E5D3" w14:textId="77777777" w:rsidR="0076295E" w:rsidRPr="00AE3BBA" w:rsidRDefault="0076295E" w:rsidP="0076295E">
      <w:pPr>
        <w:adjustRightInd w:val="0"/>
        <w:snapToGrid w:val="0"/>
        <w:spacing w:line="480" w:lineRule="auto"/>
        <w:rPr>
          <w:rFonts w:cs="Times New Roman"/>
          <w:sz w:val="24"/>
          <w:szCs w:val="24"/>
        </w:rPr>
      </w:pPr>
    </w:p>
    <w:p w14:paraId="031D99C3" w14:textId="77777777" w:rsidR="0076295E" w:rsidRPr="00AE3BBA" w:rsidRDefault="0076295E" w:rsidP="0076295E">
      <w:pPr>
        <w:adjustRightInd w:val="0"/>
        <w:snapToGrid w:val="0"/>
        <w:spacing w:line="480" w:lineRule="auto"/>
        <w:rPr>
          <w:rFonts w:cs="Times New Roman"/>
          <w:b/>
          <w:bCs/>
          <w:sz w:val="24"/>
          <w:szCs w:val="24"/>
        </w:rPr>
      </w:pPr>
      <w:r w:rsidRPr="00AE3BBA">
        <w:rPr>
          <w:rFonts w:cs="Times New Roman"/>
          <w:b/>
          <w:bCs/>
          <w:sz w:val="24"/>
          <w:szCs w:val="24"/>
        </w:rPr>
        <w:br w:type="page"/>
      </w:r>
    </w:p>
    <w:p w14:paraId="21A0739B" w14:textId="77777777" w:rsidR="0076295E" w:rsidRPr="00AE3BBA" w:rsidRDefault="0076295E" w:rsidP="0076295E">
      <w:pPr>
        <w:adjustRightInd w:val="0"/>
        <w:snapToGrid w:val="0"/>
        <w:spacing w:line="480" w:lineRule="auto"/>
        <w:rPr>
          <w:rFonts w:cs="Times New Roman"/>
          <w:b/>
          <w:bCs/>
          <w:sz w:val="24"/>
          <w:szCs w:val="24"/>
        </w:rPr>
      </w:pPr>
      <w:r w:rsidRPr="00AE3BBA">
        <w:rPr>
          <w:rFonts w:cs="Times New Roman"/>
          <w:b/>
          <w:bCs/>
          <w:sz w:val="24"/>
          <w:szCs w:val="24"/>
        </w:rPr>
        <w:lastRenderedPageBreak/>
        <w:t>Supplementary Table S1. Summary of Current Rosacea Treatments and Their Mechanisms</w:t>
      </w:r>
    </w:p>
    <w:tbl>
      <w:tblPr>
        <w:tblStyle w:val="TableGrid"/>
        <w:tblW w:w="13526" w:type="dxa"/>
        <w:tblBorders>
          <w:left w:val="none" w:sz="0" w:space="0" w:color="auto"/>
          <w:right w:val="none" w:sz="0" w:space="0" w:color="auto"/>
          <w:insideV w:val="none" w:sz="0" w:space="0" w:color="auto"/>
        </w:tblBorders>
        <w:tblLook w:val="04A0" w:firstRow="1" w:lastRow="0" w:firstColumn="1" w:lastColumn="0" w:noHBand="0" w:noVBand="1"/>
      </w:tblPr>
      <w:tblGrid>
        <w:gridCol w:w="2111"/>
        <w:gridCol w:w="3588"/>
        <w:gridCol w:w="4643"/>
        <w:gridCol w:w="3184"/>
      </w:tblGrid>
      <w:tr w:rsidR="0076295E" w:rsidRPr="00AE3BBA" w14:paraId="07638371" w14:textId="77777777" w:rsidTr="00CD3FED">
        <w:tc>
          <w:tcPr>
            <w:tcW w:w="2111" w:type="dxa"/>
            <w:vAlign w:val="center"/>
          </w:tcPr>
          <w:p w14:paraId="237FC9C5" w14:textId="77777777" w:rsidR="0076295E" w:rsidRPr="00AE3BBA" w:rsidRDefault="0076295E" w:rsidP="00CD3FED">
            <w:pPr>
              <w:widowControl/>
              <w:adjustRightInd w:val="0"/>
              <w:snapToGrid w:val="0"/>
              <w:spacing w:line="480" w:lineRule="auto"/>
              <w:rPr>
                <w:b/>
                <w:bCs/>
                <w:sz w:val="24"/>
                <w:szCs w:val="24"/>
              </w:rPr>
            </w:pPr>
            <w:r w:rsidRPr="00AE3BBA">
              <w:rPr>
                <w:b/>
                <w:bCs/>
                <w:sz w:val="24"/>
                <w:szCs w:val="24"/>
                <w:lang w:bidi="ar"/>
              </w:rPr>
              <w:t>Treatment / Modality</w:t>
            </w:r>
          </w:p>
        </w:tc>
        <w:tc>
          <w:tcPr>
            <w:tcW w:w="3588" w:type="dxa"/>
            <w:vAlign w:val="center"/>
          </w:tcPr>
          <w:p w14:paraId="786C477B" w14:textId="77777777" w:rsidR="0076295E" w:rsidRPr="00AE3BBA" w:rsidRDefault="0076295E" w:rsidP="00CD3FED">
            <w:pPr>
              <w:widowControl/>
              <w:adjustRightInd w:val="0"/>
              <w:snapToGrid w:val="0"/>
              <w:spacing w:line="480" w:lineRule="auto"/>
              <w:rPr>
                <w:b/>
                <w:bCs/>
                <w:sz w:val="24"/>
                <w:szCs w:val="24"/>
              </w:rPr>
            </w:pPr>
            <w:r w:rsidRPr="00AE3BBA">
              <w:rPr>
                <w:b/>
                <w:bCs/>
                <w:sz w:val="24"/>
                <w:szCs w:val="24"/>
                <w:lang w:bidi="ar"/>
              </w:rPr>
              <w:t>Keyword Source</w:t>
            </w:r>
          </w:p>
        </w:tc>
        <w:tc>
          <w:tcPr>
            <w:tcW w:w="4643" w:type="dxa"/>
            <w:vAlign w:val="center"/>
          </w:tcPr>
          <w:p w14:paraId="6CFF2D5F" w14:textId="77777777" w:rsidR="0076295E" w:rsidRPr="00AE3BBA" w:rsidRDefault="0076295E" w:rsidP="00CD3FED">
            <w:pPr>
              <w:widowControl/>
              <w:adjustRightInd w:val="0"/>
              <w:snapToGrid w:val="0"/>
              <w:spacing w:line="480" w:lineRule="auto"/>
              <w:rPr>
                <w:b/>
                <w:bCs/>
                <w:sz w:val="24"/>
                <w:szCs w:val="24"/>
              </w:rPr>
            </w:pPr>
            <w:r w:rsidRPr="00AE3BBA">
              <w:rPr>
                <w:b/>
                <w:bCs/>
                <w:sz w:val="24"/>
                <w:szCs w:val="24"/>
                <w:lang w:bidi="ar"/>
              </w:rPr>
              <w:t>Mechanism / Target</w:t>
            </w:r>
          </w:p>
        </w:tc>
        <w:tc>
          <w:tcPr>
            <w:tcW w:w="3184" w:type="dxa"/>
            <w:vAlign w:val="center"/>
          </w:tcPr>
          <w:p w14:paraId="147C80BD" w14:textId="77777777" w:rsidR="0076295E" w:rsidRPr="00AE3BBA" w:rsidRDefault="0076295E" w:rsidP="00CD3FED">
            <w:pPr>
              <w:widowControl/>
              <w:adjustRightInd w:val="0"/>
              <w:snapToGrid w:val="0"/>
              <w:spacing w:line="480" w:lineRule="auto"/>
              <w:rPr>
                <w:b/>
                <w:bCs/>
                <w:sz w:val="24"/>
                <w:szCs w:val="24"/>
              </w:rPr>
            </w:pPr>
            <w:r w:rsidRPr="00AE3BBA">
              <w:rPr>
                <w:b/>
                <w:bCs/>
                <w:sz w:val="24"/>
                <w:szCs w:val="24"/>
                <w:lang w:bidi="ar"/>
              </w:rPr>
              <w:t>Clinical Notes</w:t>
            </w:r>
          </w:p>
        </w:tc>
      </w:tr>
      <w:tr w:rsidR="0076295E" w:rsidRPr="00AE3BBA" w14:paraId="2B696EDA" w14:textId="77777777" w:rsidTr="00CD3FED">
        <w:tc>
          <w:tcPr>
            <w:tcW w:w="2111" w:type="dxa"/>
            <w:tcBorders>
              <w:bottom w:val="nil"/>
            </w:tcBorders>
            <w:vAlign w:val="center"/>
          </w:tcPr>
          <w:p w14:paraId="0FB6430C" w14:textId="77777777" w:rsidR="0076295E" w:rsidRPr="00AE3BBA" w:rsidRDefault="0076295E" w:rsidP="00CD3FED">
            <w:pPr>
              <w:widowControl/>
              <w:adjustRightInd w:val="0"/>
              <w:snapToGrid w:val="0"/>
              <w:spacing w:line="480" w:lineRule="auto"/>
              <w:rPr>
                <w:sz w:val="24"/>
                <w:szCs w:val="24"/>
              </w:rPr>
            </w:pPr>
            <w:r w:rsidRPr="00AE3BBA">
              <w:rPr>
                <w:rStyle w:val="Strong"/>
                <w:sz w:val="24"/>
                <w:szCs w:val="24"/>
                <w:lang w:bidi="ar"/>
              </w:rPr>
              <w:t>Ivermectin</w:t>
            </w:r>
          </w:p>
        </w:tc>
        <w:tc>
          <w:tcPr>
            <w:tcW w:w="3588" w:type="dxa"/>
            <w:tcBorders>
              <w:bottom w:val="nil"/>
            </w:tcBorders>
            <w:vAlign w:val="center"/>
          </w:tcPr>
          <w:p w14:paraId="5E36D14A"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“ivermectin”, Cluster 1</w:t>
            </w:r>
          </w:p>
        </w:tc>
        <w:tc>
          <w:tcPr>
            <w:tcW w:w="4643" w:type="dxa"/>
            <w:tcBorders>
              <w:bottom w:val="nil"/>
            </w:tcBorders>
            <w:vAlign w:val="center"/>
          </w:tcPr>
          <w:p w14:paraId="7807EAFB"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Anti-inflammatory; anti-</w:t>
            </w:r>
            <w:r w:rsidRPr="00AE3BBA">
              <w:rPr>
                <w:rStyle w:val="Emphasis"/>
                <w:sz w:val="24"/>
                <w:szCs w:val="24"/>
                <w:lang w:bidi="ar"/>
              </w:rPr>
              <w:t>Demodex</w:t>
            </w:r>
            <w:r w:rsidRPr="00AE3BBA">
              <w:rPr>
                <w:sz w:val="24"/>
                <w:szCs w:val="24"/>
                <w:lang w:bidi="ar"/>
              </w:rPr>
              <w:t xml:space="preserve"> effects</w:t>
            </w:r>
          </w:p>
        </w:tc>
        <w:tc>
          <w:tcPr>
            <w:tcW w:w="3184" w:type="dxa"/>
            <w:tcBorders>
              <w:bottom w:val="nil"/>
            </w:tcBorders>
            <w:vAlign w:val="center"/>
          </w:tcPr>
          <w:p w14:paraId="62CE9CFD"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Effective for papulopustular lesions</w:t>
            </w:r>
          </w:p>
        </w:tc>
      </w:tr>
      <w:tr w:rsidR="0076295E" w:rsidRPr="00AE3BBA" w14:paraId="4BBE46E1" w14:textId="77777777" w:rsidTr="00CD3FED">
        <w:tc>
          <w:tcPr>
            <w:tcW w:w="2111" w:type="dxa"/>
            <w:tcBorders>
              <w:top w:val="nil"/>
              <w:bottom w:val="nil"/>
            </w:tcBorders>
            <w:vAlign w:val="center"/>
          </w:tcPr>
          <w:p w14:paraId="06CE6BFA" w14:textId="77777777" w:rsidR="0076295E" w:rsidRPr="00AE3BBA" w:rsidRDefault="0076295E" w:rsidP="00CD3FED">
            <w:pPr>
              <w:widowControl/>
              <w:adjustRightInd w:val="0"/>
              <w:snapToGrid w:val="0"/>
              <w:spacing w:line="480" w:lineRule="auto"/>
              <w:rPr>
                <w:sz w:val="24"/>
                <w:szCs w:val="24"/>
              </w:rPr>
            </w:pPr>
            <w:r w:rsidRPr="00AE3BBA">
              <w:rPr>
                <w:rStyle w:val="Strong"/>
                <w:sz w:val="24"/>
                <w:szCs w:val="24"/>
                <w:lang w:bidi="ar"/>
              </w:rPr>
              <w:t>Metronidazole</w:t>
            </w:r>
          </w:p>
        </w:tc>
        <w:tc>
          <w:tcPr>
            <w:tcW w:w="3588" w:type="dxa"/>
            <w:tcBorders>
              <w:top w:val="nil"/>
              <w:bottom w:val="nil"/>
            </w:tcBorders>
            <w:vAlign w:val="center"/>
          </w:tcPr>
          <w:p w14:paraId="381113F0"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“metronidazole”, Cluster 1</w:t>
            </w:r>
          </w:p>
        </w:tc>
        <w:tc>
          <w:tcPr>
            <w:tcW w:w="4643" w:type="dxa"/>
            <w:tcBorders>
              <w:top w:val="nil"/>
              <w:bottom w:val="nil"/>
            </w:tcBorders>
            <w:vAlign w:val="center"/>
          </w:tcPr>
          <w:p w14:paraId="0236A7EC"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Antioxidant and anti-inflammatory</w:t>
            </w:r>
          </w:p>
        </w:tc>
        <w:tc>
          <w:tcPr>
            <w:tcW w:w="3184" w:type="dxa"/>
            <w:tcBorders>
              <w:top w:val="nil"/>
              <w:bottom w:val="nil"/>
            </w:tcBorders>
            <w:vAlign w:val="center"/>
          </w:tcPr>
          <w:p w14:paraId="05D4B206"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Long-standing topical therapy</w:t>
            </w:r>
          </w:p>
        </w:tc>
      </w:tr>
      <w:tr w:rsidR="0076295E" w:rsidRPr="00AE3BBA" w14:paraId="245EC1CD" w14:textId="77777777" w:rsidTr="00CD3FED">
        <w:tc>
          <w:tcPr>
            <w:tcW w:w="2111" w:type="dxa"/>
            <w:tcBorders>
              <w:top w:val="nil"/>
              <w:bottom w:val="nil"/>
            </w:tcBorders>
            <w:vAlign w:val="center"/>
          </w:tcPr>
          <w:p w14:paraId="5DB20722" w14:textId="77777777" w:rsidR="0076295E" w:rsidRPr="00AE3BBA" w:rsidRDefault="0076295E" w:rsidP="00CD3FED">
            <w:pPr>
              <w:widowControl/>
              <w:adjustRightInd w:val="0"/>
              <w:snapToGrid w:val="0"/>
              <w:spacing w:line="480" w:lineRule="auto"/>
              <w:rPr>
                <w:sz w:val="24"/>
                <w:szCs w:val="24"/>
              </w:rPr>
            </w:pPr>
            <w:r w:rsidRPr="00AE3BBA">
              <w:rPr>
                <w:rStyle w:val="Strong"/>
                <w:sz w:val="24"/>
                <w:szCs w:val="24"/>
                <w:lang w:bidi="ar"/>
              </w:rPr>
              <w:t>Doxycycline (sub-antimicrobial dose)</w:t>
            </w:r>
          </w:p>
        </w:tc>
        <w:tc>
          <w:tcPr>
            <w:tcW w:w="3588" w:type="dxa"/>
            <w:tcBorders>
              <w:top w:val="nil"/>
              <w:bottom w:val="nil"/>
            </w:tcBorders>
            <w:vAlign w:val="center"/>
          </w:tcPr>
          <w:p w14:paraId="11C8995E"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“doxycycline”, Cluster 1</w:t>
            </w:r>
          </w:p>
        </w:tc>
        <w:tc>
          <w:tcPr>
            <w:tcW w:w="4643" w:type="dxa"/>
            <w:tcBorders>
              <w:top w:val="nil"/>
              <w:bottom w:val="nil"/>
            </w:tcBorders>
            <w:vAlign w:val="center"/>
          </w:tcPr>
          <w:p w14:paraId="57B061D8"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Inhibits inflammatory mediators (MMPs, cytokines)</w:t>
            </w:r>
          </w:p>
        </w:tc>
        <w:tc>
          <w:tcPr>
            <w:tcW w:w="3184" w:type="dxa"/>
            <w:tcBorders>
              <w:top w:val="nil"/>
              <w:bottom w:val="nil"/>
            </w:tcBorders>
            <w:vAlign w:val="center"/>
          </w:tcPr>
          <w:p w14:paraId="24A68C3D"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Reduces inflammatory lesions</w:t>
            </w:r>
          </w:p>
        </w:tc>
      </w:tr>
      <w:tr w:rsidR="0076295E" w:rsidRPr="00AE3BBA" w14:paraId="04403C19" w14:textId="77777777" w:rsidTr="00CD3FED">
        <w:tc>
          <w:tcPr>
            <w:tcW w:w="2111" w:type="dxa"/>
            <w:tcBorders>
              <w:top w:val="nil"/>
              <w:bottom w:val="nil"/>
            </w:tcBorders>
            <w:vAlign w:val="center"/>
          </w:tcPr>
          <w:p w14:paraId="623D8D71" w14:textId="77777777" w:rsidR="0076295E" w:rsidRPr="00AE3BBA" w:rsidRDefault="0076295E" w:rsidP="00CD3FED">
            <w:pPr>
              <w:widowControl/>
              <w:adjustRightInd w:val="0"/>
              <w:snapToGrid w:val="0"/>
              <w:spacing w:line="480" w:lineRule="auto"/>
              <w:rPr>
                <w:sz w:val="24"/>
                <w:szCs w:val="24"/>
              </w:rPr>
            </w:pPr>
            <w:r w:rsidRPr="00AE3BBA">
              <w:rPr>
                <w:rStyle w:val="Strong"/>
                <w:sz w:val="24"/>
                <w:szCs w:val="24"/>
                <w:lang w:bidi="ar"/>
              </w:rPr>
              <w:t>Azelaic acid</w:t>
            </w:r>
          </w:p>
        </w:tc>
        <w:tc>
          <w:tcPr>
            <w:tcW w:w="3588" w:type="dxa"/>
            <w:tcBorders>
              <w:top w:val="nil"/>
              <w:bottom w:val="nil"/>
            </w:tcBorders>
            <w:vAlign w:val="center"/>
          </w:tcPr>
          <w:p w14:paraId="6E681C30"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“azelaic acid”, Cluster 1</w:t>
            </w:r>
          </w:p>
        </w:tc>
        <w:tc>
          <w:tcPr>
            <w:tcW w:w="4643" w:type="dxa"/>
            <w:tcBorders>
              <w:top w:val="nil"/>
              <w:bottom w:val="nil"/>
            </w:tcBorders>
            <w:vAlign w:val="center"/>
          </w:tcPr>
          <w:p w14:paraId="2B0E4C1C"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Reduces ROS; modulates keratinocytes</w:t>
            </w:r>
          </w:p>
        </w:tc>
        <w:tc>
          <w:tcPr>
            <w:tcW w:w="3184" w:type="dxa"/>
            <w:tcBorders>
              <w:top w:val="nil"/>
              <w:bottom w:val="nil"/>
            </w:tcBorders>
            <w:vAlign w:val="center"/>
          </w:tcPr>
          <w:p w14:paraId="5E8A8C96"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Strong evidence from RCTs</w:t>
            </w:r>
          </w:p>
        </w:tc>
      </w:tr>
      <w:tr w:rsidR="0076295E" w:rsidRPr="00AE3BBA" w14:paraId="45C42802" w14:textId="77777777" w:rsidTr="00CD3FED">
        <w:tc>
          <w:tcPr>
            <w:tcW w:w="2111" w:type="dxa"/>
            <w:tcBorders>
              <w:top w:val="nil"/>
              <w:bottom w:val="nil"/>
            </w:tcBorders>
            <w:vAlign w:val="center"/>
          </w:tcPr>
          <w:p w14:paraId="2F4E4A3F" w14:textId="77777777" w:rsidR="0076295E" w:rsidRPr="00AE3BBA" w:rsidRDefault="0076295E" w:rsidP="00CD3FED">
            <w:pPr>
              <w:widowControl/>
              <w:adjustRightInd w:val="0"/>
              <w:snapToGrid w:val="0"/>
              <w:spacing w:line="480" w:lineRule="auto"/>
              <w:rPr>
                <w:sz w:val="24"/>
                <w:szCs w:val="24"/>
              </w:rPr>
            </w:pPr>
            <w:r w:rsidRPr="00AE3BBA">
              <w:rPr>
                <w:rStyle w:val="Strong"/>
                <w:sz w:val="24"/>
                <w:szCs w:val="24"/>
                <w:lang w:bidi="ar"/>
              </w:rPr>
              <w:t>Laser therapy (PDL, LP Nd:YAG)</w:t>
            </w:r>
          </w:p>
        </w:tc>
        <w:tc>
          <w:tcPr>
            <w:tcW w:w="3588" w:type="dxa"/>
            <w:tcBorders>
              <w:top w:val="nil"/>
              <w:bottom w:val="nil"/>
            </w:tcBorders>
            <w:vAlign w:val="center"/>
          </w:tcPr>
          <w:p w14:paraId="69833172"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“laser”, “dye-laser”, Cluster 5</w:t>
            </w:r>
          </w:p>
        </w:tc>
        <w:tc>
          <w:tcPr>
            <w:tcW w:w="4643" w:type="dxa"/>
            <w:tcBorders>
              <w:top w:val="nil"/>
              <w:bottom w:val="nil"/>
            </w:tcBorders>
            <w:vAlign w:val="center"/>
          </w:tcPr>
          <w:p w14:paraId="690CC518"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Targets abnormal vascular structures</w:t>
            </w:r>
          </w:p>
        </w:tc>
        <w:tc>
          <w:tcPr>
            <w:tcW w:w="3184" w:type="dxa"/>
            <w:tcBorders>
              <w:top w:val="nil"/>
              <w:bottom w:val="nil"/>
            </w:tcBorders>
            <w:vAlign w:val="center"/>
          </w:tcPr>
          <w:p w14:paraId="29F20C07"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Best for persistent erythema and telangiectasia</w:t>
            </w:r>
          </w:p>
        </w:tc>
      </w:tr>
      <w:tr w:rsidR="0076295E" w:rsidRPr="00AE3BBA" w14:paraId="08CD62AB" w14:textId="77777777" w:rsidTr="00CD3FED">
        <w:tc>
          <w:tcPr>
            <w:tcW w:w="2111" w:type="dxa"/>
            <w:tcBorders>
              <w:top w:val="nil"/>
              <w:bottom w:val="nil"/>
            </w:tcBorders>
            <w:vAlign w:val="center"/>
          </w:tcPr>
          <w:p w14:paraId="113FA8CD" w14:textId="77777777" w:rsidR="0076295E" w:rsidRPr="00AE3BBA" w:rsidRDefault="0076295E" w:rsidP="00CD3FED">
            <w:pPr>
              <w:widowControl/>
              <w:adjustRightInd w:val="0"/>
              <w:snapToGrid w:val="0"/>
              <w:spacing w:line="480" w:lineRule="auto"/>
              <w:rPr>
                <w:sz w:val="24"/>
                <w:szCs w:val="24"/>
              </w:rPr>
            </w:pPr>
            <w:r w:rsidRPr="00AE3BBA">
              <w:rPr>
                <w:rStyle w:val="Strong"/>
                <w:sz w:val="24"/>
                <w:szCs w:val="24"/>
                <w:lang w:bidi="ar"/>
              </w:rPr>
              <w:t>Intense pulsed light (IPL)</w:t>
            </w:r>
          </w:p>
        </w:tc>
        <w:tc>
          <w:tcPr>
            <w:tcW w:w="3588" w:type="dxa"/>
            <w:tcBorders>
              <w:top w:val="nil"/>
              <w:bottom w:val="nil"/>
            </w:tcBorders>
            <w:vAlign w:val="center"/>
          </w:tcPr>
          <w:p w14:paraId="523B6C4E"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“intense pulsed-light”, Cluster 5</w:t>
            </w:r>
          </w:p>
        </w:tc>
        <w:tc>
          <w:tcPr>
            <w:tcW w:w="4643" w:type="dxa"/>
            <w:tcBorders>
              <w:top w:val="nil"/>
              <w:bottom w:val="nil"/>
            </w:tcBorders>
            <w:vAlign w:val="center"/>
          </w:tcPr>
          <w:p w14:paraId="4CB6D024"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Selective photothermolysis of vasculature</w:t>
            </w:r>
          </w:p>
        </w:tc>
        <w:tc>
          <w:tcPr>
            <w:tcW w:w="3184" w:type="dxa"/>
            <w:tcBorders>
              <w:top w:val="nil"/>
              <w:bottom w:val="nil"/>
            </w:tcBorders>
            <w:vAlign w:val="center"/>
          </w:tcPr>
          <w:p w14:paraId="1C5BCCD2"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Improves erythema, telangiectasia, flushing</w:t>
            </w:r>
          </w:p>
        </w:tc>
      </w:tr>
      <w:tr w:rsidR="0076295E" w:rsidRPr="00AE3BBA" w14:paraId="56BB28DE" w14:textId="77777777" w:rsidTr="00CD3FED">
        <w:tc>
          <w:tcPr>
            <w:tcW w:w="2111" w:type="dxa"/>
            <w:tcBorders>
              <w:top w:val="nil"/>
              <w:bottom w:val="nil"/>
            </w:tcBorders>
            <w:vAlign w:val="center"/>
          </w:tcPr>
          <w:p w14:paraId="4A4EED72" w14:textId="77777777" w:rsidR="0076295E" w:rsidRPr="00AE3BBA" w:rsidRDefault="0076295E" w:rsidP="00CD3FED">
            <w:pPr>
              <w:widowControl/>
              <w:adjustRightInd w:val="0"/>
              <w:snapToGrid w:val="0"/>
              <w:spacing w:line="480" w:lineRule="auto"/>
              <w:rPr>
                <w:sz w:val="24"/>
                <w:szCs w:val="24"/>
              </w:rPr>
            </w:pPr>
            <w:r w:rsidRPr="00AE3BBA">
              <w:rPr>
                <w:rStyle w:val="Strong"/>
                <w:sz w:val="24"/>
                <w:szCs w:val="24"/>
                <w:lang w:bidi="ar"/>
              </w:rPr>
              <w:lastRenderedPageBreak/>
              <w:t>Carbon dioxide laser</w:t>
            </w:r>
          </w:p>
        </w:tc>
        <w:tc>
          <w:tcPr>
            <w:tcW w:w="3588" w:type="dxa"/>
            <w:tcBorders>
              <w:top w:val="nil"/>
              <w:bottom w:val="nil"/>
            </w:tcBorders>
            <w:vAlign w:val="center"/>
          </w:tcPr>
          <w:p w14:paraId="50F81883"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“carbon-dioxide laser”, Cluster 5</w:t>
            </w:r>
          </w:p>
        </w:tc>
        <w:tc>
          <w:tcPr>
            <w:tcW w:w="4643" w:type="dxa"/>
            <w:tcBorders>
              <w:top w:val="nil"/>
              <w:bottom w:val="nil"/>
            </w:tcBorders>
            <w:vAlign w:val="center"/>
          </w:tcPr>
          <w:p w14:paraId="58D13B38"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Ablative remodeling</w:t>
            </w:r>
          </w:p>
        </w:tc>
        <w:tc>
          <w:tcPr>
            <w:tcW w:w="3184" w:type="dxa"/>
            <w:tcBorders>
              <w:top w:val="nil"/>
              <w:bottom w:val="nil"/>
            </w:tcBorders>
            <w:vAlign w:val="center"/>
          </w:tcPr>
          <w:p w14:paraId="6DD9C72E"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Used selectively for phymatous changes</w:t>
            </w:r>
          </w:p>
        </w:tc>
      </w:tr>
      <w:tr w:rsidR="0076295E" w:rsidRPr="00AE3BBA" w14:paraId="0BFA4EC0" w14:textId="77777777" w:rsidTr="00CD3FED">
        <w:tc>
          <w:tcPr>
            <w:tcW w:w="2111" w:type="dxa"/>
            <w:tcBorders>
              <w:top w:val="nil"/>
              <w:bottom w:val="nil"/>
            </w:tcBorders>
            <w:vAlign w:val="center"/>
          </w:tcPr>
          <w:p w14:paraId="651BC1E9" w14:textId="77777777" w:rsidR="0076295E" w:rsidRPr="00AE3BBA" w:rsidRDefault="0076295E" w:rsidP="00CD3FED">
            <w:pPr>
              <w:widowControl/>
              <w:adjustRightInd w:val="0"/>
              <w:snapToGrid w:val="0"/>
              <w:spacing w:line="480" w:lineRule="auto"/>
              <w:rPr>
                <w:sz w:val="24"/>
                <w:szCs w:val="24"/>
              </w:rPr>
            </w:pPr>
            <w:r w:rsidRPr="00AE3BBA">
              <w:rPr>
                <w:rStyle w:val="Strong"/>
                <w:sz w:val="24"/>
                <w:szCs w:val="24"/>
                <w:lang w:bidi="ar"/>
              </w:rPr>
              <w:t>Topical therapy (general)</w:t>
            </w:r>
          </w:p>
        </w:tc>
        <w:tc>
          <w:tcPr>
            <w:tcW w:w="3588" w:type="dxa"/>
            <w:tcBorders>
              <w:top w:val="nil"/>
              <w:bottom w:val="nil"/>
            </w:tcBorders>
            <w:vAlign w:val="center"/>
          </w:tcPr>
          <w:p w14:paraId="74EAEBBF"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“topical treatment”, Cluster 1</w:t>
            </w:r>
          </w:p>
        </w:tc>
        <w:tc>
          <w:tcPr>
            <w:tcW w:w="4643" w:type="dxa"/>
            <w:tcBorders>
              <w:top w:val="nil"/>
              <w:bottom w:val="nil"/>
            </w:tcBorders>
            <w:vAlign w:val="center"/>
          </w:tcPr>
          <w:p w14:paraId="7362F200"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Depends on agent</w:t>
            </w:r>
          </w:p>
        </w:tc>
        <w:tc>
          <w:tcPr>
            <w:tcW w:w="3184" w:type="dxa"/>
            <w:tcBorders>
              <w:top w:val="nil"/>
              <w:bottom w:val="nil"/>
            </w:tcBorders>
            <w:vAlign w:val="center"/>
          </w:tcPr>
          <w:p w14:paraId="35EACE54"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Continues to be core first-line intervention</w:t>
            </w:r>
          </w:p>
        </w:tc>
      </w:tr>
      <w:tr w:rsidR="0076295E" w:rsidRPr="00AE3BBA" w14:paraId="595130C5" w14:textId="77777777" w:rsidTr="00CD3FED">
        <w:tc>
          <w:tcPr>
            <w:tcW w:w="2111" w:type="dxa"/>
            <w:tcBorders>
              <w:top w:val="nil"/>
            </w:tcBorders>
            <w:vAlign w:val="center"/>
          </w:tcPr>
          <w:p w14:paraId="1CABD440" w14:textId="77777777" w:rsidR="0076295E" w:rsidRPr="00AE3BBA" w:rsidRDefault="0076295E" w:rsidP="00CD3FED">
            <w:pPr>
              <w:widowControl/>
              <w:adjustRightInd w:val="0"/>
              <w:snapToGrid w:val="0"/>
              <w:spacing w:line="480" w:lineRule="auto"/>
              <w:rPr>
                <w:sz w:val="24"/>
                <w:szCs w:val="24"/>
              </w:rPr>
            </w:pPr>
            <w:r w:rsidRPr="00AE3BBA">
              <w:rPr>
                <w:rStyle w:val="Strong"/>
                <w:sz w:val="24"/>
                <w:szCs w:val="24"/>
                <w:lang w:bidi="ar"/>
              </w:rPr>
              <w:t>Clinical trial–driven agents</w:t>
            </w:r>
          </w:p>
        </w:tc>
        <w:tc>
          <w:tcPr>
            <w:tcW w:w="3588" w:type="dxa"/>
            <w:tcBorders>
              <w:top w:val="nil"/>
            </w:tcBorders>
            <w:vAlign w:val="center"/>
          </w:tcPr>
          <w:p w14:paraId="06FA4D15"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“clinical trial”, Cluster 1</w:t>
            </w:r>
          </w:p>
        </w:tc>
        <w:tc>
          <w:tcPr>
            <w:tcW w:w="4643" w:type="dxa"/>
            <w:tcBorders>
              <w:top w:val="nil"/>
            </w:tcBorders>
            <w:vAlign w:val="center"/>
          </w:tcPr>
          <w:p w14:paraId="4B6BCA16"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Evidence-based therapies</w:t>
            </w:r>
          </w:p>
        </w:tc>
        <w:tc>
          <w:tcPr>
            <w:tcW w:w="3184" w:type="dxa"/>
            <w:tcBorders>
              <w:top w:val="nil"/>
            </w:tcBorders>
            <w:vAlign w:val="center"/>
          </w:tcPr>
          <w:p w14:paraId="01349553" w14:textId="77777777" w:rsidR="0076295E" w:rsidRPr="00AE3BBA" w:rsidRDefault="0076295E" w:rsidP="00CD3FED">
            <w:pPr>
              <w:widowControl/>
              <w:adjustRightInd w:val="0"/>
              <w:snapToGrid w:val="0"/>
              <w:spacing w:line="480" w:lineRule="auto"/>
              <w:rPr>
                <w:sz w:val="24"/>
                <w:szCs w:val="24"/>
              </w:rPr>
            </w:pPr>
            <w:r w:rsidRPr="00AE3BBA">
              <w:rPr>
                <w:sz w:val="24"/>
                <w:szCs w:val="24"/>
                <w:lang w:bidi="ar"/>
              </w:rPr>
              <w:t>Reflects growing interest in standardized evaluation</w:t>
            </w:r>
          </w:p>
        </w:tc>
      </w:tr>
    </w:tbl>
    <w:p w14:paraId="1AC8E86F" w14:textId="77777777" w:rsidR="0076295E" w:rsidRPr="00AE3BBA" w:rsidRDefault="0076295E" w:rsidP="0076295E">
      <w:pPr>
        <w:adjustRightInd w:val="0"/>
        <w:snapToGrid w:val="0"/>
        <w:spacing w:line="480" w:lineRule="auto"/>
        <w:rPr>
          <w:rFonts w:cs="Times New Roman"/>
          <w:sz w:val="24"/>
          <w:szCs w:val="24"/>
        </w:rPr>
      </w:pPr>
    </w:p>
    <w:p w14:paraId="2889BAB9" w14:textId="77777777" w:rsidR="0076295E" w:rsidRPr="00AE3BBA" w:rsidRDefault="0076295E" w:rsidP="0076295E">
      <w:pPr>
        <w:adjustRightInd w:val="0"/>
        <w:snapToGrid w:val="0"/>
        <w:spacing w:line="480" w:lineRule="auto"/>
        <w:rPr>
          <w:rFonts w:cs="Times New Roman"/>
          <w:sz w:val="24"/>
          <w:szCs w:val="24"/>
        </w:rPr>
      </w:pPr>
    </w:p>
    <w:p w14:paraId="46CD213A" w14:textId="77777777" w:rsidR="00212B44" w:rsidRPr="0076295E" w:rsidRDefault="00212B44"/>
    <w:sectPr w:rsidR="00212B44" w:rsidRPr="0076295E" w:rsidSect="0076295E">
      <w:footerReference w:type="even" r:id="rId10"/>
      <w:footerReference w:type="default" r:id="rId11"/>
      <w:footerReference w:type="first" r:id="rId12"/>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1DFAF" w14:textId="77777777" w:rsidR="00A425D7" w:rsidRDefault="00A425D7" w:rsidP="0076295E">
      <w:r>
        <w:separator/>
      </w:r>
    </w:p>
  </w:endnote>
  <w:endnote w:type="continuationSeparator" w:id="0">
    <w:p w14:paraId="696CB116" w14:textId="77777777" w:rsidR="00A425D7" w:rsidRDefault="00A425D7" w:rsidP="00762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E2A8E" w14:textId="681E1C96" w:rsidR="00555471" w:rsidRDefault="00555471">
    <w:pPr>
      <w:pStyle w:val="Footer"/>
    </w:pPr>
    <w:r>
      <w:rPr>
        <w:noProof/>
      </w:rPr>
      <mc:AlternateContent>
        <mc:Choice Requires="wps">
          <w:drawing>
            <wp:anchor distT="0" distB="0" distL="0" distR="0" simplePos="0" relativeHeight="251659264" behindDoc="0" locked="0" layoutInCell="1" allowOverlap="1" wp14:anchorId="663B84FA" wp14:editId="39C32B15">
              <wp:simplePos x="635" y="635"/>
              <wp:positionH relativeFrom="page">
                <wp:align>left</wp:align>
              </wp:positionH>
              <wp:positionV relativeFrom="page">
                <wp:align>bottom</wp:align>
              </wp:positionV>
              <wp:extent cx="2077085" cy="324485"/>
              <wp:effectExtent l="0" t="0" r="18415" b="0"/>
              <wp:wrapNone/>
              <wp:docPr id="2065365651" name="Text Box 6"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02391D5" w14:textId="4F9E6FF8" w:rsidR="00555471" w:rsidRPr="00555471" w:rsidRDefault="00555471" w:rsidP="00555471">
                          <w:pPr>
                            <w:rPr>
                              <w:rFonts w:ascii="Rockwell" w:eastAsia="Rockwell" w:hAnsi="Rockwell" w:cs="Rockwell"/>
                              <w:noProof/>
                              <w:color w:val="0078D7"/>
                              <w:sz w:val="18"/>
                              <w:szCs w:val="18"/>
                            </w:rPr>
                          </w:pPr>
                          <w:r w:rsidRPr="0055547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63B84FA" id="_x0000_t202" coordsize="21600,21600" o:spt="202" path="m,l,21600r21600,l21600,xe">
              <v:stroke joinstyle="miter"/>
              <v:path gradientshapeok="t" o:connecttype="rect"/>
            </v:shapetype>
            <v:shape id="Text Box 6" o:spid="_x0000_s1026" type="#_x0000_t202" alt="Information Classification: General" style="position:absolute;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602391D5" w14:textId="4F9E6FF8" w:rsidR="00555471" w:rsidRPr="00555471" w:rsidRDefault="00555471" w:rsidP="00555471">
                    <w:pPr>
                      <w:rPr>
                        <w:rFonts w:ascii="Rockwell" w:eastAsia="Rockwell" w:hAnsi="Rockwell" w:cs="Rockwell"/>
                        <w:noProof/>
                        <w:color w:val="0078D7"/>
                        <w:sz w:val="18"/>
                        <w:szCs w:val="18"/>
                      </w:rPr>
                    </w:pPr>
                    <w:r w:rsidRPr="0055547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965D3" w14:textId="53A4EBB5" w:rsidR="00555471" w:rsidRDefault="00555471">
    <w:pPr>
      <w:pStyle w:val="Footer"/>
    </w:pPr>
    <w:r>
      <w:rPr>
        <w:noProof/>
      </w:rPr>
      <mc:AlternateContent>
        <mc:Choice Requires="wps">
          <w:drawing>
            <wp:anchor distT="0" distB="0" distL="0" distR="0" simplePos="0" relativeHeight="251660288" behindDoc="0" locked="0" layoutInCell="1" allowOverlap="1" wp14:anchorId="78F363C1" wp14:editId="51B777E1">
              <wp:simplePos x="914400" y="6791325"/>
              <wp:positionH relativeFrom="page">
                <wp:align>left</wp:align>
              </wp:positionH>
              <wp:positionV relativeFrom="page">
                <wp:align>bottom</wp:align>
              </wp:positionV>
              <wp:extent cx="2077085" cy="324485"/>
              <wp:effectExtent l="0" t="0" r="18415" b="0"/>
              <wp:wrapNone/>
              <wp:docPr id="786386268" name="Text Box 7"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0DA44A6" w14:textId="30888EAA" w:rsidR="00555471" w:rsidRPr="00555471" w:rsidRDefault="00555471" w:rsidP="00555471">
                          <w:pPr>
                            <w:rPr>
                              <w:rFonts w:ascii="Rockwell" w:eastAsia="Rockwell" w:hAnsi="Rockwell" w:cs="Rockwell"/>
                              <w:noProof/>
                              <w:color w:val="0078D7"/>
                              <w:sz w:val="18"/>
                              <w:szCs w:val="18"/>
                            </w:rPr>
                          </w:pPr>
                          <w:r w:rsidRPr="0055547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8F363C1" id="_x0000_t202" coordsize="21600,21600" o:spt="202" path="m,l,21600r21600,l21600,xe">
              <v:stroke joinstyle="miter"/>
              <v:path gradientshapeok="t" o:connecttype="rect"/>
            </v:shapetype>
            <v:shape id="Text Box 7" o:spid="_x0000_s1027" type="#_x0000_t202" alt="Information Classification: General" style="position:absolute;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60DA44A6" w14:textId="30888EAA" w:rsidR="00555471" w:rsidRPr="00555471" w:rsidRDefault="00555471" w:rsidP="00555471">
                    <w:pPr>
                      <w:rPr>
                        <w:rFonts w:ascii="Rockwell" w:eastAsia="Rockwell" w:hAnsi="Rockwell" w:cs="Rockwell"/>
                        <w:noProof/>
                        <w:color w:val="0078D7"/>
                        <w:sz w:val="18"/>
                        <w:szCs w:val="18"/>
                      </w:rPr>
                    </w:pPr>
                    <w:r w:rsidRPr="0055547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A061F" w14:textId="1171A031" w:rsidR="00555471" w:rsidRDefault="00555471">
    <w:pPr>
      <w:pStyle w:val="Footer"/>
    </w:pPr>
    <w:r>
      <w:rPr>
        <w:noProof/>
      </w:rPr>
      <mc:AlternateContent>
        <mc:Choice Requires="wps">
          <w:drawing>
            <wp:anchor distT="0" distB="0" distL="0" distR="0" simplePos="0" relativeHeight="251658240" behindDoc="0" locked="0" layoutInCell="1" allowOverlap="1" wp14:anchorId="4F1B2C53" wp14:editId="341F9E3F">
              <wp:simplePos x="635" y="635"/>
              <wp:positionH relativeFrom="page">
                <wp:align>left</wp:align>
              </wp:positionH>
              <wp:positionV relativeFrom="page">
                <wp:align>bottom</wp:align>
              </wp:positionV>
              <wp:extent cx="2077085" cy="324485"/>
              <wp:effectExtent l="0" t="0" r="18415" b="0"/>
              <wp:wrapNone/>
              <wp:docPr id="244362130" name="Text Box 5"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4935EED3" w14:textId="3517FBD4" w:rsidR="00555471" w:rsidRPr="00555471" w:rsidRDefault="00555471" w:rsidP="00555471">
                          <w:pPr>
                            <w:rPr>
                              <w:rFonts w:ascii="Rockwell" w:eastAsia="Rockwell" w:hAnsi="Rockwell" w:cs="Rockwell"/>
                              <w:noProof/>
                              <w:color w:val="0078D7"/>
                              <w:sz w:val="18"/>
                              <w:szCs w:val="18"/>
                            </w:rPr>
                          </w:pPr>
                          <w:r w:rsidRPr="0055547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F1B2C53" id="_x0000_t202" coordsize="21600,21600" o:spt="202" path="m,l,21600r21600,l21600,xe">
              <v:stroke joinstyle="miter"/>
              <v:path gradientshapeok="t" o:connecttype="rect"/>
            </v:shapetype>
            <v:shape id="Text Box 5" o:spid="_x0000_s1028" type="#_x0000_t202" alt="Information Classification: General" style="position:absolute;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4935EED3" w14:textId="3517FBD4" w:rsidR="00555471" w:rsidRPr="00555471" w:rsidRDefault="00555471" w:rsidP="00555471">
                    <w:pPr>
                      <w:rPr>
                        <w:rFonts w:ascii="Rockwell" w:eastAsia="Rockwell" w:hAnsi="Rockwell" w:cs="Rockwell"/>
                        <w:noProof/>
                        <w:color w:val="0078D7"/>
                        <w:sz w:val="18"/>
                        <w:szCs w:val="18"/>
                      </w:rPr>
                    </w:pPr>
                    <w:r w:rsidRPr="0055547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122AB" w14:textId="77777777" w:rsidR="00A425D7" w:rsidRDefault="00A425D7" w:rsidP="0076295E">
      <w:r>
        <w:separator/>
      </w:r>
    </w:p>
  </w:footnote>
  <w:footnote w:type="continuationSeparator" w:id="0">
    <w:p w14:paraId="55FE8D0B" w14:textId="77777777" w:rsidR="00A425D7" w:rsidRDefault="00A425D7" w:rsidP="007629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630"/>
    <w:rsid w:val="00212B44"/>
    <w:rsid w:val="00555471"/>
    <w:rsid w:val="00650DA5"/>
    <w:rsid w:val="00702046"/>
    <w:rsid w:val="0076295E"/>
    <w:rsid w:val="0084156D"/>
    <w:rsid w:val="00A425D7"/>
    <w:rsid w:val="00ED36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40BCE"/>
  <w15:chartTrackingRefBased/>
  <w15:docId w15:val="{6B403061-9E38-4A0E-A389-90D2CCF84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95E"/>
    <w:pPr>
      <w:jc w:val="both"/>
    </w:pPr>
    <w:rPr>
      <w:rFonts w:ascii="Times New Roman" w:eastAsia="SimSu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295E"/>
    <w:pPr>
      <w:widowControl w:val="0"/>
      <w:pBdr>
        <w:bottom w:val="single" w:sz="6" w:space="1" w:color="auto"/>
      </w:pBdr>
      <w:tabs>
        <w:tab w:val="center" w:pos="4153"/>
        <w:tab w:val="right" w:pos="8306"/>
      </w:tabs>
      <w:snapToGrid w:val="0"/>
      <w:jc w:val="center"/>
    </w:pPr>
    <w:rPr>
      <w:rFonts w:asciiTheme="minorHAnsi" w:eastAsiaTheme="minorEastAsia" w:hAnsiTheme="minorHAnsi"/>
      <w:sz w:val="18"/>
      <w:szCs w:val="18"/>
    </w:rPr>
  </w:style>
  <w:style w:type="character" w:customStyle="1" w:styleId="HeaderChar">
    <w:name w:val="Header Char"/>
    <w:basedOn w:val="DefaultParagraphFont"/>
    <w:link w:val="Header"/>
    <w:uiPriority w:val="99"/>
    <w:rsid w:val="0076295E"/>
    <w:rPr>
      <w:sz w:val="18"/>
      <w:szCs w:val="18"/>
    </w:rPr>
  </w:style>
  <w:style w:type="paragraph" w:styleId="Footer">
    <w:name w:val="footer"/>
    <w:basedOn w:val="Normal"/>
    <w:link w:val="FooterChar"/>
    <w:uiPriority w:val="99"/>
    <w:unhideWhenUsed/>
    <w:rsid w:val="0076295E"/>
    <w:pPr>
      <w:widowControl w:val="0"/>
      <w:tabs>
        <w:tab w:val="center" w:pos="4153"/>
        <w:tab w:val="right" w:pos="8306"/>
      </w:tabs>
      <w:snapToGrid w:val="0"/>
      <w:jc w:val="left"/>
    </w:pPr>
    <w:rPr>
      <w:rFonts w:asciiTheme="minorHAnsi" w:eastAsiaTheme="minorEastAsia" w:hAnsiTheme="minorHAnsi"/>
      <w:sz w:val="18"/>
      <w:szCs w:val="18"/>
    </w:rPr>
  </w:style>
  <w:style w:type="character" w:customStyle="1" w:styleId="FooterChar">
    <w:name w:val="Footer Char"/>
    <w:basedOn w:val="DefaultParagraphFont"/>
    <w:link w:val="Footer"/>
    <w:uiPriority w:val="99"/>
    <w:rsid w:val="0076295E"/>
    <w:rPr>
      <w:sz w:val="18"/>
      <w:szCs w:val="18"/>
    </w:rPr>
  </w:style>
  <w:style w:type="table" w:styleId="TableGrid">
    <w:name w:val="Table Grid"/>
    <w:basedOn w:val="TableNormal"/>
    <w:uiPriority w:val="39"/>
    <w:qFormat/>
    <w:rsid w:val="0076295E"/>
    <w:pPr>
      <w:widowControl w:val="0"/>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6295E"/>
    <w:rPr>
      <w:b/>
    </w:rPr>
  </w:style>
  <w:style w:type="character" w:styleId="Emphasis">
    <w:name w:val="Emphasis"/>
    <w:basedOn w:val="DefaultParagraphFont"/>
    <w:uiPriority w:val="20"/>
    <w:qFormat/>
    <w:rsid w:val="0076295E"/>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639</Words>
  <Characters>3643</Characters>
  <Application>Microsoft Office Word</Application>
  <DocSecurity>0</DocSecurity>
  <Lines>30</Lines>
  <Paragraphs>8</Paragraphs>
  <ScaleCrop>false</ScaleCrop>
  <Company/>
  <LinksUpToDate>false</LinksUpToDate>
  <CharactersWithSpaces>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Murphy, Alexandra</cp:lastModifiedBy>
  <cp:revision>4</cp:revision>
  <dcterms:created xsi:type="dcterms:W3CDTF">2025-11-25T08:26:00Z</dcterms:created>
  <dcterms:modified xsi:type="dcterms:W3CDTF">2025-12-03T21:57:00Z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e90ab92,7b1afa93,2edf4d5c</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2025-12-03T21:57:54Z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f6513059-a5b0-4f59-823c-dfec4cc0a139</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