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6F3F" w14:textId="77777777" w:rsidR="00BC7329" w:rsidRPr="004D12E5" w:rsidRDefault="00BC7329" w:rsidP="00BC7329">
      <w:pPr>
        <w:widowControl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 w:rsidRPr="004D12E5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Supplementary Materials</w:t>
      </w:r>
    </w:p>
    <w:p w14:paraId="4E471EAD" w14:textId="77777777" w:rsidR="004D12E5" w:rsidRDefault="004D12E5" w:rsidP="00BC7329">
      <w:pPr>
        <w:widowControl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14:paraId="4530B208" w14:textId="77777777" w:rsidR="00AB5816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Cs w:val="21"/>
        </w:rPr>
        <w:drawing>
          <wp:inline distT="0" distB="0" distL="0" distR="0" wp14:anchorId="125B9D07" wp14:editId="4408E8BD">
            <wp:extent cx="5273466" cy="3173173"/>
            <wp:effectExtent l="0" t="0" r="0" b="1905"/>
            <wp:docPr id="1" name="图片 1" descr="Z:\sata1-13671717130\在投&amp;评估\已安排编辑项目\Sara 撰写文章7.8-贵州\AI编辑8.22\Supplementary 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ata1-13671717130\在投&amp;评估\已安排编辑项目\Sara 撰写文章7.8-贵州\AI编辑8.22\Supplementary Figure 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AB731" w14:textId="77777777" w:rsidR="00AB5816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AB5816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Supplementary Figure S1. Change from Baseline in Facial Erythema Area. </w:t>
      </w:r>
    </w:p>
    <w:p w14:paraId="19C2CE49" w14:textId="2E400A3D" w:rsidR="00AB5816" w:rsidRPr="00BC7329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Mean change from baseline in facial erythema area (mm²) over the 90-day study period. Data points represent the </w:t>
      </w:r>
      <w:r w:rsidR="00DE478D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mean 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for the Placental Polypeptide Injection (PPI) and Control groups. No statistically significant difference was observed between the groups at Day 90 (P = 0.621, independent t-test).</w:t>
      </w:r>
      <w:r>
        <w:rPr>
          <w:rFonts w:ascii="Times New Roman" w:eastAsia="宋体" w:hAnsi="Times New Roman" w:cs="Times New Roman"/>
          <w:bCs/>
          <w:noProof/>
          <w:color w:val="000000"/>
          <w:kern w:val="0"/>
          <w:szCs w:val="21"/>
        </w:rPr>
        <w:drawing>
          <wp:inline distT="0" distB="0" distL="0" distR="0" wp14:anchorId="2BD07A8E" wp14:editId="2D868047">
            <wp:extent cx="5274046" cy="3183273"/>
            <wp:effectExtent l="0" t="0" r="0" b="4445"/>
            <wp:docPr id="2" name="图片 2" descr="Z:\sata1-13671717130\在投&amp;评估\已安排编辑项目\Sara 撰写文章7.8-贵州\AI编辑8.22\Supplementary 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ata1-13671717130\在投&amp;评估\已安排编辑项目\Sara 撰写文章7.8-贵州\AI编辑8.22\Supplementary Figure 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0872E" w14:textId="4256DDF5" w:rsidR="00BC7329" w:rsidRPr="00AB5816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5816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Figure S2. Change from Baseline in Skin Roughness.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Mean change from baseline in the total facial skin roughness score over 90 days. Data points represent the </w:t>
      </w:r>
      <w:r w:rsidR="00DE478D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mean 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for 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lastRenderedPageBreak/>
        <w:t>the Placental Polypeptide Injection (PPI) and Control groups. No statistically significant difference was observed between the groups at Day 90 (P = 0.402, independent t-test).</w:t>
      </w:r>
    </w:p>
    <w:p w14:paraId="34FEE68C" w14:textId="77777777" w:rsidR="00AB5816" w:rsidRPr="00BC7329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noProof/>
          <w:color w:val="000000"/>
          <w:kern w:val="0"/>
          <w:szCs w:val="21"/>
        </w:rPr>
        <w:drawing>
          <wp:inline distT="0" distB="0" distL="0" distR="0" wp14:anchorId="5CEEBC7E" wp14:editId="7DB925D1">
            <wp:extent cx="5273753" cy="3214935"/>
            <wp:effectExtent l="0" t="0" r="0" b="0"/>
            <wp:docPr id="3" name="图片 3" descr="Z:\sata1-13671717130\在投&amp;评估\已安排编辑项目\Sara 撰写文章7.8-贵州\AI编辑8.22\Supplementary Figure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ata1-13671717130\在投&amp;评估\已安排编辑项目\Sara 撰写文章7.8-贵州\AI编辑8.22\Supplementary Figure 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F65D9" w14:textId="73079856" w:rsidR="00BC7329" w:rsidRPr="00AB5816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5816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Figure S3. Change from Baseline in Wrinkle Score.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Mean change from baseline in the facial wrinkle score over 90 days. Data points represent the </w:t>
      </w:r>
      <w:r w:rsidR="00DE478D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mean 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for the Placental Polypeptide Injection (PPI) and Control groups. No statistically significant difference was observed between the groups at Day 90 (P = 0.315, independent t-test).</w:t>
      </w:r>
    </w:p>
    <w:p w14:paraId="6252F944" w14:textId="77777777" w:rsidR="00AB5816" w:rsidRPr="00BC7329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noProof/>
          <w:color w:val="000000"/>
          <w:kern w:val="0"/>
          <w:szCs w:val="21"/>
        </w:rPr>
        <w:drawing>
          <wp:inline distT="0" distB="0" distL="0" distR="0" wp14:anchorId="2C4B2E6D" wp14:editId="74129140">
            <wp:extent cx="5274158" cy="3294310"/>
            <wp:effectExtent l="0" t="0" r="0" b="0"/>
            <wp:docPr id="4" name="图片 4" descr="Z:\sata1-13671717130\在投&amp;评估\已安排编辑项目\Sara 撰写文章7.8-贵州\AI编辑8.22\Supplementary Figure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sata1-13671717130\在投&amp;评估\已安排编辑项目\Sara 撰写文章7.8-贵州\AI编辑8.22\Supplementary Figure 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191D4" w14:textId="1BAE40E5" w:rsidR="00BC7329" w:rsidRPr="00AB5816" w:rsidRDefault="00AB5816" w:rsidP="00BC7329">
      <w:pPr>
        <w:widowControl/>
        <w:jc w:val="left"/>
        <w:outlineLvl w:val="1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5816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Figure S4. Change from Baseline in Dermal Thickness.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Mean change from baseline in dermal thickness (mm) over 90 days. Data points represent the </w:t>
      </w:r>
      <w:r w:rsidR="00DE478D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mean </w:t>
      </w:r>
      <w:r w:rsidRPr="00AB581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for the Placental Polypeptide Injection (PPI) and Control groups. No statistically significant difference was observed between the groups at Day 90 (P = 0.620, independent t-test).</w:t>
      </w:r>
    </w:p>
    <w:p w14:paraId="1CB4299D" w14:textId="77777777" w:rsidR="00BC7329" w:rsidRDefault="00BC7329" w:rsidP="00BC732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46AD3D55" w14:textId="77777777" w:rsidR="00BC7329" w:rsidRDefault="00BC7329" w:rsidP="00BC732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BC7329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Table S1. Primary Efficacy Endpoint at Day 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7"/>
        <w:gridCol w:w="1632"/>
        <w:gridCol w:w="1860"/>
        <w:gridCol w:w="893"/>
      </w:tblGrid>
      <w:tr w:rsidR="00BC7329" w:rsidRPr="00BC7329" w14:paraId="1A12C3F0" w14:textId="77777777" w:rsidTr="00B7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0" w:type="auto"/>
            <w:hideMark/>
          </w:tcPr>
          <w:p w14:paraId="7F16C2C9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Endpoint</w:t>
            </w:r>
          </w:p>
        </w:tc>
        <w:tc>
          <w:tcPr>
            <w:tcW w:w="0" w:type="auto"/>
            <w:hideMark/>
          </w:tcPr>
          <w:p w14:paraId="273BA237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PPI Group (n=95)</w:t>
            </w:r>
          </w:p>
        </w:tc>
        <w:tc>
          <w:tcPr>
            <w:tcW w:w="0" w:type="auto"/>
            <w:hideMark/>
          </w:tcPr>
          <w:p w14:paraId="35CAE1F0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Control Group (n=51)</w:t>
            </w:r>
          </w:p>
        </w:tc>
        <w:tc>
          <w:tcPr>
            <w:tcW w:w="0" w:type="auto"/>
            <w:hideMark/>
          </w:tcPr>
          <w:p w14:paraId="434A7261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P-value</w:t>
            </w:r>
          </w:p>
        </w:tc>
      </w:tr>
      <w:tr w:rsidR="00BC7329" w:rsidRPr="00BC7329" w14:paraId="463A9E02" w14:textId="77777777" w:rsidTr="00B71DB4">
        <w:trPr>
          <w:cantSplit/>
        </w:trPr>
        <w:tc>
          <w:tcPr>
            <w:tcW w:w="0" w:type="auto"/>
            <w:hideMark/>
          </w:tcPr>
          <w:p w14:paraId="5CF399B7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Change from Baseline in Hemoglobin Content, mean ± SD</w:t>
            </w:r>
          </w:p>
        </w:tc>
        <w:tc>
          <w:tcPr>
            <w:tcW w:w="0" w:type="auto"/>
            <w:hideMark/>
          </w:tcPr>
          <w:p w14:paraId="085CDEE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-1788.61 ± 1843.93</w:t>
            </w:r>
          </w:p>
        </w:tc>
        <w:tc>
          <w:tcPr>
            <w:tcW w:w="0" w:type="auto"/>
            <w:hideMark/>
          </w:tcPr>
          <w:p w14:paraId="6DE0A440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-756.65 ± 1493.17</w:t>
            </w:r>
          </w:p>
        </w:tc>
        <w:tc>
          <w:tcPr>
            <w:tcW w:w="0" w:type="auto"/>
            <w:hideMark/>
          </w:tcPr>
          <w:p w14:paraId="5E0A2502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0.001</w:t>
            </w:r>
          </w:p>
        </w:tc>
      </w:tr>
      <w:tr w:rsidR="00BC7329" w:rsidRPr="00BC7329" w14:paraId="31922D52" w14:textId="77777777" w:rsidTr="00B71DB4">
        <w:trPr>
          <w:cantSplit/>
        </w:trPr>
        <w:tc>
          <w:tcPr>
            <w:tcW w:w="0" w:type="auto"/>
            <w:gridSpan w:val="4"/>
            <w:hideMark/>
          </w:tcPr>
          <w:p w14:paraId="51CC9C3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FE16ADF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i/>
          <w:color w:val="000000"/>
          <w:kern w:val="0"/>
          <w:szCs w:val="21"/>
        </w:rPr>
      </w:pPr>
      <w:r w:rsidRPr="00BC7329">
        <w:rPr>
          <w:rFonts w:ascii="Times New Roman" w:eastAsia="宋体" w:hAnsi="Times New Roman" w:cs="Times New Roman"/>
          <w:i/>
          <w:color w:val="000000"/>
          <w:kern w:val="0"/>
          <w:szCs w:val="21"/>
        </w:rPr>
        <w:t>PPI, Placental Polypeptide Injection; SD, Standard Deviation. Bold P-value indicates statistical significance (P &lt; 0.05).</w:t>
      </w:r>
    </w:p>
    <w:p w14:paraId="15CDBCD0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14:paraId="10D13C33" w14:textId="77777777" w:rsidR="00BC7329" w:rsidRDefault="00BC7329" w:rsidP="00BC732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BC7329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Table S2. Detailed List of All Adverse Events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1"/>
        <w:gridCol w:w="1786"/>
        <w:gridCol w:w="2035"/>
        <w:gridCol w:w="1690"/>
      </w:tblGrid>
      <w:tr w:rsidR="00BC7329" w:rsidRPr="00BC7329" w14:paraId="18E1FED7" w14:textId="77777777" w:rsidTr="00B7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0" w:type="auto"/>
            <w:hideMark/>
          </w:tcPr>
          <w:p w14:paraId="45FF32B0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System Organ Class</w:t>
            </w:r>
          </w:p>
        </w:tc>
        <w:tc>
          <w:tcPr>
            <w:tcW w:w="0" w:type="auto"/>
            <w:hideMark/>
          </w:tcPr>
          <w:p w14:paraId="6A4872AF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Adverse Event Term</w:t>
            </w:r>
          </w:p>
        </w:tc>
        <w:tc>
          <w:tcPr>
            <w:tcW w:w="0" w:type="auto"/>
            <w:hideMark/>
          </w:tcPr>
          <w:p w14:paraId="7864A13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PPI Group (n=104)</w:t>
            </w:r>
          </w:p>
        </w:tc>
        <w:tc>
          <w:tcPr>
            <w:tcW w:w="0" w:type="auto"/>
            <w:hideMark/>
          </w:tcPr>
          <w:p w14:paraId="478A1F5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Control Group (n=52)</w:t>
            </w:r>
          </w:p>
        </w:tc>
      </w:tr>
      <w:tr w:rsidR="00BC7329" w:rsidRPr="00BC7329" w14:paraId="13270E6C" w14:textId="77777777" w:rsidTr="00B71DB4">
        <w:trPr>
          <w:cantSplit/>
        </w:trPr>
        <w:tc>
          <w:tcPr>
            <w:tcW w:w="0" w:type="auto"/>
            <w:hideMark/>
          </w:tcPr>
          <w:p w14:paraId="30FA3F98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Skin and Subcutaneous Tissue Disorders</w:t>
            </w:r>
          </w:p>
        </w:tc>
        <w:tc>
          <w:tcPr>
            <w:tcW w:w="0" w:type="auto"/>
            <w:hideMark/>
          </w:tcPr>
          <w:p w14:paraId="0B667A9F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Pigmentation disorder</w:t>
            </w:r>
          </w:p>
        </w:tc>
        <w:tc>
          <w:tcPr>
            <w:tcW w:w="0" w:type="auto"/>
            <w:hideMark/>
          </w:tcPr>
          <w:p w14:paraId="757AD56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  <w:tc>
          <w:tcPr>
            <w:tcW w:w="0" w:type="auto"/>
            <w:hideMark/>
          </w:tcPr>
          <w:p w14:paraId="045A316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BC7329" w:rsidRPr="00BC7329" w14:paraId="1DD4A23E" w14:textId="77777777" w:rsidTr="00B71DB4">
        <w:trPr>
          <w:cantSplit/>
        </w:trPr>
        <w:tc>
          <w:tcPr>
            <w:tcW w:w="0" w:type="auto"/>
            <w:hideMark/>
          </w:tcPr>
          <w:p w14:paraId="5C610752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1162B693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Facial peeling</w:t>
            </w:r>
          </w:p>
        </w:tc>
        <w:tc>
          <w:tcPr>
            <w:tcW w:w="0" w:type="auto"/>
            <w:hideMark/>
          </w:tcPr>
          <w:p w14:paraId="1302DA74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(Moderate, Possibly Related)</w:t>
            </w:r>
          </w:p>
        </w:tc>
        <w:tc>
          <w:tcPr>
            <w:tcW w:w="0" w:type="auto"/>
            <w:hideMark/>
          </w:tcPr>
          <w:p w14:paraId="6F835EB1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BC7329" w:rsidRPr="00BC7329" w14:paraId="6D9A6275" w14:textId="77777777" w:rsidTr="00B71DB4">
        <w:trPr>
          <w:cantSplit/>
        </w:trPr>
        <w:tc>
          <w:tcPr>
            <w:tcW w:w="0" w:type="auto"/>
            <w:hideMark/>
          </w:tcPr>
          <w:p w14:paraId="0160D442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7ABB9023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Facial pigmentation</w:t>
            </w:r>
          </w:p>
        </w:tc>
        <w:tc>
          <w:tcPr>
            <w:tcW w:w="0" w:type="auto"/>
            <w:hideMark/>
          </w:tcPr>
          <w:p w14:paraId="08957658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(Moderate, Possibly Related)</w:t>
            </w:r>
          </w:p>
        </w:tc>
        <w:tc>
          <w:tcPr>
            <w:tcW w:w="0" w:type="auto"/>
            <w:hideMark/>
          </w:tcPr>
          <w:p w14:paraId="68E9D4E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BC7329" w:rsidRPr="00BC7329" w14:paraId="346D04BE" w14:textId="77777777" w:rsidTr="00B71DB4">
        <w:trPr>
          <w:cantSplit/>
        </w:trPr>
        <w:tc>
          <w:tcPr>
            <w:tcW w:w="0" w:type="auto"/>
            <w:hideMark/>
          </w:tcPr>
          <w:p w14:paraId="56C024F4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2456879F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Facial erythema</w:t>
            </w:r>
          </w:p>
        </w:tc>
        <w:tc>
          <w:tcPr>
            <w:tcW w:w="0" w:type="auto"/>
            <w:hideMark/>
          </w:tcPr>
          <w:p w14:paraId="269DB694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(Moderate, Possibly Related)</w:t>
            </w:r>
          </w:p>
        </w:tc>
        <w:tc>
          <w:tcPr>
            <w:tcW w:w="0" w:type="auto"/>
            <w:hideMark/>
          </w:tcPr>
          <w:p w14:paraId="0B72211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BC7329" w:rsidRPr="00BC7329" w14:paraId="3D309B1E" w14:textId="77777777" w:rsidTr="00B71DB4">
        <w:trPr>
          <w:cantSplit/>
        </w:trPr>
        <w:tc>
          <w:tcPr>
            <w:tcW w:w="0" w:type="auto"/>
            <w:hideMark/>
          </w:tcPr>
          <w:p w14:paraId="555BB122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39A74376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Folliculitis</w:t>
            </w:r>
          </w:p>
        </w:tc>
        <w:tc>
          <w:tcPr>
            <w:tcW w:w="0" w:type="auto"/>
            <w:hideMark/>
          </w:tcPr>
          <w:p w14:paraId="60D3E519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3C08EB1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</w:tr>
      <w:tr w:rsidR="00BC7329" w:rsidRPr="00BC7329" w14:paraId="214304CB" w14:textId="77777777" w:rsidTr="00B71DB4">
        <w:trPr>
          <w:cantSplit/>
        </w:trPr>
        <w:tc>
          <w:tcPr>
            <w:tcW w:w="0" w:type="auto"/>
            <w:hideMark/>
          </w:tcPr>
          <w:p w14:paraId="0CBB90B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Respiratory, Thoracic and Mediastinal Disorders</w:t>
            </w:r>
          </w:p>
        </w:tc>
        <w:tc>
          <w:tcPr>
            <w:tcW w:w="0" w:type="auto"/>
            <w:hideMark/>
          </w:tcPr>
          <w:p w14:paraId="12AC570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Cough</w:t>
            </w:r>
          </w:p>
        </w:tc>
        <w:tc>
          <w:tcPr>
            <w:tcW w:w="0" w:type="auto"/>
            <w:hideMark/>
          </w:tcPr>
          <w:p w14:paraId="7893CCD5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5925FC0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</w:tr>
      <w:tr w:rsidR="00BC7329" w:rsidRPr="00BC7329" w14:paraId="310680FE" w14:textId="77777777" w:rsidTr="00B71DB4">
        <w:trPr>
          <w:cantSplit/>
        </w:trPr>
        <w:tc>
          <w:tcPr>
            <w:tcW w:w="0" w:type="auto"/>
            <w:hideMark/>
          </w:tcPr>
          <w:p w14:paraId="231BAE93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7804F42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Rhinitis</w:t>
            </w:r>
          </w:p>
        </w:tc>
        <w:tc>
          <w:tcPr>
            <w:tcW w:w="0" w:type="auto"/>
            <w:hideMark/>
          </w:tcPr>
          <w:p w14:paraId="711833B8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4884FDB9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</w:tr>
      <w:tr w:rsidR="00BC7329" w:rsidRPr="00BC7329" w14:paraId="09FADBF1" w14:textId="77777777" w:rsidTr="00B71DB4">
        <w:trPr>
          <w:cantSplit/>
        </w:trPr>
        <w:tc>
          <w:tcPr>
            <w:tcW w:w="0" w:type="auto"/>
            <w:hideMark/>
          </w:tcPr>
          <w:p w14:paraId="618F617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Eye Disorders</w:t>
            </w:r>
          </w:p>
        </w:tc>
        <w:tc>
          <w:tcPr>
            <w:tcW w:w="0" w:type="auto"/>
            <w:hideMark/>
          </w:tcPr>
          <w:p w14:paraId="549C1B14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Conjunctivitis</w:t>
            </w:r>
          </w:p>
        </w:tc>
        <w:tc>
          <w:tcPr>
            <w:tcW w:w="0" w:type="auto"/>
            <w:hideMark/>
          </w:tcPr>
          <w:p w14:paraId="03C7B539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1F7FEED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</w:tr>
      <w:tr w:rsidR="00BC7329" w:rsidRPr="00BC7329" w14:paraId="76688229" w14:textId="77777777" w:rsidTr="00B71DB4">
        <w:trPr>
          <w:cantSplit/>
        </w:trPr>
        <w:tc>
          <w:tcPr>
            <w:tcW w:w="0" w:type="auto"/>
            <w:hideMark/>
          </w:tcPr>
          <w:p w14:paraId="77D46F9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Gastrointestinal Disorders</w:t>
            </w:r>
          </w:p>
        </w:tc>
        <w:tc>
          <w:tcPr>
            <w:tcW w:w="0" w:type="auto"/>
            <w:hideMark/>
          </w:tcPr>
          <w:p w14:paraId="2BCAA351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Abdominal discomfort</w:t>
            </w:r>
          </w:p>
        </w:tc>
        <w:tc>
          <w:tcPr>
            <w:tcW w:w="0" w:type="auto"/>
            <w:hideMark/>
          </w:tcPr>
          <w:p w14:paraId="17E826A1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401EBDE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(Mild, Unrelated)</w:t>
            </w:r>
          </w:p>
        </w:tc>
      </w:tr>
    </w:tbl>
    <w:p w14:paraId="22565C07" w14:textId="77777777" w:rsidR="00BC7329" w:rsidRDefault="00BC7329" w:rsidP="00BC732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6615390E" w14:textId="77777777" w:rsidR="00BC7329" w:rsidRDefault="00BC7329" w:rsidP="00BC732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7329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Supplementary Table S3. Concomitant Medications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2728"/>
        <w:gridCol w:w="2092"/>
        <w:gridCol w:w="2351"/>
      </w:tblGrid>
      <w:tr w:rsidR="00BC7329" w:rsidRPr="00BC7329" w14:paraId="5130F25B" w14:textId="77777777" w:rsidTr="00B7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0" w:type="auto"/>
            <w:hideMark/>
          </w:tcPr>
          <w:p w14:paraId="573AB6F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ATC Code</w:t>
            </w:r>
          </w:p>
        </w:tc>
        <w:tc>
          <w:tcPr>
            <w:tcW w:w="0" w:type="auto"/>
            <w:hideMark/>
          </w:tcPr>
          <w:p w14:paraId="028AC6C7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Medication Name</w:t>
            </w:r>
          </w:p>
        </w:tc>
        <w:tc>
          <w:tcPr>
            <w:tcW w:w="0" w:type="auto"/>
            <w:hideMark/>
          </w:tcPr>
          <w:p w14:paraId="20F882F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PPI Group (n=103)</w:t>
            </w:r>
          </w:p>
        </w:tc>
        <w:tc>
          <w:tcPr>
            <w:tcW w:w="0" w:type="auto"/>
            <w:hideMark/>
          </w:tcPr>
          <w:p w14:paraId="78C5A3F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Control Group (n=51)</w:t>
            </w:r>
          </w:p>
        </w:tc>
      </w:tr>
      <w:tr w:rsidR="00BC7329" w:rsidRPr="00BC7329" w14:paraId="54DDB9BD" w14:textId="77777777" w:rsidTr="00B71DB4">
        <w:trPr>
          <w:cantSplit/>
        </w:trPr>
        <w:tc>
          <w:tcPr>
            <w:tcW w:w="0" w:type="auto"/>
            <w:gridSpan w:val="4"/>
            <w:hideMark/>
          </w:tcPr>
          <w:p w14:paraId="5DCE77F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Participants with Concomitant Medication: 8 (7.8%) in PPI Group, 5 (9.8%) in Control Group</w:t>
            </w:r>
          </w:p>
        </w:tc>
      </w:tr>
      <w:tr w:rsidR="00BC7329" w:rsidRPr="00BC7329" w14:paraId="6491F7CB" w14:textId="77777777" w:rsidTr="00B71DB4">
        <w:trPr>
          <w:cantSplit/>
        </w:trPr>
        <w:tc>
          <w:tcPr>
            <w:tcW w:w="0" w:type="auto"/>
            <w:hideMark/>
          </w:tcPr>
          <w:p w14:paraId="592B7488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R01AD</w:t>
            </w:r>
          </w:p>
        </w:tc>
        <w:tc>
          <w:tcPr>
            <w:tcW w:w="0" w:type="auto"/>
            <w:hideMark/>
          </w:tcPr>
          <w:p w14:paraId="73225C52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Beclometasone</w:t>
            </w:r>
            <w:proofErr w:type="spellEnd"/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nasal spray</w:t>
            </w:r>
          </w:p>
        </w:tc>
        <w:tc>
          <w:tcPr>
            <w:tcW w:w="0" w:type="auto"/>
            <w:hideMark/>
          </w:tcPr>
          <w:p w14:paraId="083CAA9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1A69B6A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BC7329" w:rsidRPr="00BC7329" w14:paraId="59DA9115" w14:textId="77777777" w:rsidTr="00B71DB4">
        <w:trPr>
          <w:cantSplit/>
        </w:trPr>
        <w:tc>
          <w:tcPr>
            <w:tcW w:w="0" w:type="auto"/>
            <w:hideMark/>
          </w:tcPr>
          <w:p w14:paraId="4EDC04A1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N02BE01</w:t>
            </w:r>
          </w:p>
        </w:tc>
        <w:tc>
          <w:tcPr>
            <w:tcW w:w="0" w:type="auto"/>
            <w:hideMark/>
          </w:tcPr>
          <w:p w14:paraId="69AA852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Paracetamol</w:t>
            </w:r>
          </w:p>
        </w:tc>
        <w:tc>
          <w:tcPr>
            <w:tcW w:w="0" w:type="auto"/>
            <w:hideMark/>
          </w:tcPr>
          <w:p w14:paraId="4DC416B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76A9597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BC7329" w:rsidRPr="00BC7329" w14:paraId="43D686D4" w14:textId="77777777" w:rsidTr="00B71DB4">
        <w:trPr>
          <w:cantSplit/>
        </w:trPr>
        <w:tc>
          <w:tcPr>
            <w:tcW w:w="0" w:type="auto"/>
            <w:hideMark/>
          </w:tcPr>
          <w:p w14:paraId="30FCC4E5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M01AE01</w:t>
            </w:r>
          </w:p>
        </w:tc>
        <w:tc>
          <w:tcPr>
            <w:tcW w:w="0" w:type="auto"/>
            <w:hideMark/>
          </w:tcPr>
          <w:p w14:paraId="6C1A5F1A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Ibuprofen</w:t>
            </w:r>
          </w:p>
        </w:tc>
        <w:tc>
          <w:tcPr>
            <w:tcW w:w="0" w:type="auto"/>
            <w:hideMark/>
          </w:tcPr>
          <w:p w14:paraId="4ABF6773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2BF07C1F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BC7329" w:rsidRPr="00BC7329" w14:paraId="4008EE68" w14:textId="77777777" w:rsidTr="00B71DB4">
        <w:trPr>
          <w:cantSplit/>
        </w:trPr>
        <w:tc>
          <w:tcPr>
            <w:tcW w:w="0" w:type="auto"/>
            <w:hideMark/>
          </w:tcPr>
          <w:p w14:paraId="17FF5D7E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A02BC01</w:t>
            </w:r>
          </w:p>
        </w:tc>
        <w:tc>
          <w:tcPr>
            <w:tcW w:w="0" w:type="auto"/>
            <w:hideMark/>
          </w:tcPr>
          <w:p w14:paraId="3AB26285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Omeprazole</w:t>
            </w:r>
          </w:p>
        </w:tc>
        <w:tc>
          <w:tcPr>
            <w:tcW w:w="0" w:type="auto"/>
            <w:hideMark/>
          </w:tcPr>
          <w:p w14:paraId="687A678C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3AE360E4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BC7329" w:rsidRPr="00BC7329" w14:paraId="48AD3526" w14:textId="77777777" w:rsidTr="00B71DB4">
        <w:trPr>
          <w:cantSplit/>
        </w:trPr>
        <w:tc>
          <w:tcPr>
            <w:tcW w:w="0" w:type="auto"/>
            <w:hideMark/>
          </w:tcPr>
          <w:p w14:paraId="31AEF4FB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R06AX13</w:t>
            </w:r>
          </w:p>
        </w:tc>
        <w:tc>
          <w:tcPr>
            <w:tcW w:w="0" w:type="auto"/>
            <w:hideMark/>
          </w:tcPr>
          <w:p w14:paraId="1FF91BE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Loratadine</w:t>
            </w:r>
          </w:p>
        </w:tc>
        <w:tc>
          <w:tcPr>
            <w:tcW w:w="0" w:type="auto"/>
            <w:hideMark/>
          </w:tcPr>
          <w:p w14:paraId="32B1054D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4C252946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732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BC7329" w:rsidRPr="00BC7329" w14:paraId="2FB18470" w14:textId="77777777" w:rsidTr="00B71DB4">
        <w:trPr>
          <w:cantSplit/>
        </w:trPr>
        <w:tc>
          <w:tcPr>
            <w:tcW w:w="0" w:type="auto"/>
            <w:gridSpan w:val="4"/>
            <w:hideMark/>
          </w:tcPr>
          <w:p w14:paraId="37DCE106" w14:textId="77777777" w:rsidR="00BC7329" w:rsidRPr="00BC7329" w:rsidRDefault="00BC7329" w:rsidP="00B71D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8328DAF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i/>
          <w:color w:val="000000"/>
          <w:kern w:val="0"/>
          <w:szCs w:val="21"/>
        </w:rPr>
      </w:pPr>
      <w:r w:rsidRPr="00BC7329">
        <w:rPr>
          <w:rFonts w:ascii="Times New Roman" w:eastAsia="宋体" w:hAnsi="Times New Roman" w:cs="Times New Roman"/>
          <w:i/>
          <w:color w:val="000000"/>
          <w:kern w:val="0"/>
          <w:szCs w:val="21"/>
        </w:rPr>
        <w:t>ATC, Anatomical Therapeutic Chemical Classification System. Data represent the number of participants using the medication.</w:t>
      </w:r>
    </w:p>
    <w:p w14:paraId="567259F9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7BF298C5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vanish/>
          <w:kern w:val="0"/>
          <w:szCs w:val="21"/>
        </w:rPr>
      </w:pPr>
    </w:p>
    <w:p w14:paraId="24DBAC50" w14:textId="77777777" w:rsidR="00BC7329" w:rsidRPr="00BC7329" w:rsidRDefault="00BC7329" w:rsidP="00BC7329">
      <w:pPr>
        <w:widowControl/>
        <w:jc w:val="left"/>
        <w:rPr>
          <w:rFonts w:ascii="Times New Roman" w:eastAsia="宋体" w:hAnsi="Times New Roman" w:cs="Times New Roman"/>
          <w:vanish/>
          <w:kern w:val="0"/>
          <w:szCs w:val="21"/>
        </w:rPr>
      </w:pPr>
    </w:p>
    <w:p w14:paraId="1A6E3E60" w14:textId="77777777" w:rsidR="002E6E95" w:rsidRPr="00BC7329" w:rsidRDefault="002E6E95" w:rsidP="00BC7329">
      <w:pPr>
        <w:rPr>
          <w:rFonts w:ascii="Times New Roman" w:hAnsi="Times New Roman" w:cs="Times New Roman"/>
          <w:szCs w:val="21"/>
        </w:rPr>
      </w:pPr>
    </w:p>
    <w:sectPr w:rsidR="002E6E95" w:rsidRPr="00BC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F08"/>
    <w:rsid w:val="0022507A"/>
    <w:rsid w:val="002A4688"/>
    <w:rsid w:val="002E6E95"/>
    <w:rsid w:val="003F4F08"/>
    <w:rsid w:val="004D12E5"/>
    <w:rsid w:val="007B3A83"/>
    <w:rsid w:val="00A43F55"/>
    <w:rsid w:val="00AB5816"/>
    <w:rsid w:val="00BC7329"/>
    <w:rsid w:val="00D732C7"/>
    <w:rsid w:val="00DB2D81"/>
    <w:rsid w:val="00DE478D"/>
    <w:rsid w:val="00DF1051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9638"/>
  <w15:docId w15:val="{0DDDC96D-7A02-6F4F-BBCF-9B5ECB2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C7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C73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43F5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20">
    <w:name w:val="标题 2 字符"/>
    <w:basedOn w:val="a0"/>
    <w:link w:val="2"/>
    <w:uiPriority w:val="9"/>
    <w:rsid w:val="00BC732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BC7329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BC7329"/>
    <w:rPr>
      <w:b/>
      <w:bCs/>
    </w:rPr>
  </w:style>
  <w:style w:type="paragraph" w:customStyle="1" w:styleId="figure-legend">
    <w:name w:val="figure-legend"/>
    <w:basedOn w:val="a"/>
    <w:rsid w:val="00BC7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581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B5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8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5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8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z3624</cp:lastModifiedBy>
  <cp:revision>6</cp:revision>
  <dcterms:created xsi:type="dcterms:W3CDTF">2025-08-22T16:12:00Z</dcterms:created>
  <dcterms:modified xsi:type="dcterms:W3CDTF">2026-01-05T07:04:00Z</dcterms:modified>
</cp:coreProperties>
</file>