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inline distT="0" distB="0" distL="114300" distR="114300">
            <wp:extent cx="5266690" cy="7604125"/>
            <wp:effectExtent l="0" t="0" r="6350" b="635"/>
            <wp:docPr id="1" name="图片 1" descr="Supplement Figu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plement Figures1"/>
                    <pic:cNvPicPr>
                      <a:picLocks noChangeAspect="1"/>
                    </pic:cNvPicPr>
                  </pic:nvPicPr>
                  <pic:blipFill>
                    <a:blip r:embed="rId4"/>
                    <a:stretch>
                      <a:fillRect/>
                    </a:stretch>
                  </pic:blipFill>
                  <pic:spPr>
                    <a:xfrm>
                      <a:off x="0" y="0"/>
                      <a:ext cx="5266690" cy="7604125"/>
                    </a:xfrm>
                    <a:prstGeom prst="rect">
                      <a:avLst/>
                    </a:prstGeom>
                  </pic:spPr>
                </pic:pic>
              </a:graphicData>
            </a:graphic>
          </wp:inline>
        </w:drawing>
      </w:r>
      <w:bookmarkStart w:id="3" w:name="_GoBack"/>
      <w:bookmarkEnd w:id="3"/>
    </w:p>
    <w:p>
      <w:pPr>
        <w:spacing w:line="480" w:lineRule="auto"/>
        <w:rPr>
          <w:rFonts w:ascii="Times New Roman" w:hAnsi="Times New Roman" w:eastAsia="宋体" w:cs="Times New Roman"/>
          <w:szCs w:val="21"/>
        </w:rPr>
      </w:pPr>
      <w:bookmarkStart w:id="0" w:name="OLE_LINK1"/>
      <w:bookmarkEnd w:id="0"/>
      <w:r>
        <w:rPr>
          <w:rFonts w:hint="eastAsia" w:ascii="Times New Roman" w:hAnsi="Times New Roman" w:eastAsia="宋体" w:cs="Times New Roman"/>
          <w:szCs w:val="21"/>
        </w:rPr>
        <w:t>Supplementary Figure 1. Schematic Diagram of Choroidal Vascularity Index Measurement Using Semi-Automated Software</w:t>
      </w:r>
    </w:p>
    <w:p>
      <w:pPr>
        <w:spacing w:line="480" w:lineRule="auto"/>
        <w:rPr>
          <w:rFonts w:hint="eastAsia" w:ascii="Times New Roman" w:hAnsi="Times New Roman" w:eastAsia="宋体" w:cs="Times New Roman"/>
          <w:szCs w:val="21"/>
        </w:rPr>
      </w:pPr>
      <w:r>
        <w:rPr>
          <w:rFonts w:hint="eastAsia" w:ascii="Times New Roman" w:hAnsi="Times New Roman" w:eastAsia="宋体" w:cs="Times New Roman"/>
          <w:szCs w:val="21"/>
        </w:rPr>
        <w:t xml:space="preserve">A: Original SS-OCT image. The workflow begins by selecting the </w:t>
      </w:r>
      <w:r>
        <w:rPr>
          <w:rFonts w:ascii="Times New Roman" w:hAnsi="Times New Roman" w:eastAsia="宋体" w:cs="Times New Roman"/>
          <w:szCs w:val="21"/>
        </w:rPr>
        <w:t>“</w:t>
      </w:r>
      <w:r>
        <w:rPr>
          <w:rFonts w:hint="eastAsia" w:ascii="Times New Roman" w:hAnsi="Times New Roman" w:eastAsia="宋体" w:cs="Times New Roman"/>
          <w:szCs w:val="21"/>
        </w:rPr>
        <w:t>Anchor</w:t>
      </w:r>
      <w:r>
        <w:rPr>
          <w:rFonts w:ascii="Times New Roman" w:hAnsi="Times New Roman" w:eastAsia="宋体" w:cs="Times New Roman"/>
          <w:szCs w:val="21"/>
        </w:rPr>
        <w:t>”</w:t>
      </w:r>
      <w:r>
        <w:rPr>
          <w:rFonts w:hint="eastAsia" w:ascii="Times New Roman" w:hAnsi="Times New Roman" w:eastAsia="宋体" w:cs="Times New Roman"/>
          <w:szCs w:val="21"/>
        </w:rPr>
        <w:t xml:space="preserve"> button to identify major choroidal vessel lumens, followed by clicking </w:t>
      </w:r>
      <w:r>
        <w:rPr>
          <w:rFonts w:ascii="Times New Roman" w:hAnsi="Times New Roman" w:eastAsia="宋体" w:cs="Times New Roman"/>
          <w:szCs w:val="21"/>
        </w:rPr>
        <w:t>“</w:t>
      </w:r>
      <w:r>
        <w:rPr>
          <w:rFonts w:hint="eastAsia" w:ascii="Times New Roman" w:hAnsi="Times New Roman" w:eastAsia="宋体" w:cs="Times New Roman"/>
          <w:szCs w:val="21"/>
        </w:rPr>
        <w:t>Auto Local Threshold</w:t>
      </w:r>
      <w:r>
        <w:rPr>
          <w:rFonts w:ascii="Times New Roman" w:hAnsi="Times New Roman" w:eastAsia="宋体" w:cs="Times New Roman"/>
          <w:szCs w:val="21"/>
        </w:rPr>
        <w:t>”</w:t>
      </w:r>
      <w:r>
        <w:rPr>
          <w:rFonts w:hint="eastAsia" w:ascii="Times New Roman" w:hAnsi="Times New Roman" w:eastAsia="宋体" w:cs="Times New Roman"/>
          <w:szCs w:val="21"/>
        </w:rPr>
        <w:t xml:space="preserve"> to generate the binarized image. Chinese translations for these interface elements are annotated in blue panels. </w:t>
      </w:r>
    </w:p>
    <w:p>
      <w:pPr>
        <w:spacing w:line="480" w:lineRule="auto"/>
        <w:rPr>
          <w:rFonts w:hint="eastAsia" w:ascii="Times New Roman" w:hAnsi="Times New Roman" w:eastAsia="宋体" w:cs="Times New Roman"/>
          <w:szCs w:val="21"/>
        </w:rPr>
      </w:pPr>
      <w:r>
        <w:rPr>
          <w:rFonts w:hint="eastAsia" w:ascii="Times New Roman" w:hAnsi="Times New Roman" w:eastAsia="宋体" w:cs="Times New Roman"/>
          <w:szCs w:val="21"/>
        </w:rPr>
        <w:t xml:space="preserve">B: The binarized image is shown. The </w:t>
      </w:r>
      <w:r>
        <w:rPr>
          <w:rFonts w:ascii="Times New Roman" w:hAnsi="Times New Roman" w:eastAsia="宋体" w:cs="Times New Roman"/>
          <w:szCs w:val="21"/>
        </w:rPr>
        <w:t>“</w:t>
      </w:r>
      <w:r>
        <w:rPr>
          <w:rFonts w:hint="eastAsia" w:ascii="Times New Roman" w:hAnsi="Times New Roman" w:eastAsia="宋体" w:cs="Times New Roman"/>
          <w:szCs w:val="21"/>
        </w:rPr>
        <w:t>Measure</w:t>
      </w:r>
      <w:r>
        <w:rPr>
          <w:rFonts w:ascii="Times New Roman" w:hAnsi="Times New Roman" w:eastAsia="宋体" w:cs="Times New Roman"/>
          <w:szCs w:val="21"/>
        </w:rPr>
        <w:t>”</w:t>
      </w:r>
      <w:r>
        <w:rPr>
          <w:rFonts w:hint="eastAsia" w:ascii="Times New Roman" w:hAnsi="Times New Roman" w:eastAsia="宋体" w:cs="Times New Roman"/>
          <w:szCs w:val="21"/>
        </w:rPr>
        <w:t xml:space="preserve"> button is clicked after setting the measurement width to activate the subsequent analysis buttons. </w:t>
      </w:r>
    </w:p>
    <w:p>
      <w:pPr>
        <w:spacing w:line="480" w:lineRule="auto"/>
        <w:rPr>
          <w:rFonts w:hint="eastAsia" w:ascii="Times New Roman" w:hAnsi="Times New Roman" w:eastAsia="宋体" w:cs="Times New Roman"/>
          <w:szCs w:val="21"/>
        </w:rPr>
      </w:pPr>
      <w:r>
        <w:rPr>
          <w:rFonts w:hint="eastAsia" w:ascii="Times New Roman" w:hAnsi="Times New Roman" w:eastAsia="宋体" w:cs="Times New Roman"/>
          <w:szCs w:val="21"/>
        </w:rPr>
        <w:t xml:space="preserve">C: The newly activated steps involve clicking </w:t>
      </w:r>
      <w:r>
        <w:rPr>
          <w:rFonts w:ascii="Times New Roman" w:hAnsi="Times New Roman" w:eastAsia="宋体" w:cs="Times New Roman"/>
          <w:szCs w:val="21"/>
        </w:rPr>
        <w:t>“</w:t>
      </w:r>
      <w:r>
        <w:rPr>
          <w:rFonts w:hint="eastAsia" w:ascii="Times New Roman" w:hAnsi="Times New Roman" w:eastAsia="宋体" w:cs="Times New Roman"/>
          <w:szCs w:val="21"/>
        </w:rPr>
        <w:t>Fovea</w:t>
      </w:r>
      <w:r>
        <w:rPr>
          <w:rFonts w:ascii="Times New Roman" w:hAnsi="Times New Roman" w:eastAsia="宋体" w:cs="Times New Roman"/>
          <w:szCs w:val="21"/>
        </w:rPr>
        <w:t>”</w:t>
      </w:r>
      <w:r>
        <w:rPr>
          <w:rFonts w:hint="eastAsia" w:ascii="Times New Roman" w:hAnsi="Times New Roman" w:eastAsia="宋体" w:cs="Times New Roman"/>
          <w:szCs w:val="21"/>
        </w:rPr>
        <w:t xml:space="preserve"> to define the anatomic center, and then </w:t>
      </w:r>
      <w:r>
        <w:rPr>
          <w:rFonts w:ascii="Times New Roman" w:hAnsi="Times New Roman" w:eastAsia="宋体" w:cs="Times New Roman"/>
          <w:szCs w:val="21"/>
        </w:rPr>
        <w:t>“</w:t>
      </w:r>
      <w:r>
        <w:rPr>
          <w:rFonts w:hint="eastAsia" w:ascii="Times New Roman" w:hAnsi="Times New Roman" w:eastAsia="宋体" w:cs="Times New Roman"/>
          <w:szCs w:val="21"/>
        </w:rPr>
        <w:t>ROI</w:t>
      </w:r>
      <w:r>
        <w:rPr>
          <w:rFonts w:ascii="Times New Roman" w:hAnsi="Times New Roman" w:eastAsia="宋体" w:cs="Times New Roman"/>
          <w:szCs w:val="21"/>
        </w:rPr>
        <w:t>”</w:t>
      </w:r>
      <w:r>
        <w:rPr>
          <w:rFonts w:hint="eastAsia" w:ascii="Times New Roman" w:hAnsi="Times New Roman" w:eastAsia="宋体" w:cs="Times New Roman"/>
          <w:szCs w:val="21"/>
        </w:rPr>
        <w:t xml:space="preserve"> to activate the measurement boundaries.</w:t>
      </w:r>
    </w:p>
    <w:p>
      <w:pPr>
        <w:spacing w:line="480" w:lineRule="auto"/>
        <w:rPr>
          <w:rFonts w:hint="eastAsia" w:ascii="Times New Roman" w:hAnsi="Times New Roman" w:eastAsia="宋体" w:cs="Times New Roman"/>
          <w:szCs w:val="21"/>
        </w:rPr>
      </w:pPr>
      <w:r>
        <w:rPr>
          <w:rFonts w:hint="eastAsia" w:ascii="Times New Roman" w:hAnsi="Times New Roman" w:eastAsia="宋体" w:cs="Times New Roman"/>
          <w:szCs w:val="21"/>
        </w:rPr>
        <w:t xml:space="preserve">D: Manual refinement of the choroidal region within the active ROI. </w:t>
      </w:r>
    </w:p>
    <w:p>
      <w:pPr>
        <w:spacing w:line="480" w:lineRule="auto"/>
        <w:rPr>
          <w:rFonts w:hint="eastAsia" w:ascii="Times New Roman" w:hAnsi="Times New Roman" w:eastAsia="宋体" w:cs="Times New Roman"/>
          <w:szCs w:val="21"/>
        </w:rPr>
      </w:pPr>
      <w:r>
        <w:rPr>
          <w:rFonts w:hint="eastAsia" w:ascii="Times New Roman" w:hAnsi="Times New Roman" w:eastAsia="宋体" w:cs="Times New Roman"/>
          <w:szCs w:val="21"/>
        </w:rPr>
        <w:t>E: Final CVI measurement output for the central subfield.</w:t>
      </w:r>
    </w:p>
    <w:p>
      <w:pPr>
        <w:spacing w:line="480" w:lineRule="auto"/>
        <w:rPr>
          <w:rFonts w:hint="eastAsia" w:ascii="Times New Roman" w:hAnsi="Times New Roman" w:eastAsia="宋体" w:cs="Times New Roman"/>
          <w:szCs w:val="21"/>
        </w:rPr>
      </w:pPr>
      <w:r>
        <w:rPr>
          <w:rFonts w:hint="eastAsia" w:ascii="Times New Roman" w:hAnsi="Times New Roman" w:eastAsia="宋体" w:cs="Times New Roman"/>
          <w:szCs w:val="21"/>
        </w:rPr>
        <w:t>(F</w:t>
      </w:r>
      <w:r>
        <w:rPr>
          <w:rFonts w:hint="eastAsia" w:ascii="宋体" w:hAnsi="宋体" w:eastAsia="宋体" w:cs="Times New Roman"/>
          <w:szCs w:val="21"/>
        </w:rPr>
        <w:t>–</w:t>
      </w:r>
      <w:r>
        <w:rPr>
          <w:rFonts w:hint="eastAsia" w:ascii="Times New Roman" w:hAnsi="Times New Roman" w:eastAsia="宋体" w:cs="Times New Roman"/>
          <w:szCs w:val="21"/>
        </w:rPr>
        <w:t xml:space="preserve">H) Workflow for measuring CVI in inner ETDRS quadrants using a transparent alignment guide. </w:t>
      </w:r>
    </w:p>
    <w:p>
      <w:pPr>
        <w:spacing w:line="480" w:lineRule="auto"/>
        <w:rPr>
          <w:rFonts w:hint="eastAsia" w:ascii="Times New Roman" w:hAnsi="Times New Roman" w:eastAsia="宋体" w:cs="Times New Roman"/>
          <w:szCs w:val="21"/>
        </w:rPr>
      </w:pPr>
      <w:r>
        <w:rPr>
          <w:rFonts w:hint="eastAsia" w:ascii="Times New Roman" w:hAnsi="Times New Roman" w:eastAsia="宋体" w:cs="Times New Roman"/>
          <w:szCs w:val="21"/>
        </w:rPr>
        <w:t xml:space="preserve">F: A transparent overlay is positioned such that its physical edge serves as a vertical reference line, which is aligned with the foveal center. This ensures consistent and reproducible positioning for quadrant-specific measurements. </w:t>
      </w:r>
    </w:p>
    <w:p>
      <w:pPr>
        <w:spacing w:line="480" w:lineRule="auto"/>
        <w:rPr>
          <w:rFonts w:hint="eastAsia" w:ascii="Times New Roman" w:hAnsi="Times New Roman" w:eastAsia="宋体" w:cs="Times New Roman"/>
          <w:szCs w:val="21"/>
        </w:rPr>
      </w:pPr>
      <w:r>
        <w:rPr>
          <w:rFonts w:hint="eastAsia" w:ascii="Times New Roman" w:hAnsi="Times New Roman" w:eastAsia="宋体" w:cs="Times New Roman"/>
          <w:szCs w:val="21"/>
        </w:rPr>
        <w:t>(G</w:t>
      </w:r>
      <w:r>
        <w:rPr>
          <w:rFonts w:hint="eastAsia" w:ascii="宋体" w:hAnsi="宋体" w:eastAsia="宋体" w:cs="Times New Roman"/>
          <w:szCs w:val="21"/>
        </w:rPr>
        <w:t>–</w:t>
      </w:r>
      <w:r>
        <w:rPr>
          <w:rFonts w:hint="eastAsia" w:ascii="Times New Roman" w:hAnsi="Times New Roman" w:eastAsia="宋体" w:cs="Times New Roman"/>
          <w:szCs w:val="21"/>
        </w:rPr>
        <w:t>H) With the foveal center aligned to the reference edge, the digital ROI boundary is positioned to cover the desired inner quadrant. Adjusting the ROI width (e.g., to 1500 µm or 500 µm) enables the calculation of quadrant-specific CVI using the formula:</w:t>
      </w:r>
    </w:p>
    <w:p>
      <w:pPr>
        <w:spacing w:line="480" w:lineRule="auto"/>
        <w:rPr>
          <w:rFonts w:hint="eastAsia" w:ascii="Times New Roman" w:hAnsi="Times New Roman" w:eastAsia="宋体" w:cs="Times New Roman"/>
          <w:szCs w:val="21"/>
        </w:rPr>
      </w:pPr>
      <w:r>
        <w:rPr>
          <w:rFonts w:hint="eastAsia" w:ascii="Times New Roman" w:hAnsi="Times New Roman" w:eastAsia="宋体" w:cs="Times New Roman"/>
          <w:szCs w:val="21"/>
        </w:rPr>
        <w:t xml:space="preserve">quadrant-specific CVI = </w:t>
      </w:r>
      <w:r>
        <w:rPr>
          <w:rFonts w:ascii="Times New Roman" w:hAnsi="Times New Roman" w:eastAsia="宋体" w:cs="Times New Roman"/>
          <w:szCs w:val="21"/>
        </w:rPr>
        <w:t>(LA</w:t>
      </w:r>
      <w:r>
        <w:rPr>
          <w:rFonts w:ascii="Times New Roman" w:hAnsi="Times New Roman" w:eastAsia="宋体" w:cs="Times New Roman"/>
          <w:szCs w:val="21"/>
          <w:vertAlign w:val="subscript"/>
        </w:rPr>
        <w:t>1500 µm</w:t>
      </w:r>
      <w:r>
        <w:rPr>
          <w:rFonts w:ascii="Times New Roman" w:hAnsi="Times New Roman" w:eastAsia="宋体" w:cs="Times New Roman"/>
          <w:szCs w:val="21"/>
        </w:rPr>
        <w:t xml:space="preserve"> – LA</w:t>
      </w:r>
      <w:r>
        <w:rPr>
          <w:rFonts w:ascii="Times New Roman" w:hAnsi="Times New Roman" w:eastAsia="宋体" w:cs="Times New Roman"/>
          <w:szCs w:val="21"/>
          <w:vertAlign w:val="subscript"/>
        </w:rPr>
        <w:t>500 µm</w:t>
      </w:r>
      <w:r>
        <w:rPr>
          <w:rFonts w:ascii="Times New Roman" w:hAnsi="Times New Roman" w:eastAsia="宋体" w:cs="Times New Roman"/>
          <w:szCs w:val="21"/>
        </w:rPr>
        <w:t>) / (TCA</w:t>
      </w:r>
      <w:r>
        <w:rPr>
          <w:rFonts w:ascii="Times New Roman" w:hAnsi="Times New Roman" w:eastAsia="宋体" w:cs="Times New Roman"/>
          <w:szCs w:val="21"/>
          <w:vertAlign w:val="subscript"/>
        </w:rPr>
        <w:t>1500 µm</w:t>
      </w:r>
      <w:r>
        <w:rPr>
          <w:rFonts w:ascii="Times New Roman" w:hAnsi="Times New Roman" w:eastAsia="宋体" w:cs="Times New Roman"/>
          <w:szCs w:val="21"/>
        </w:rPr>
        <w:t xml:space="preserve"> – TCA</w:t>
      </w:r>
      <w:r>
        <w:rPr>
          <w:rFonts w:ascii="Times New Roman" w:hAnsi="Times New Roman" w:eastAsia="宋体" w:cs="Times New Roman"/>
          <w:szCs w:val="21"/>
          <w:vertAlign w:val="subscript"/>
        </w:rPr>
        <w:t>500 µm</w:t>
      </w:r>
      <w:r>
        <w:rPr>
          <w:rFonts w:ascii="Times New Roman" w:hAnsi="Times New Roman" w:eastAsia="宋体" w:cs="Times New Roman"/>
          <w:szCs w:val="21"/>
        </w:rPr>
        <w:t>)</w:t>
      </w:r>
      <w:r>
        <w:rPr>
          <w:rFonts w:hint="eastAsia" w:ascii="Times New Roman" w:hAnsi="Times New Roman" w:eastAsia="宋体" w:cs="Times New Roman"/>
          <w:szCs w:val="21"/>
        </w:rPr>
        <w:t xml:space="preserve">, where LA and TCA denote the luminal and total choroidal areas, respectively. </w:t>
      </w:r>
    </w:p>
    <w:p>
      <w:pPr>
        <w:spacing w:line="480" w:lineRule="auto"/>
        <w:rPr>
          <w:rFonts w:hint="eastAsia" w:ascii="Times New Roman" w:hAnsi="Times New Roman" w:eastAsia="宋体" w:cs="Times New Roman"/>
          <w:szCs w:val="21"/>
        </w:rPr>
      </w:pPr>
      <w:r>
        <w:rPr>
          <w:rFonts w:hint="eastAsia" w:ascii="Times New Roman" w:hAnsi="Times New Roman" w:eastAsia="宋体" w:cs="Times New Roman"/>
          <w:szCs w:val="21"/>
        </w:rPr>
        <w:t>CVI was derived using an established semi-automated algorithm</w:t>
      </w:r>
      <w:r>
        <w:rPr>
          <w:rFonts w:ascii="Times New Roman" w:hAnsi="Times New Roman" w:eastAsia="宋体" w:cs="Times New Roman"/>
          <w:szCs w:val="21"/>
          <w:vertAlign w:val="superscript"/>
        </w:rPr>
        <w:t>48</w:t>
      </w:r>
      <w:r>
        <w:rPr>
          <w:rFonts w:hint="eastAsia" w:ascii="Times New Roman" w:hAnsi="Times New Roman" w:eastAsia="宋体" w:cs="Times New Roman"/>
          <w:szCs w:val="21"/>
        </w:rPr>
        <w:t>. Binarization was performed according to published methods</w:t>
      </w:r>
      <w:r>
        <w:rPr>
          <w:rFonts w:ascii="Times New Roman" w:hAnsi="Times New Roman" w:eastAsia="宋体" w:cs="Times New Roman"/>
          <w:szCs w:val="21"/>
          <w:vertAlign w:val="superscript"/>
        </w:rPr>
        <w:t>46 49 50</w:t>
      </w:r>
      <w:r>
        <w:rPr>
          <w:rFonts w:hint="eastAsia" w:ascii="Times New Roman" w:hAnsi="Times New Roman" w:eastAsia="宋体" w:cs="Times New Roman"/>
          <w:szCs w:val="21"/>
        </w:rPr>
        <w:t>, followed by customized computational segmentation</w:t>
      </w:r>
      <w:r>
        <w:rPr>
          <w:rFonts w:ascii="Times New Roman" w:hAnsi="Times New Roman" w:eastAsia="宋体" w:cs="Times New Roman"/>
          <w:szCs w:val="21"/>
          <w:vertAlign w:val="superscript"/>
        </w:rPr>
        <w:t>50</w:t>
      </w:r>
      <w:r>
        <w:rPr>
          <w:rFonts w:hint="eastAsia" w:ascii="Times New Roman" w:hAnsi="Times New Roman" w:eastAsia="宋体" w:cs="Times New Roman"/>
          <w:szCs w:val="21"/>
        </w:rPr>
        <w:t>. The software automatically standardized the physical ROI width across different OCT scan sizes (6 mm, 9 mm, or 12 mm) to ensure consistent measurement areas. Throughout panels (A) to (H), red rectangles indicate the sequential key steps in the software operation workflow.</w:t>
      </w:r>
    </w:p>
    <w:p>
      <w:pPr>
        <w:spacing w:line="480" w:lineRule="auto"/>
        <w:rPr>
          <w:rFonts w:hint="eastAsia" w:ascii="Times New Roman" w:hAnsi="Times New Roman" w:eastAsia="宋体" w:cs="Times New Roman"/>
          <w:szCs w:val="21"/>
        </w:rPr>
      </w:pPr>
      <w:r>
        <w:rPr>
          <w:rFonts w:hint="eastAsia" w:ascii="Times New Roman" w:hAnsi="Times New Roman" w:eastAsia="宋体" w:cs="Times New Roman"/>
          <w:szCs w:val="21"/>
        </w:rPr>
        <w:t xml:space="preserve">AL: axis length; </w:t>
      </w:r>
      <w:r>
        <w:rPr>
          <w:rFonts w:ascii="Times New Roman" w:hAnsi="Times New Roman" w:eastAsia="宋体" w:cs="Times New Roman"/>
          <w:szCs w:val="21"/>
        </w:rPr>
        <w:t>CVI: choroidal vascularity index</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ETDRS: Early Treatment Diabetic Retinopathy Study; </w:t>
      </w:r>
      <w:r>
        <w:rPr>
          <w:rFonts w:hint="eastAsia" w:ascii="Times New Roman" w:hAnsi="Times New Roman" w:eastAsia="宋体" w:cs="Times New Roman"/>
          <w:szCs w:val="21"/>
        </w:rPr>
        <w:t>LA: lumina larea; ROI: region of interest; SS-OCT: swept-source optical coherence tomography; TCA: total choroidal area</w:t>
      </w:r>
      <w:r>
        <w:rPr>
          <w:rFonts w:ascii="Times New Roman" w:hAnsi="Times New Roman" w:eastAsia="宋体" w:cs="Times New Roman"/>
          <w:szCs w:val="21"/>
        </w:rPr>
        <w:t>.</w:t>
      </w:r>
    </w:p>
    <w:p>
      <w:pPr>
        <w:spacing w:line="480" w:lineRule="auto"/>
        <w:rPr>
          <w:rFonts w:ascii="Times New Roman" w:hAnsi="Times New Roman" w:eastAsia="宋体" w:cs="Times New Roman"/>
          <w:szCs w:val="21"/>
        </w:rPr>
      </w:pPr>
      <w:r>
        <w:rPr>
          <w:rFonts w:hint="eastAsia" w:ascii="Times New Roman" w:hAnsi="Times New Roman" w:eastAsia="宋体" w:cs="Times New Roman"/>
          <w:szCs w:val="21"/>
        </w:rPr>
        <w:t xml:space="preserve"> </w:t>
      </w:r>
    </w:p>
    <w:p>
      <w:r>
        <w:drawing>
          <wp:inline distT="0" distB="0" distL="0" distR="0">
            <wp:extent cx="5274310" cy="7613650"/>
            <wp:effectExtent l="0" t="0" r="2540" b="6350"/>
            <wp:docPr id="12170163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16333"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7613650"/>
                    </a:xfrm>
                    <a:prstGeom prst="rect">
                      <a:avLst/>
                    </a:prstGeom>
                    <a:noFill/>
                    <a:ln>
                      <a:noFill/>
                    </a:ln>
                  </pic:spPr>
                </pic:pic>
              </a:graphicData>
            </a:graphic>
          </wp:inline>
        </w:drawing>
      </w:r>
    </w:p>
    <w:p>
      <w:pPr>
        <w:spacing w:line="480" w:lineRule="auto"/>
        <w:rPr>
          <w:rFonts w:ascii="Times New Roman" w:hAnsi="Times New Roman" w:eastAsia="宋体" w:cs="Times New Roman"/>
          <w:szCs w:val="21"/>
        </w:rPr>
      </w:pPr>
      <w:r>
        <w:rPr>
          <w:rFonts w:hint="eastAsia" w:ascii="Times New Roman" w:hAnsi="Times New Roman" w:eastAsia="宋体" w:cs="Times New Roman"/>
          <w:szCs w:val="21"/>
        </w:rPr>
        <w:t>Supplementary Figure 2. Retinal and Choroidal Topographic Mapping and Predictive Model Sensitivity Analysis</w:t>
      </w:r>
    </w:p>
    <w:p>
      <w:pPr>
        <w:spacing w:line="480" w:lineRule="auto"/>
        <w:rPr>
          <w:rFonts w:hint="eastAsia" w:ascii="Times New Roman" w:hAnsi="Times New Roman" w:eastAsia="宋体" w:cs="Times New Roman"/>
          <w:szCs w:val="21"/>
        </w:rPr>
      </w:pPr>
      <w:r>
        <w:rPr>
          <w:rFonts w:hint="eastAsia" w:ascii="Times New Roman" w:hAnsi="Times New Roman" w:eastAsia="宋体" w:cs="Times New Roman"/>
          <w:szCs w:val="21"/>
        </w:rPr>
        <w:t>(A-D) Schematic diagrams of the ETDRS grid applied to SS-OCT volumetric and thickness data. Panels illustrate the topographic distribution of (A) retinal volume, (B) retinal mean thickness, (C) choroidal volume, and (D) choroidal mean thickness across the macular region. All quantitative data for these parameters, including total retinal and choroidal volumes within the ETDRS subfields, were exported directly from the proprietary Topcon software for analysis.</w:t>
      </w:r>
    </w:p>
    <w:p>
      <w:pPr>
        <w:spacing w:line="480" w:lineRule="auto"/>
        <w:rPr>
          <w:rFonts w:hint="eastAsia" w:ascii="Times New Roman" w:hAnsi="Times New Roman" w:eastAsia="宋体" w:cs="Times New Roman"/>
          <w:szCs w:val="21"/>
        </w:rPr>
      </w:pPr>
      <w:bookmarkStart w:id="1" w:name="OLE_LINK2"/>
      <w:bookmarkEnd w:id="1"/>
      <w:r>
        <w:rPr>
          <w:rFonts w:hint="eastAsia" w:ascii="Times New Roman" w:hAnsi="Times New Roman" w:eastAsia="宋体" w:cs="Times New Roman"/>
          <w:szCs w:val="21"/>
        </w:rPr>
        <w:t>(E) Coefficient magnitude plot from the post-hoc linear regression models using Elastic-Net selected variables, illustrating the direction and relative importance of each predictor. Red and blue bars distinguish positive and negative associations with visual acuity improvement, respectively.</w:t>
      </w:r>
    </w:p>
    <w:p>
      <w:pPr>
        <w:spacing w:line="480" w:lineRule="auto"/>
        <w:rPr>
          <w:rFonts w:hint="eastAsia" w:ascii="Times New Roman" w:hAnsi="Times New Roman" w:eastAsia="宋体" w:cs="Times New Roman"/>
          <w:szCs w:val="21"/>
        </w:rPr>
      </w:pPr>
      <w:bookmarkStart w:id="2" w:name="OLE_LINK3"/>
      <w:bookmarkEnd w:id="2"/>
      <w:r>
        <w:rPr>
          <w:rFonts w:hint="eastAsia" w:ascii="Times New Roman" w:hAnsi="Times New Roman" w:eastAsia="宋体" w:cs="Times New Roman"/>
          <w:szCs w:val="21"/>
        </w:rPr>
        <w:t>(F-H) Sensitivity analyses using post-hoc linear regression models fitted with the Elastic-Net selected predictors under different analytical conditions, transitioning from eye-level to subject-level data. (F) Analysis of all available eyes at subject level. (G) Analysis of models adjusted for anti-VEGF drug type. (H) Analysis restricted to one eye per participant (the eye showing the greatest visual acuity improvement) to control for interocular correlation.</w:t>
      </w:r>
    </w:p>
    <w:p>
      <w:pPr>
        <w:spacing w:line="480" w:lineRule="auto"/>
        <w:rPr>
          <w:rFonts w:hint="eastAsia" w:ascii="Times New Roman" w:hAnsi="Times New Roman" w:eastAsia="宋体" w:cs="Times New Roman"/>
          <w:szCs w:val="21"/>
        </w:rPr>
      </w:pPr>
      <w:r>
        <w:rPr>
          <w:rFonts w:hint="eastAsia" w:ascii="Times New Roman" w:hAnsi="Times New Roman" w:eastAsia="宋体" w:cs="Times New Roman"/>
          <w:szCs w:val="21"/>
        </w:rPr>
        <w:t xml:space="preserve">(I-K) Line plots (corresponding to Figure 3B-D) displaying measurements at baseline and follow-up for variables with significant intergroup differences, with error bars representing the standard deviation (SD). </w:t>
      </w:r>
    </w:p>
    <w:p>
      <w:pPr>
        <w:spacing w:line="480" w:lineRule="auto"/>
        <w:rPr>
          <w:rFonts w:hint="eastAsia" w:ascii="Times New Roman" w:hAnsi="Times New Roman" w:eastAsia="宋体" w:cs="Times New Roman"/>
          <w:szCs w:val="21"/>
        </w:rPr>
      </w:pPr>
      <w:r>
        <w:rPr>
          <w:rFonts w:ascii="Times New Roman" w:hAnsi="Times New Roman" w:eastAsia="宋体" w:cs="Times New Roman"/>
          <w:szCs w:val="21"/>
        </w:rPr>
        <w:t xml:space="preserve">Standard Early Treatment Diabetic Retinopathy Study </w:t>
      </w:r>
      <w:r>
        <w:rPr>
          <w:rFonts w:hint="eastAsia" w:ascii="Times New Roman" w:hAnsi="Times New Roman" w:eastAsia="宋体" w:cs="Times New Roman"/>
          <w:szCs w:val="21"/>
        </w:rPr>
        <w:t>(</w:t>
      </w:r>
      <w:r>
        <w:rPr>
          <w:rFonts w:ascii="Times New Roman" w:hAnsi="Times New Roman" w:eastAsia="宋体" w:cs="Times New Roman"/>
          <w:szCs w:val="21"/>
        </w:rPr>
        <w:t>ET</w:t>
      </w:r>
      <w:r>
        <w:rPr>
          <w:rFonts w:hint="eastAsia" w:ascii="Times New Roman" w:hAnsi="Times New Roman" w:eastAsia="宋体" w:cs="Times New Roman"/>
          <w:szCs w:val="21"/>
        </w:rPr>
        <w:t>D</w:t>
      </w:r>
      <w:r>
        <w:rPr>
          <w:rFonts w:ascii="Times New Roman" w:hAnsi="Times New Roman" w:eastAsia="宋体" w:cs="Times New Roman"/>
          <w:szCs w:val="21"/>
        </w:rPr>
        <w:t>RS</w:t>
      </w:r>
      <w:r>
        <w:rPr>
          <w:rFonts w:hint="eastAsia" w:ascii="Times New Roman" w:hAnsi="Times New Roman" w:eastAsia="宋体" w:cs="Times New Roman"/>
          <w:szCs w:val="21"/>
        </w:rPr>
        <w:t>)</w:t>
      </w:r>
      <w:r>
        <w:rPr>
          <w:rFonts w:ascii="Times New Roman" w:hAnsi="Times New Roman" w:eastAsia="宋体" w:cs="Times New Roman"/>
          <w:szCs w:val="21"/>
        </w:rPr>
        <w:t xml:space="preserve"> grid w</w:t>
      </w:r>
      <w:r>
        <w:rPr>
          <w:rFonts w:hint="eastAsia" w:ascii="Times New Roman" w:hAnsi="Times New Roman" w:eastAsia="宋体" w:cs="Times New Roman"/>
          <w:szCs w:val="21"/>
        </w:rPr>
        <w:t>as</w:t>
      </w:r>
      <w:r>
        <w:rPr>
          <w:rFonts w:ascii="Times New Roman" w:hAnsi="Times New Roman" w:eastAsia="宋体" w:cs="Times New Roman"/>
          <w:szCs w:val="21"/>
        </w:rPr>
        <w:t xml:space="preserve"> used with central subfield (r = 0.5 mm) (Central), inner ring (r = 0.5-1.5 mm) (I</w:t>
      </w:r>
      <w:r>
        <w:rPr>
          <w:rFonts w:hint="eastAsia" w:ascii="Times New Roman" w:hAnsi="Times New Roman" w:eastAsia="宋体" w:cs="Times New Roman"/>
          <w:szCs w:val="21"/>
        </w:rPr>
        <w:t>n</w:t>
      </w:r>
      <w:r>
        <w:rPr>
          <w:rFonts w:ascii="Times New Roman" w:hAnsi="Times New Roman" w:eastAsia="宋体" w:cs="Times New Roman"/>
          <w:szCs w:val="21"/>
        </w:rPr>
        <w:t>) and outer ring (r = 1.5-3 mm) (O</w:t>
      </w:r>
      <w:r>
        <w:rPr>
          <w:rFonts w:hint="eastAsia" w:ascii="Times New Roman" w:hAnsi="Times New Roman" w:eastAsia="宋体" w:cs="Times New Roman"/>
          <w:szCs w:val="21"/>
        </w:rPr>
        <w:t>ut</w:t>
      </w:r>
      <w:r>
        <w:rPr>
          <w:rFonts w:ascii="Times New Roman" w:hAnsi="Times New Roman" w:eastAsia="宋体" w:cs="Times New Roman"/>
          <w:szCs w:val="21"/>
        </w:rPr>
        <w:t>). Inner ring and outer ring were divided into four parts: superior part (S), inferior part (I), nasal part (N) and temporal part (T). I</w:t>
      </w:r>
      <w:r>
        <w:rPr>
          <w:rFonts w:hint="eastAsia" w:ascii="Times New Roman" w:hAnsi="Times New Roman" w:eastAsia="宋体" w:cs="Times New Roman"/>
          <w:szCs w:val="21"/>
        </w:rPr>
        <w:t>n</w:t>
      </w:r>
      <w:r>
        <w:rPr>
          <w:rFonts w:ascii="Times New Roman" w:hAnsi="Times New Roman" w:eastAsia="宋体" w:cs="Times New Roman"/>
          <w:szCs w:val="21"/>
        </w:rPr>
        <w:t>.S. stood for superior part of inner ring and so were the others</w:t>
      </w:r>
      <w:r>
        <w:rPr>
          <w:rFonts w:ascii="Times New Roman" w:hAnsi="Times New Roman" w:eastAsia="宋体" w:cs="Times New Roman"/>
          <w:szCs w:val="21"/>
          <w:vertAlign w:val="superscript"/>
        </w:rPr>
        <w:t>47</w:t>
      </w:r>
      <w:r>
        <w:rPr>
          <w:rFonts w:ascii="Times New Roman" w:hAnsi="Times New Roman" w:eastAsia="宋体" w:cs="Times New Roman"/>
          <w:szCs w:val="21"/>
        </w:rPr>
        <w:t xml:space="preserve">. </w:t>
      </w:r>
    </w:p>
    <w:p>
      <w:pPr>
        <w:spacing w:line="480" w:lineRule="auto"/>
        <w:rPr>
          <w:rFonts w:hint="eastAsia" w:ascii="Times New Roman" w:hAnsi="Times New Roman" w:eastAsia="宋体" w:cs="Times New Roman"/>
          <w:szCs w:val="21"/>
        </w:rPr>
      </w:pPr>
      <w:r>
        <w:rPr>
          <w:rFonts w:hint="eastAsia" w:ascii="Times New Roman" w:hAnsi="Times New Roman" w:eastAsia="宋体" w:cs="Times New Roman"/>
          <w:szCs w:val="21"/>
        </w:rPr>
        <w:t xml:space="preserve">BM: </w:t>
      </w:r>
      <w:r>
        <w:rPr>
          <w:rFonts w:ascii="Times New Roman" w:hAnsi="Times New Roman" w:eastAsia="宋体" w:cs="Times New Roman"/>
          <w:szCs w:val="21"/>
        </w:rPr>
        <w:t>Bruch’s membrane</w:t>
      </w:r>
      <w:r>
        <w:rPr>
          <w:rFonts w:hint="eastAsia" w:ascii="Times New Roman" w:hAnsi="Times New Roman" w:eastAsia="宋体" w:cs="Times New Roman"/>
          <w:szCs w:val="21"/>
        </w:rPr>
        <w:t xml:space="preserve">; CSI: </w:t>
      </w:r>
      <w:r>
        <w:rPr>
          <w:rFonts w:ascii="Times New Roman" w:hAnsi="Times New Roman" w:eastAsia="宋体" w:cs="Times New Roman"/>
          <w:szCs w:val="21"/>
        </w:rPr>
        <w:t>choroidal-scleral interface</w:t>
      </w:r>
      <w:r>
        <w:rPr>
          <w:rFonts w:hint="eastAsia" w:ascii="Times New Roman" w:hAnsi="Times New Roman" w:eastAsia="宋体" w:cs="Times New Roman"/>
          <w:szCs w:val="21"/>
        </w:rPr>
        <w:t xml:space="preserve">; CVI: choroidal vascularity index; ETDRS: Early Treatment Diabetic Retinopathy Study; ILM: </w:t>
      </w:r>
      <w:r>
        <w:rPr>
          <w:rFonts w:ascii="Times New Roman" w:hAnsi="Times New Roman" w:eastAsia="宋体" w:cs="Times New Roman"/>
          <w:szCs w:val="21"/>
        </w:rPr>
        <w:t>inner limiting membrane</w:t>
      </w:r>
      <w:r>
        <w:rPr>
          <w:rFonts w:hint="eastAsia" w:ascii="Times New Roman" w:hAnsi="Times New Roman" w:eastAsia="宋体" w:cs="Times New Roman"/>
          <w:szCs w:val="21"/>
        </w:rPr>
        <w:t>; RPE: retinal pigment epithelial; SD: standard deviation; SS-OCT: swept-source optical coherence tomography.</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YwNmE3MjExZWNiNjE1ZWRmYjQzZDZjMzFiODM2MjMifQ=="/>
  </w:docVars>
  <w:rsids>
    <w:rsidRoot w:val="001B4B5D"/>
    <w:rsid w:val="00137946"/>
    <w:rsid w:val="001B4B5D"/>
    <w:rsid w:val="00287E1C"/>
    <w:rsid w:val="00527050"/>
    <w:rsid w:val="00607280"/>
    <w:rsid w:val="00691BF8"/>
    <w:rsid w:val="006A18C8"/>
    <w:rsid w:val="0071479E"/>
    <w:rsid w:val="008D2AF7"/>
    <w:rsid w:val="00916A33"/>
    <w:rsid w:val="00B418F9"/>
    <w:rsid w:val="00B520D3"/>
    <w:rsid w:val="00B83C0F"/>
    <w:rsid w:val="00CD39AF"/>
    <w:rsid w:val="00E16543"/>
    <w:rsid w:val="00E26679"/>
    <w:rsid w:val="00F85CB1"/>
    <w:rsid w:val="00FE4993"/>
    <w:rsid w:val="32FB1E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8"/>
    <w:autoRedefine/>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19"/>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0"/>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1"/>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2"/>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3"/>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4"/>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5"/>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6">
    <w:name w:val="Default Paragraph Font"/>
    <w:unhideWhenUsed/>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11">
    <w:name w:val="footer"/>
    <w:basedOn w:val="1"/>
    <w:link w:val="36"/>
    <w:unhideWhenUsed/>
    <w:uiPriority w:val="99"/>
    <w:pPr>
      <w:tabs>
        <w:tab w:val="center" w:pos="4153"/>
        <w:tab w:val="right" w:pos="8306"/>
      </w:tabs>
      <w:snapToGrid w:val="0"/>
      <w:jc w:val="left"/>
    </w:pPr>
    <w:rPr>
      <w:sz w:val="18"/>
      <w:szCs w:val="18"/>
    </w:rPr>
  </w:style>
  <w:style w:type="paragraph" w:styleId="12">
    <w:name w:val="header"/>
    <w:basedOn w:val="1"/>
    <w:link w:val="35"/>
    <w:unhideWhenUsed/>
    <w:uiPriority w:val="99"/>
    <w:pPr>
      <w:tabs>
        <w:tab w:val="center" w:pos="4153"/>
        <w:tab w:val="right" w:pos="8306"/>
      </w:tabs>
      <w:snapToGrid w:val="0"/>
      <w:jc w:val="center"/>
    </w:pPr>
    <w:rPr>
      <w:sz w:val="18"/>
      <w:szCs w:val="18"/>
    </w:rPr>
  </w:style>
  <w:style w:type="paragraph" w:styleId="13">
    <w:name w:val="Subtitle"/>
    <w:basedOn w:val="1"/>
    <w:next w:val="1"/>
    <w:link w:val="27"/>
    <w:autoRedefine/>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6"/>
    <w:autoRedefine/>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7">
    <w:name w:val="标题 1 字符"/>
    <w:basedOn w:val="16"/>
    <w:link w:val="2"/>
    <w:uiPriority w:val="9"/>
    <w:rPr>
      <w:rFonts w:asciiTheme="majorHAnsi" w:hAnsiTheme="majorHAnsi" w:eastAsiaTheme="majorEastAsia" w:cstheme="majorBidi"/>
      <w:color w:val="104862" w:themeColor="accent1" w:themeShade="BF"/>
      <w:sz w:val="48"/>
      <w:szCs w:val="48"/>
    </w:rPr>
  </w:style>
  <w:style w:type="character" w:customStyle="1" w:styleId="18">
    <w:name w:val="标题 2 字符"/>
    <w:basedOn w:val="16"/>
    <w:link w:val="3"/>
    <w:semiHidden/>
    <w:uiPriority w:val="9"/>
    <w:rPr>
      <w:rFonts w:asciiTheme="majorHAnsi" w:hAnsiTheme="majorHAnsi" w:eastAsiaTheme="majorEastAsia" w:cstheme="majorBidi"/>
      <w:color w:val="104862" w:themeColor="accent1" w:themeShade="BF"/>
      <w:sz w:val="40"/>
      <w:szCs w:val="40"/>
    </w:rPr>
  </w:style>
  <w:style w:type="character" w:customStyle="1" w:styleId="19">
    <w:name w:val="标题 3 字符"/>
    <w:basedOn w:val="16"/>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0">
    <w:name w:val="标题 4 字符"/>
    <w:basedOn w:val="16"/>
    <w:link w:val="5"/>
    <w:semiHidden/>
    <w:uiPriority w:val="9"/>
    <w:rPr>
      <w:rFonts w:cstheme="majorBidi"/>
      <w:color w:val="104862" w:themeColor="accent1" w:themeShade="BF"/>
      <w:sz w:val="28"/>
      <w:szCs w:val="28"/>
    </w:rPr>
  </w:style>
  <w:style w:type="character" w:customStyle="1" w:styleId="21">
    <w:name w:val="标题 5 字符"/>
    <w:basedOn w:val="16"/>
    <w:link w:val="6"/>
    <w:autoRedefine/>
    <w:semiHidden/>
    <w:uiPriority w:val="9"/>
    <w:rPr>
      <w:rFonts w:cstheme="majorBidi"/>
      <w:color w:val="104862" w:themeColor="accent1" w:themeShade="BF"/>
      <w:sz w:val="24"/>
      <w:szCs w:val="24"/>
    </w:rPr>
  </w:style>
  <w:style w:type="character" w:customStyle="1" w:styleId="22">
    <w:name w:val="标题 6 字符"/>
    <w:basedOn w:val="16"/>
    <w:link w:val="7"/>
    <w:semiHidden/>
    <w:uiPriority w:val="9"/>
    <w:rPr>
      <w:rFonts w:cstheme="majorBidi"/>
      <w:b/>
      <w:bCs/>
      <w:color w:val="104862" w:themeColor="accent1" w:themeShade="BF"/>
    </w:rPr>
  </w:style>
  <w:style w:type="character" w:customStyle="1" w:styleId="23">
    <w:name w:val="标题 7 字符"/>
    <w:basedOn w:val="16"/>
    <w:link w:val="8"/>
    <w:semiHidden/>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4">
    <w:name w:val="标题 8 字符"/>
    <w:basedOn w:val="16"/>
    <w:link w:val="9"/>
    <w:semiHidden/>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5">
    <w:name w:val="标题 9 字符"/>
    <w:basedOn w:val="16"/>
    <w:link w:val="10"/>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6">
    <w:name w:val="标题 字符"/>
    <w:basedOn w:val="16"/>
    <w:link w:val="14"/>
    <w:qFormat/>
    <w:uiPriority w:val="10"/>
    <w:rPr>
      <w:rFonts w:asciiTheme="majorHAnsi" w:hAnsiTheme="majorHAnsi" w:eastAsiaTheme="majorEastAsia" w:cstheme="majorBidi"/>
      <w:spacing w:val="-10"/>
      <w:kern w:val="28"/>
      <w:sz w:val="56"/>
      <w:szCs w:val="56"/>
    </w:rPr>
  </w:style>
  <w:style w:type="character" w:customStyle="1" w:styleId="27">
    <w:name w:val="副标题 字符"/>
    <w:basedOn w:val="16"/>
    <w:link w:val="13"/>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8">
    <w:name w:val="Quote"/>
    <w:basedOn w:val="1"/>
    <w:next w:val="1"/>
    <w:link w:val="29"/>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29">
    <w:name w:val="引用 字符"/>
    <w:basedOn w:val="16"/>
    <w:link w:val="28"/>
    <w:uiPriority w:val="29"/>
    <w:rPr>
      <w:i/>
      <w:iCs/>
      <w:color w:val="404040" w:themeColor="text1" w:themeTint="BF"/>
      <w14:textFill>
        <w14:solidFill>
          <w14:schemeClr w14:val="tx1">
            <w14:lumMod w14:val="75000"/>
            <w14:lumOff w14:val="25000"/>
          </w14:schemeClr>
        </w14:solidFill>
      </w14:textFill>
    </w:rPr>
  </w:style>
  <w:style w:type="paragraph" w:styleId="30">
    <w:name w:val="List Paragraph"/>
    <w:basedOn w:val="1"/>
    <w:qFormat/>
    <w:uiPriority w:val="34"/>
    <w:pPr>
      <w:ind w:left="720"/>
      <w:contextualSpacing/>
    </w:pPr>
  </w:style>
  <w:style w:type="character" w:customStyle="1" w:styleId="31">
    <w:name w:val="Intense Emphasis"/>
    <w:basedOn w:val="16"/>
    <w:qFormat/>
    <w:uiPriority w:val="21"/>
    <w:rPr>
      <w:i/>
      <w:iCs/>
      <w:color w:val="104862" w:themeColor="accent1" w:themeShade="BF"/>
    </w:rPr>
  </w:style>
  <w:style w:type="paragraph" w:styleId="32">
    <w:name w:val="Intense Quote"/>
    <w:basedOn w:val="1"/>
    <w:next w:val="1"/>
    <w:link w:val="33"/>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3">
    <w:name w:val="明显引用 字符"/>
    <w:basedOn w:val="16"/>
    <w:link w:val="32"/>
    <w:uiPriority w:val="30"/>
    <w:rPr>
      <w:i/>
      <w:iCs/>
      <w:color w:val="104862" w:themeColor="accent1" w:themeShade="BF"/>
    </w:rPr>
  </w:style>
  <w:style w:type="character" w:customStyle="1" w:styleId="34">
    <w:name w:val="Intense Reference"/>
    <w:basedOn w:val="16"/>
    <w:qFormat/>
    <w:uiPriority w:val="32"/>
    <w:rPr>
      <w:b/>
      <w:bCs/>
      <w:smallCaps/>
      <w:color w:val="104862" w:themeColor="accent1" w:themeShade="BF"/>
      <w:spacing w:val="5"/>
    </w:rPr>
  </w:style>
  <w:style w:type="character" w:customStyle="1" w:styleId="35">
    <w:name w:val="页眉 字符"/>
    <w:basedOn w:val="16"/>
    <w:link w:val="12"/>
    <w:uiPriority w:val="99"/>
    <w:rPr>
      <w:sz w:val="18"/>
      <w:szCs w:val="18"/>
    </w:rPr>
  </w:style>
  <w:style w:type="character" w:customStyle="1" w:styleId="36">
    <w:name w:val="页脚 字符"/>
    <w:basedOn w:val="16"/>
    <w:link w:val="11"/>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602</Words>
  <Characters>3848</Characters>
  <Lines>53</Lines>
  <Paragraphs>14</Paragraphs>
  <TotalTime>1</TotalTime>
  <ScaleCrop>false</ScaleCrop>
  <LinksUpToDate>false</LinksUpToDate>
  <CharactersWithSpaces>4436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2025-12-11T07:56:00Z</dcterms:created>
  <dc:creator>YUAN QU</dc:creator>
  <cp:lastModifiedBy>屈嫄</cp:lastModifiedBy>
  <dcterms:modified xsi:type="dcterms:W3CDTF">2025-12-14T13:59:06Z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2493A6292A4F4D539EF529B0C929DB91_12</vt:lpwstr>
  </property>
</Properties>
</file>