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2D64">
      <w:pP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Additional Table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The quality of included studies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in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meta-analysis based on the Newcastle-Ottawa scale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Study quality of cohort studies</w:t>
      </w:r>
    </w:p>
    <w:tbl>
      <w:tblPr>
        <w:tblStyle w:val="5"/>
        <w:tblW w:w="48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120"/>
        <w:gridCol w:w="1131"/>
        <w:gridCol w:w="1715"/>
        <w:gridCol w:w="1743"/>
        <w:gridCol w:w="1715"/>
        <w:gridCol w:w="1385"/>
        <w:gridCol w:w="1389"/>
        <w:gridCol w:w="1134"/>
        <w:gridCol w:w="740"/>
      </w:tblGrid>
      <w:tr w14:paraId="6CFB8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616" w:type="pct"/>
            <w:vAlign w:val="top"/>
          </w:tcPr>
          <w:p w14:paraId="1582AD26">
            <w:pP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14:ligatures w14:val="none"/>
              </w:rPr>
              <w:t>Author (Year)</w:t>
            </w:r>
          </w:p>
        </w:tc>
        <w:tc>
          <w:tcPr>
            <w:tcW w:w="406" w:type="pct"/>
          </w:tcPr>
          <w:p w14:paraId="2927E192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Representativeness of the exposed cohort</w:t>
            </w:r>
          </w:p>
        </w:tc>
        <w:tc>
          <w:tcPr>
            <w:tcW w:w="410" w:type="pct"/>
          </w:tcPr>
          <w:p w14:paraId="7A056452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Selection of the non exposed cohort</w:t>
            </w:r>
          </w:p>
        </w:tc>
        <w:tc>
          <w:tcPr>
            <w:tcW w:w="622" w:type="pct"/>
          </w:tcPr>
          <w:p w14:paraId="3BE6862A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Ascertainment of exposure</w:t>
            </w:r>
          </w:p>
        </w:tc>
        <w:tc>
          <w:tcPr>
            <w:tcW w:w="632" w:type="pct"/>
          </w:tcPr>
          <w:p w14:paraId="15B5D42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Demonstration that outcome of interest was not present at start of study</w:t>
            </w:r>
          </w:p>
          <w:p w14:paraId="7B9875F1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 w14:paraId="22F18AF9">
            <w:pPr>
              <w:jc w:val="both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Comparability of cohorts on the basis of the design or analysis</w:t>
            </w:r>
          </w:p>
        </w:tc>
        <w:tc>
          <w:tcPr>
            <w:tcW w:w="502" w:type="pct"/>
          </w:tcPr>
          <w:p w14:paraId="276D4601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Assessment of outcome</w:t>
            </w:r>
          </w:p>
        </w:tc>
        <w:tc>
          <w:tcPr>
            <w:tcW w:w="504" w:type="pct"/>
          </w:tcPr>
          <w:p w14:paraId="26235C26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Was follow-up long enough for outcomes to occur</w:t>
            </w:r>
          </w:p>
        </w:tc>
        <w:tc>
          <w:tcPr>
            <w:tcW w:w="411" w:type="pct"/>
          </w:tcPr>
          <w:p w14:paraId="3592D1BB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Adequacy of follow up of cohorts</w:t>
            </w:r>
          </w:p>
        </w:tc>
        <w:tc>
          <w:tcPr>
            <w:tcW w:w="268" w:type="pct"/>
          </w:tcPr>
          <w:p w14:paraId="5C84C80D">
            <w:pP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Total scores</w:t>
            </w:r>
          </w:p>
        </w:tc>
      </w:tr>
      <w:tr w14:paraId="2E3C3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269F4763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Jing Fan(2024)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24</w:t>
            </w:r>
          </w:p>
        </w:tc>
        <w:tc>
          <w:tcPr>
            <w:tcW w:w="406" w:type="pct"/>
          </w:tcPr>
          <w:p w14:paraId="55535D3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7A2CD39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24BE06F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291D49A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639F806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790DEF7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26A8B8B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31C23FEF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041B814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A37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15AC0FD7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Yunus Çolak(2024)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5</w:t>
            </w:r>
          </w:p>
        </w:tc>
        <w:tc>
          <w:tcPr>
            <w:tcW w:w="406" w:type="pct"/>
          </w:tcPr>
          <w:p w14:paraId="0C521E7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45678C9A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3089D3D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3290245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5ECFCE0A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65202FB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1ED2A63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1240658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4B84A192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901D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27BA7FA8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Žarko Vrbica(2023)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6</w:t>
            </w:r>
          </w:p>
        </w:tc>
        <w:tc>
          <w:tcPr>
            <w:tcW w:w="406" w:type="pct"/>
          </w:tcPr>
          <w:p w14:paraId="35D61F10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72726D1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622" w:type="pct"/>
          </w:tcPr>
          <w:p w14:paraId="2ACF379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6A944CA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564CC63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5A5CB38C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3160E8F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6DD5FCC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45506A10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087A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79B79CD9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Miguel J. Divo(2023)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7</w:t>
            </w:r>
          </w:p>
        </w:tc>
        <w:tc>
          <w:tcPr>
            <w:tcW w:w="406" w:type="pct"/>
          </w:tcPr>
          <w:p w14:paraId="6749E3F0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18BA6879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4246AE3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2C966007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1FEEC389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25D0343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3F6EF1F9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1E45C3D0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7575BAAE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B5D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21F984C0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Ben-Gary Harvey(2015)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8</w:t>
            </w:r>
          </w:p>
        </w:tc>
        <w:tc>
          <w:tcPr>
            <w:tcW w:w="406" w:type="pct"/>
          </w:tcPr>
          <w:p w14:paraId="666B065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32E01BB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5A95087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227278C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1C91137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04A4582F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2FD7AD09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0016015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673D7277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CBF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747BD304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Hye Jung Park(2018)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9</w:t>
            </w:r>
          </w:p>
        </w:tc>
        <w:tc>
          <w:tcPr>
            <w:tcW w:w="406" w:type="pct"/>
          </w:tcPr>
          <w:p w14:paraId="0A4578E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263B608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4EF1F40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332B332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1B5549EA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32015014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7769E05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33D0319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550C1CF0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F35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336583C5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Yong Suk Jo(2024)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30</w:t>
            </w:r>
          </w:p>
        </w:tc>
        <w:tc>
          <w:tcPr>
            <w:tcW w:w="406" w:type="pct"/>
          </w:tcPr>
          <w:p w14:paraId="6982532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47BCC12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2F4BDC86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0C57E037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22416829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4245BFF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08E3379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0FD92854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18ECCB07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B70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4453A05E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Dinh S Bui,(2018)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31</w:t>
            </w:r>
          </w:p>
        </w:tc>
        <w:tc>
          <w:tcPr>
            <w:tcW w:w="406" w:type="pct"/>
          </w:tcPr>
          <w:p w14:paraId="207CA2B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687AB3BF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464E96DB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4FFE1BAF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6278F764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55B7A9F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0200657D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6442307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5A495C8F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194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3C7531AD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SpyridonFortis(2020)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</w:p>
        </w:tc>
        <w:tc>
          <w:tcPr>
            <w:tcW w:w="406" w:type="pct"/>
          </w:tcPr>
          <w:p w14:paraId="75953A79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78F11DC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550F613C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4A1218D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334F7BA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0B4741BC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504" w:type="pct"/>
          </w:tcPr>
          <w:p w14:paraId="47B1862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0073D97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776966AA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79F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0F78A281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Mehrdad Arjomandi(2019)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33</w:t>
            </w:r>
          </w:p>
        </w:tc>
        <w:tc>
          <w:tcPr>
            <w:tcW w:w="406" w:type="pct"/>
          </w:tcPr>
          <w:p w14:paraId="048E179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5A2B07F1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3FDC8277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0985E7E0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711D2B47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071237C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60F1D5C8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38A33E5C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699C2E0E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4F8F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28EC1532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Stefano Guerra(2009)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34</w:t>
            </w:r>
          </w:p>
        </w:tc>
        <w:tc>
          <w:tcPr>
            <w:tcW w:w="406" w:type="pct"/>
          </w:tcPr>
          <w:p w14:paraId="5FC36EE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6781CB03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7956160A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769889AC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54E6780E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28989292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003BAA95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0C0BCACF"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3B700EEA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790F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616" w:type="pct"/>
            <w:vAlign w:val="center"/>
          </w:tcPr>
          <w:p w14:paraId="493D82BA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Nathan Yee(2022)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5</w:t>
            </w:r>
          </w:p>
        </w:tc>
        <w:tc>
          <w:tcPr>
            <w:tcW w:w="406" w:type="pct"/>
          </w:tcPr>
          <w:p w14:paraId="3698509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2721315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0720C20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139B85A1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01190BC9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4CFBB41B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7540EF1B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597653ED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74029C31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B19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2CE2CC82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Daniel H Higbee(2022)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6</w:t>
            </w:r>
          </w:p>
        </w:tc>
        <w:tc>
          <w:tcPr>
            <w:tcW w:w="406" w:type="pct"/>
          </w:tcPr>
          <w:p w14:paraId="502C544E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7E09F453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375B7162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56660756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0BD6F6BF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6D3E4C7D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1C7547AF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3C0ADED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47D3960D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BD4D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095D0BF5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Yunus Çolak(2021)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</w:p>
        </w:tc>
        <w:tc>
          <w:tcPr>
            <w:tcW w:w="406" w:type="pct"/>
          </w:tcPr>
          <w:p w14:paraId="544973F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0F84F3A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6B91DBD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40FE2148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28E9B6B6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4B6AEBF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30A7C9FE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2AA21CF9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2FC23424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A39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444AA4F0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Russell G. Buhr(2022)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7</w:t>
            </w:r>
          </w:p>
        </w:tc>
        <w:tc>
          <w:tcPr>
            <w:tcW w:w="406" w:type="pct"/>
          </w:tcPr>
          <w:p w14:paraId="773F0985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61E19B28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0656A9D3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7A1377F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71672F6D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1CC9ECC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23FF4CD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53DA2702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1B461E6A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40B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64309780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Fan Wu(2024)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8</w:t>
            </w:r>
          </w:p>
        </w:tc>
        <w:tc>
          <w:tcPr>
            <w:tcW w:w="406" w:type="pct"/>
          </w:tcPr>
          <w:p w14:paraId="5D0F3978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4E4EA9F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111C38DC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48B78D2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098DFBB9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675BD2B5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10F59E1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411" w:type="pct"/>
          </w:tcPr>
          <w:p w14:paraId="5136B6C8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56CA7F2F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480B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78E53652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Rina Kanetake(2022)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40</w:t>
            </w:r>
          </w:p>
        </w:tc>
        <w:tc>
          <w:tcPr>
            <w:tcW w:w="406" w:type="pct"/>
          </w:tcPr>
          <w:p w14:paraId="2A2634CB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410" w:type="pct"/>
          </w:tcPr>
          <w:p w14:paraId="6CA8FE6F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442E3103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2D9C366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645A229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2FB9CC6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6E066186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7325214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1F47ED45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908E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60399C77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Lystra P. Hayden(2015)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42</w:t>
            </w:r>
          </w:p>
        </w:tc>
        <w:tc>
          <w:tcPr>
            <w:tcW w:w="406" w:type="pct"/>
          </w:tcPr>
          <w:p w14:paraId="41D0249C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20F7D9FE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33C60B06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  <w:shd w:val="clear" w:color="auto" w:fill="auto"/>
            <w:vAlign w:val="top"/>
          </w:tcPr>
          <w:p w14:paraId="587EBD23">
            <w:pPr>
              <w:rPr>
                <w:rFonts w:ascii="Segoe UI Symbol" w:hAnsi="Segoe UI Symbol" w:cs="Segoe UI Symbol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622" w:type="pct"/>
          </w:tcPr>
          <w:p w14:paraId="72146755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04D16528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60AAE0E9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11E55FC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02DF6844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FA2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5650E64D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NaraTagiyeva(2016)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9</w:t>
            </w:r>
          </w:p>
        </w:tc>
        <w:tc>
          <w:tcPr>
            <w:tcW w:w="406" w:type="pct"/>
          </w:tcPr>
          <w:p w14:paraId="6447102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58F4F5E5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19EFD46E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7A129B34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7FB2BA62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★★</w:t>
            </w:r>
          </w:p>
        </w:tc>
        <w:tc>
          <w:tcPr>
            <w:tcW w:w="502" w:type="pct"/>
          </w:tcPr>
          <w:p w14:paraId="177DE17D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1B470433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047E924D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68" w:type="pct"/>
          </w:tcPr>
          <w:p w14:paraId="6C0AC096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D3DD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33C42EA6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Do Sun Kwon(2020)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43</w:t>
            </w:r>
          </w:p>
        </w:tc>
        <w:tc>
          <w:tcPr>
            <w:tcW w:w="406" w:type="pct"/>
          </w:tcPr>
          <w:p w14:paraId="25D70C0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0225F6DE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5A7BD721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6B039A5E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4093DE2D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20A4243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7C2A1603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6E25225B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2EA7774B">
            <w:pPr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644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6FE2175F">
            <w:pPr>
              <w:spacing w:line="480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Siyang Zeng(2019)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41</w:t>
            </w:r>
          </w:p>
        </w:tc>
        <w:tc>
          <w:tcPr>
            <w:tcW w:w="406" w:type="pct"/>
          </w:tcPr>
          <w:p w14:paraId="2D2B1450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0" w:type="pct"/>
          </w:tcPr>
          <w:p w14:paraId="48842BC0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319E9578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32" w:type="pct"/>
          </w:tcPr>
          <w:p w14:paraId="5D040103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2" w:type="pct"/>
          </w:tcPr>
          <w:p w14:paraId="2A9EDD72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2" w:type="pct"/>
          </w:tcPr>
          <w:p w14:paraId="0C50243A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04" w:type="pct"/>
          </w:tcPr>
          <w:p w14:paraId="18B09BC1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11" w:type="pct"/>
          </w:tcPr>
          <w:p w14:paraId="172A5777">
            <w:pP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☆</w:t>
            </w:r>
          </w:p>
        </w:tc>
        <w:tc>
          <w:tcPr>
            <w:tcW w:w="268" w:type="pct"/>
          </w:tcPr>
          <w:p w14:paraId="0BBB63E0">
            <w:pPr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 w14:paraId="0803CFD3">
      <w:pP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743C96D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Note：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Study quality was assessed using the Newcastle–Ottawa Scale (NOS) for cohort studies. The total NOS score (range 0–9) was used to classify studies as high- (≥7), moderate- (5–6), or lower-quality (&lt;5). Scoring for individual items is denoted by stars: a filled star (★) indicates the item criterion was met (score=1), while the absence of a star (or an open symbol) indicates it was not met (score=0). For the comparability item only, a maximum of two stars can be awarded: ★★ indicates control for at least two major confounders (e.g., age, smoking); ★ indicates control for one major confounder.</w:t>
      </w:r>
    </w:p>
    <w:p w14:paraId="41B97ED8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175C1EC8">
      <w:pPr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2" w:charSpace="0"/>
        </w:sectPr>
      </w:pPr>
    </w:p>
    <w:p w14:paraId="118624CF">
      <w:pPr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Additional Table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Results of sensitivity analysis</w:t>
      </w:r>
    </w:p>
    <w:tbl>
      <w:tblPr>
        <w:tblStyle w:val="12"/>
        <w:tblW w:w="499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8"/>
        <w:gridCol w:w="2458"/>
        <w:gridCol w:w="5505"/>
      </w:tblGrid>
      <w:tr w14:paraId="2B5DEF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9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8723C0A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Study omitted</w:t>
            </w:r>
          </w:p>
        </w:tc>
        <w:tc>
          <w:tcPr>
            <w:tcW w:w="867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0A716E9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Estimate</w:t>
            </w:r>
          </w:p>
        </w:tc>
        <w:tc>
          <w:tcPr>
            <w:tcW w:w="1942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77210E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[95% Conf.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Interval]</w:t>
            </w:r>
          </w:p>
        </w:tc>
      </w:tr>
      <w:tr w14:paraId="28A51C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65B8FB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Yunus Çolak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25</w:t>
            </w:r>
          </w:p>
        </w:tc>
        <w:tc>
          <w:tcPr>
            <w:tcW w:w="867" w:type="pct"/>
          </w:tcPr>
          <w:p w14:paraId="046AF7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942" w:type="pct"/>
          </w:tcPr>
          <w:p w14:paraId="7B1B1A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0.14     0.25</w:t>
            </w:r>
          </w:p>
        </w:tc>
      </w:tr>
      <w:tr w14:paraId="5C7373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3D23D8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Ben-Gary Harvey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28</w:t>
            </w:r>
          </w:p>
        </w:tc>
        <w:tc>
          <w:tcPr>
            <w:tcW w:w="867" w:type="pct"/>
          </w:tcPr>
          <w:p w14:paraId="5BB6D2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942" w:type="pct"/>
          </w:tcPr>
          <w:p w14:paraId="706C5E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0.15     0.26</w:t>
            </w:r>
          </w:p>
        </w:tc>
      </w:tr>
      <w:tr w14:paraId="061EEC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680707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Hye Jung Park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29</w:t>
            </w:r>
          </w:p>
        </w:tc>
        <w:tc>
          <w:tcPr>
            <w:tcW w:w="867" w:type="pct"/>
          </w:tcPr>
          <w:p w14:paraId="16AE70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1942" w:type="pct"/>
          </w:tcPr>
          <w:p w14:paraId="309751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0.16     0.28</w:t>
            </w:r>
          </w:p>
        </w:tc>
      </w:tr>
      <w:tr w14:paraId="1B3AF6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068F8C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Yong Suk Jo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30</w:t>
            </w:r>
          </w:p>
        </w:tc>
        <w:tc>
          <w:tcPr>
            <w:tcW w:w="867" w:type="pct"/>
          </w:tcPr>
          <w:p w14:paraId="30C1AE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1942" w:type="pct"/>
            <w:shd w:val="clear" w:color="auto" w:fill="auto"/>
            <w:vAlign w:val="top"/>
          </w:tcPr>
          <w:p w14:paraId="1C0B42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0.16     0.28</w:t>
            </w:r>
          </w:p>
        </w:tc>
      </w:tr>
      <w:tr w14:paraId="45FCF0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19B00D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Dinh S Bui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31</w:t>
            </w:r>
          </w:p>
        </w:tc>
        <w:tc>
          <w:tcPr>
            <w:tcW w:w="867" w:type="pct"/>
          </w:tcPr>
          <w:p w14:paraId="608FE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1942" w:type="pct"/>
          </w:tcPr>
          <w:p w14:paraId="6E0561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0.15     0.27</w:t>
            </w:r>
          </w:p>
        </w:tc>
      </w:tr>
      <w:tr w14:paraId="2882CC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5589D5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Spyridon Fortis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32</w:t>
            </w:r>
          </w:p>
        </w:tc>
        <w:tc>
          <w:tcPr>
            <w:tcW w:w="867" w:type="pct"/>
          </w:tcPr>
          <w:p w14:paraId="1DD4BF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942" w:type="pct"/>
          </w:tcPr>
          <w:p w14:paraId="0B7C6F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0.15     0.25</w:t>
            </w:r>
          </w:p>
        </w:tc>
      </w:tr>
      <w:tr w14:paraId="466BEE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3401E5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Mehrdad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Arjomandi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33</w:t>
            </w:r>
          </w:p>
        </w:tc>
        <w:tc>
          <w:tcPr>
            <w:tcW w:w="867" w:type="pct"/>
          </w:tcPr>
          <w:p w14:paraId="01AFEC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1942" w:type="pct"/>
          </w:tcPr>
          <w:p w14:paraId="3485E1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0.15     0.26</w:t>
            </w:r>
          </w:p>
        </w:tc>
      </w:tr>
      <w:tr w14:paraId="5F697C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12199F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Daniel H Higbee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36</w:t>
            </w:r>
          </w:p>
        </w:tc>
        <w:tc>
          <w:tcPr>
            <w:tcW w:w="867" w:type="pct"/>
          </w:tcPr>
          <w:p w14:paraId="3DDF70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1942" w:type="pct"/>
          </w:tcPr>
          <w:p w14:paraId="6B5E20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0.15     0.28</w:t>
            </w:r>
          </w:p>
        </w:tc>
      </w:tr>
      <w:tr w14:paraId="08D9B5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3A05B0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Yunus Çolak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867" w:type="pct"/>
          </w:tcPr>
          <w:p w14:paraId="307E3D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1942" w:type="pct"/>
          </w:tcPr>
          <w:p w14:paraId="30FC84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0.15     0.27</w:t>
            </w:r>
          </w:p>
        </w:tc>
      </w:tr>
      <w:tr w14:paraId="1670D8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4F0042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Russell G. Buhr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(2022)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37</w:t>
            </w:r>
          </w:p>
        </w:tc>
        <w:tc>
          <w:tcPr>
            <w:tcW w:w="867" w:type="pct"/>
          </w:tcPr>
          <w:p w14:paraId="2A24A5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</w:t>
            </w:r>
          </w:p>
        </w:tc>
        <w:tc>
          <w:tcPr>
            <w:tcW w:w="1942" w:type="pct"/>
          </w:tcPr>
          <w:p w14:paraId="6D4FED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0.12     0.21</w:t>
            </w:r>
          </w:p>
        </w:tc>
      </w:tr>
      <w:tr w14:paraId="49DD2A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10BFDE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Fan Wu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38</w:t>
            </w:r>
          </w:p>
        </w:tc>
        <w:tc>
          <w:tcPr>
            <w:tcW w:w="867" w:type="pct"/>
          </w:tcPr>
          <w:p w14:paraId="536A58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942" w:type="pct"/>
          </w:tcPr>
          <w:p w14:paraId="530DE3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0.14     0.25</w:t>
            </w:r>
          </w:p>
        </w:tc>
      </w:tr>
      <w:tr w14:paraId="375690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39CD2F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Rina Kanetake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40</w:t>
            </w:r>
          </w:p>
        </w:tc>
        <w:tc>
          <w:tcPr>
            <w:tcW w:w="867" w:type="pct"/>
          </w:tcPr>
          <w:p w14:paraId="085801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1942" w:type="pct"/>
          </w:tcPr>
          <w:p w14:paraId="092EC8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0.16     0.27</w:t>
            </w:r>
          </w:p>
        </w:tc>
      </w:tr>
      <w:tr w14:paraId="4FA73E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pct"/>
          </w:tcPr>
          <w:p w14:paraId="35A0E5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Do Sun Kwon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43</w:t>
            </w:r>
          </w:p>
        </w:tc>
        <w:tc>
          <w:tcPr>
            <w:tcW w:w="867" w:type="pct"/>
          </w:tcPr>
          <w:p w14:paraId="338B59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0.19</w:t>
            </w:r>
          </w:p>
        </w:tc>
        <w:tc>
          <w:tcPr>
            <w:tcW w:w="1942" w:type="pct"/>
          </w:tcPr>
          <w:p w14:paraId="184F69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0.14     0.24</w:t>
            </w:r>
          </w:p>
        </w:tc>
      </w:tr>
    </w:tbl>
    <w:p w14:paraId="181B3D88">
      <w:pPr>
        <w:jc w:val="both"/>
        <w:rPr>
          <w:sz w:val="21"/>
          <w:szCs w:val="21"/>
        </w:rPr>
      </w:pPr>
    </w:p>
    <w:p w14:paraId="50EEB78D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7313F2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82B842E">
      <w:pP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Additional Table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  Summary Table of Key Characteristics Across Studies</w:t>
      </w:r>
    </w:p>
    <w:tbl>
      <w:tblPr>
        <w:tblStyle w:val="6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1724"/>
      </w:tblGrid>
      <w:tr w14:paraId="6992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 w14:paraId="0306003B">
            <w:pPr>
              <w:rPr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14:ligatures w14:val="none"/>
              </w:rPr>
              <w:t>Author (Year)</w:t>
            </w:r>
          </w:p>
        </w:tc>
        <w:tc>
          <w:tcPr>
            <w:tcW w:w="11724" w:type="dxa"/>
          </w:tcPr>
          <w:p w14:paraId="4E0F9B79"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Research subjects</w:t>
            </w:r>
          </w:p>
        </w:tc>
      </w:tr>
      <w:tr w14:paraId="50F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7CE03BA3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Jing Fan(2024)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24</w:t>
            </w:r>
          </w:p>
        </w:tc>
        <w:tc>
          <w:tcPr>
            <w:tcW w:w="11724" w:type="dxa"/>
            <w:vAlign w:val="center"/>
          </w:tcPr>
          <w:p w14:paraId="3A93261A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without COPD (post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BD FEV₁/FVC ≥ 0.70); various potential 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COPD indicators were assessed, including chronic bronchitis, PRISm, low PEF, small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airway dysfunction (sSAD), low MMEF, low FEF₅₀/FEF₇₅, etc.</w:t>
            </w:r>
          </w:p>
        </w:tc>
      </w:tr>
      <w:tr w14:paraId="1F2E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2A229B17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Yunus Çolak(2024)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5</w:t>
            </w:r>
          </w:p>
        </w:tc>
        <w:tc>
          <w:tcPr>
            <w:tcW w:w="11724" w:type="dxa"/>
            <w:vAlign w:val="center"/>
          </w:tcPr>
          <w:p w14:paraId="26D9A3DA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without airflow limitation (FEV₁/FVC ≥ 0.7) and with at least one of: chronic bronchitis, PRISm (FEV₁ or FVC &lt; 80% predicted), or early airflow limitation (FEV₁/FVC &lt; LLN).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 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Adults aged 20–50 years with FEV₁/FVC ≥ 0.70; 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COPD/susceptibility states included: chronic bronchitis (preserved FEV₁/FVC and FEV₁ ≥ 80% predicted), PRISm (FEV₁/FVC &gt; 0.70 and &gt; LLN, but FEV₁ and/or FVC &lt; 80% predicted), and early airflow limitation (FEV₁/FVC &gt; 0.70 but &lt; LLN).</w:t>
            </w:r>
          </w:p>
        </w:tc>
      </w:tr>
      <w:tr w14:paraId="7C2F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2408183D">
            <w:pPr>
              <w:spacing w:line="480" w:lineRule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Žarko Vrbica(2023)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6</w:t>
            </w:r>
          </w:p>
        </w:tc>
        <w:tc>
          <w:tcPr>
            <w:tcW w:w="11724" w:type="dxa"/>
          </w:tcPr>
          <w:p w14:paraId="2ABDA89A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 existing structural lung abnormalities and/or physiological impairment, but not yet meeting the criteria for airflow obstruction.</w:t>
            </w:r>
          </w:p>
        </w:tc>
      </w:tr>
      <w:tr w14:paraId="406D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7558E1B5">
            <w:pPr>
              <w:spacing w:line="480" w:lineRule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Miguel J. Divo(2023)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7</w:t>
            </w:r>
          </w:p>
        </w:tc>
        <w:tc>
          <w:tcPr>
            <w:tcW w:w="11724" w:type="dxa"/>
          </w:tcPr>
          <w:p w14:paraId="2C011B95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High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risk smokers without airflow obstruction at baseline (post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≥ 0.7 and FEV₁ ≥ 80% predicted). The study assessed risk factors such as FEV₁/FVC close to the lower limit of normal, pack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years of smoking, chronic bronchitis, and BMI in relation to incident chronic airflow limitation/COPD.</w:t>
            </w:r>
          </w:p>
        </w:tc>
      </w:tr>
      <w:tr w14:paraId="1D4D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3D076464">
            <w:pPr>
              <w:spacing w:line="480" w:lineRule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Ben-Gary Harvey(2015)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8</w:t>
            </w:r>
          </w:p>
        </w:tc>
        <w:tc>
          <w:tcPr>
            <w:tcW w:w="11724" w:type="dxa"/>
          </w:tcPr>
          <w:p w14:paraId="33325CA7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Current smokers with preserved 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spirometry (FEV₁/FVC ≥ 0.7 and FEV₁ ≥ 80% predicted) but with reduced diffusion capacity (DLco &lt; 80% predicted).</w:t>
            </w:r>
          </w:p>
        </w:tc>
      </w:tr>
      <w:tr w14:paraId="2277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504B70A1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Hye Jung Park(2018)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9</w:t>
            </w:r>
          </w:p>
        </w:tc>
        <w:tc>
          <w:tcPr>
            <w:tcW w:w="11724" w:type="dxa"/>
          </w:tcPr>
          <w:p w14:paraId="56EBC475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Preserved ratio impaired spirometry (PRISm), defined as FEV₁/FVC ≥ 0.7 with FEV₁ &lt; 80% predicted.</w:t>
            </w:r>
          </w:p>
        </w:tc>
      </w:tr>
      <w:tr w14:paraId="72A9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1BC69CEB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Yong Suk Jo(2024)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30</w:t>
            </w:r>
          </w:p>
        </w:tc>
        <w:tc>
          <w:tcPr>
            <w:tcW w:w="11724" w:type="dxa"/>
          </w:tcPr>
          <w:p w14:paraId="3FF62F8F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without airflow obstruction (FEV₁/FVC ≥ 0.7 and FEV₁ ≥ 80% predicted) but with either: (1) imaging abnormalities (e.g., bullae, emphysema, or hyperinflation suggestive of air trapping); or (2) respiratory symptoms, including chronic bronchitis (cough and phlegm for &gt;3 months/year for ≥2 years) or dyspnea.</w:t>
            </w:r>
          </w:p>
        </w:tc>
      </w:tr>
      <w:tr w14:paraId="18E7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3" w:type="dxa"/>
            <w:vAlign w:val="center"/>
          </w:tcPr>
          <w:p w14:paraId="7150CE09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Dinh S Bui,(2018)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31</w:t>
            </w:r>
          </w:p>
        </w:tc>
        <w:tc>
          <w:tcPr>
            <w:tcW w:w="11724" w:type="dxa"/>
          </w:tcPr>
          <w:p w14:paraId="46E332FC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Based on long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term FEV₁ trajectories from childhood to mid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adulthood. Identified three adverse trajectories (early below average with accelerated decline, persistently low, below average).</w:t>
            </w:r>
          </w:p>
        </w:tc>
      </w:tr>
      <w:tr w14:paraId="58E1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4459E812">
            <w:pPr>
              <w:spacing w:line="480" w:lineRule="auto"/>
              <w:rPr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SpyridonFortis(2020)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</w:p>
        </w:tc>
        <w:tc>
          <w:tcPr>
            <w:tcW w:w="11724" w:type="dxa"/>
          </w:tcPr>
          <w:p w14:paraId="6FC85E7E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 subgroup within a PRISm population with the lowest quartile of FVC/TLCCT ratio ("very low" group), showing increased gas trapping and emphysema on CT.</w:t>
            </w:r>
          </w:p>
        </w:tc>
      </w:tr>
      <w:tr w14:paraId="39C3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719AF86D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Mehrdad Arjomandi(2019)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33</w:t>
            </w:r>
          </w:p>
        </w:tc>
        <w:tc>
          <w:tcPr>
            <w:tcW w:w="11724" w:type="dxa"/>
          </w:tcPr>
          <w:p w14:paraId="5300044F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 a smoking history (≥20 pack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years) and preserved lung function (post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≥ 0.7, FVC ≥ lower limit of normal) but with evidence of gas trapping on CT imaging (e.g., elevated RVCT/TLCCT).</w:t>
            </w:r>
          </w:p>
        </w:tc>
      </w:tr>
      <w:tr w14:paraId="27F5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47B55482">
            <w:pPr>
              <w:spacing w:line="480" w:lineRule="auto"/>
              <w:rPr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Stefano Guerra(2009)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34</w:t>
            </w:r>
          </w:p>
        </w:tc>
        <w:tc>
          <w:tcPr>
            <w:tcW w:w="11724" w:type="dxa"/>
          </w:tcPr>
          <w:p w14:paraId="056C9E0C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 baseline lung function not indicating airflow obstruction (FEV₁/FVC ≥ 70%) but with chronic bronchitis symptoms (cough and phlegm on most days for at least 3 months per year for two consecutive years).</w:t>
            </w:r>
          </w:p>
        </w:tc>
      </w:tr>
      <w:tr w14:paraId="3676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5A6C4343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Nathan Yee(2022)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5</w:t>
            </w:r>
          </w:p>
        </w:tc>
        <w:tc>
          <w:tcPr>
            <w:tcW w:w="11724" w:type="dxa"/>
          </w:tcPr>
          <w:p w14:paraId="17D3108F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 normal baseline lung function (post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≥ 0.7) and a smoking history (≥20 pack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years), in whom FEV₃/FEV₆ below the lower limit of normal was defined as early airflow abnormality. </w:t>
            </w:r>
          </w:p>
        </w:tc>
      </w:tr>
      <w:tr w14:paraId="5AB3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53" w:type="dxa"/>
            <w:vAlign w:val="center"/>
          </w:tcPr>
          <w:p w14:paraId="2E57776E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Daniel H Higbee(2022)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6</w:t>
            </w:r>
          </w:p>
        </w:tc>
        <w:tc>
          <w:tcPr>
            <w:tcW w:w="11724" w:type="dxa"/>
          </w:tcPr>
          <w:p w14:paraId="7F4BA2DF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Preserved ratio impaired spirometry (PRISm), i.e., FEV₁/FVC ≥ 0.7 with FEV₁ &lt; 80% predicted.</w:t>
            </w:r>
          </w:p>
        </w:tc>
      </w:tr>
      <w:tr w14:paraId="65AF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453" w:type="dxa"/>
            <w:vAlign w:val="center"/>
          </w:tcPr>
          <w:p w14:paraId="18A4E881">
            <w:pPr>
              <w:spacing w:line="480" w:lineRule="auto"/>
              <w:rPr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Yunus Çolak(2021)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</w:p>
        </w:tc>
        <w:tc>
          <w:tcPr>
            <w:tcW w:w="11724" w:type="dxa"/>
          </w:tcPr>
          <w:p w14:paraId="6ECB7FEA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Adults aged &lt; 50 years with FEV₁/FVC below the lower limit of normal (LLN) but still ≥ 0.70, excluding individuals with baseline FEV₁/FVC &lt; 0.70 (i.e., COPD).</w:t>
            </w:r>
          </w:p>
        </w:tc>
      </w:tr>
      <w:tr w14:paraId="3066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17511277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Russell G. Buhr(2022)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7</w:t>
            </w:r>
          </w:p>
        </w:tc>
        <w:tc>
          <w:tcPr>
            <w:tcW w:w="11724" w:type="dxa"/>
          </w:tcPr>
          <w:p w14:paraId="047B393C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Individuals with a smoking history (≥20 pack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years) whose lung function showed 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&lt; 0.70 but 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≥ 0.70, i.e., "variable airflow obstruction."</w:t>
            </w:r>
          </w:p>
        </w:tc>
      </w:tr>
      <w:tr w14:paraId="79E2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565FE0EF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Fan Wu(2024)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8</w:t>
            </w:r>
          </w:p>
        </w:tc>
        <w:tc>
          <w:tcPr>
            <w:tcW w:w="11724" w:type="dxa"/>
          </w:tcPr>
          <w:p w14:paraId="0DEFB3A9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Among individuals with preserved baseline lung function (post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≥ 0.70), those whose 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was &lt; 0.70 but post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bronchodilator FEV₁/FVC was ≥ 0.70 were defined as having variable airflow obstruction.</w:t>
            </w:r>
          </w:p>
        </w:tc>
      </w:tr>
      <w:tr w14:paraId="11CB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703BE766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Rina Kanetake(2022)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40</w:t>
            </w:r>
          </w:p>
        </w:tc>
        <w:tc>
          <w:tcPr>
            <w:tcW w:w="11724" w:type="dxa"/>
          </w:tcPr>
          <w:p w14:paraId="0814CE57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Preserved ratio impaired spirometry (PRISm), defined as FEV₁/FVC ratio above the lower limit of normal (LLN) with percent predicted FEV₁ (%FEV₁) below 80%.</w:t>
            </w:r>
          </w:p>
        </w:tc>
      </w:tr>
      <w:tr w14:paraId="006C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28841A1C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Lystra P. Hayden(2015)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42</w:t>
            </w:r>
          </w:p>
        </w:tc>
        <w:tc>
          <w:tcPr>
            <w:tcW w:w="11724" w:type="dxa"/>
          </w:tcPr>
          <w:p w14:paraId="48636EB1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Although the term "pre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COPD" was not explicitly used, this prospective cohort study demonstrated that a history of childhood pneumonia was significantly associated with lower adult lung function, chronic bronchitis symptoms, airway wall thickening on CT, and increased COPD risk in smokers.</w:t>
            </w:r>
          </w:p>
        </w:tc>
      </w:tr>
      <w:tr w14:paraId="2811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09AEBFAE">
            <w:pPr>
              <w:spacing w:line="48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NaraTagiyeva(2016)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9</w:t>
            </w:r>
          </w:p>
        </w:tc>
        <w:tc>
          <w:tcPr>
            <w:tcW w:w="11724" w:type="dxa"/>
          </w:tcPr>
          <w:p w14:paraId="241C5391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The term "pre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COPD" was not directly employed. However, the long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term follow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up showed that a history of childhood asthma or wheezy bronchitis was associated with persistently lower lung function and a significantly increased risk of COPD in adulthood, aligning with the concept of pre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COPD as a high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risk, preclinical state with sustained lung function abnormality.</w:t>
            </w:r>
          </w:p>
        </w:tc>
      </w:tr>
      <w:tr w14:paraId="0E8C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53" w:type="dxa"/>
            <w:vAlign w:val="center"/>
          </w:tcPr>
          <w:p w14:paraId="05A0A41F">
            <w:pPr>
              <w:spacing w:line="480" w:lineRule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Do Sun Kwon(2020)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43</w:t>
            </w:r>
          </w:p>
        </w:tc>
        <w:tc>
          <w:tcPr>
            <w:tcW w:w="11724" w:type="dxa"/>
          </w:tcPr>
          <w:p w14:paraId="602281EA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Low FEF₂₅₋₇₅% group: individuals aged ≥40 years with normal baseline lung function (FEV₁/FVC ≥ 0.7, FVC ≥ 80% predicted, FEV₁ ≥ 80% predicted) and FEF₂₅₋₇₅% z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score &lt; –0.8435.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14:paraId="4911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 w14:paraId="1CDEF932">
            <w:pPr>
              <w:spacing w:line="48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Siyang Zeng(2019)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41</w:t>
            </w:r>
          </w:p>
        </w:tc>
        <w:tc>
          <w:tcPr>
            <w:tcW w:w="11724" w:type="dxa"/>
          </w:tcPr>
          <w:p w14:paraId="7AFD2A98"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Abnormal RV/TLC group: individuals aged &gt;40 years with a smoking history and preserved baseline lung function (defined as FEV₁/FVC and FEV₁ above the lower limit of normal, without restrictive lung disease), with a residual volume to total lung capacity ratio above the upper limit of normal (RV/TLC &gt; ULN).</w:t>
            </w:r>
          </w:p>
        </w:tc>
      </w:tr>
    </w:tbl>
    <w:p w14:paraId="525A4893">
      <w:pPr>
        <w:rPr>
          <w:sz w:val="21"/>
          <w:szCs w:val="21"/>
        </w:rPr>
      </w:pPr>
    </w:p>
    <w:p w14:paraId="27A16863">
      <w:pPr>
        <w:rPr>
          <w:sz w:val="21"/>
          <w:szCs w:val="21"/>
        </w:rPr>
      </w:pPr>
    </w:p>
    <w:p w14:paraId="718D0DE4">
      <w:pPr>
        <w:rPr>
          <w:sz w:val="21"/>
          <w:szCs w:val="21"/>
        </w:rPr>
      </w:pPr>
    </w:p>
    <w:p w14:paraId="45E72F4B">
      <w:pPr>
        <w:rPr>
          <w:sz w:val="21"/>
          <w:szCs w:val="21"/>
        </w:rPr>
      </w:pPr>
    </w:p>
    <w:p w14:paraId="5677A57C">
      <w:pPr>
        <w:rPr>
          <w:sz w:val="21"/>
          <w:szCs w:val="21"/>
        </w:rPr>
      </w:pPr>
    </w:p>
    <w:p w14:paraId="777D621D">
      <w:pPr>
        <w:rPr>
          <w:sz w:val="21"/>
          <w:szCs w:val="21"/>
        </w:rPr>
      </w:pPr>
    </w:p>
    <w:p w14:paraId="79C4A960">
      <w:pPr>
        <w:rPr>
          <w:sz w:val="21"/>
          <w:szCs w:val="21"/>
        </w:rPr>
      </w:pPr>
    </w:p>
    <w:p w14:paraId="4932C028">
      <w:pPr>
        <w:jc w:val="center"/>
        <w:rPr>
          <w:sz w:val="21"/>
          <w:szCs w:val="21"/>
        </w:rPr>
      </w:pPr>
    </w:p>
    <w:p w14:paraId="38DAA45B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313805" cy="3788410"/>
            <wp:effectExtent l="0" t="0" r="1270" b="2540"/>
            <wp:docPr id="1" name="图片 1" descr="Additional file 3.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ditional file 3.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27B1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</w:rPr>
        <w:t>Additional Fig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ure </w:t>
      </w:r>
      <w:r>
        <w:rPr>
          <w:rFonts w:hint="default" w:ascii="Times New Roman" w:hAnsi="Times New Roman" w:cs="Times New Roman"/>
          <w:b/>
          <w:bCs/>
          <w:color w:val="0000FF"/>
          <w:sz w:val="21"/>
          <w:szCs w:val="21"/>
        </w:rPr>
        <w:t>1</w:t>
      </w:r>
      <w:r>
        <w:rPr>
          <w:rFonts w:hint="eastAsia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cs="Times New Roman"/>
          <w:b/>
          <w:bCs/>
          <w:sz w:val="21"/>
          <w:szCs w:val="21"/>
        </w:rPr>
        <w:t>Funnel plot of the incidence of progression from pre-COPD to COPD</w:t>
      </w:r>
      <w:r>
        <w:rPr>
          <w:rStyle w:val="8"/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 w:val="0"/>
          <w:sz w:val="21"/>
          <w:szCs w:val="21"/>
          <w:vertAlign w:val="superscript"/>
        </w:rPr>
        <w:t>3,25,28-33,36-38,40,43</w:t>
      </w:r>
      <w:r>
        <w:rPr>
          <w:rStyle w:val="8"/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(n = 13)</w:t>
      </w:r>
    </w:p>
    <w:p w14:paraId="488EE202">
      <w:pP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5E"/>
    <w:rsid w:val="00063DD4"/>
    <w:rsid w:val="00185F1A"/>
    <w:rsid w:val="001F719C"/>
    <w:rsid w:val="00213655"/>
    <w:rsid w:val="0030123D"/>
    <w:rsid w:val="0036004D"/>
    <w:rsid w:val="005C577E"/>
    <w:rsid w:val="0074424C"/>
    <w:rsid w:val="0087715E"/>
    <w:rsid w:val="00AD4986"/>
    <w:rsid w:val="00D6286C"/>
    <w:rsid w:val="00E171A2"/>
    <w:rsid w:val="11541B14"/>
    <w:rsid w:val="119012F5"/>
    <w:rsid w:val="19A22B6E"/>
    <w:rsid w:val="1AB90440"/>
    <w:rsid w:val="246031BB"/>
    <w:rsid w:val="2D9F565B"/>
    <w:rsid w:val="3351443E"/>
    <w:rsid w:val="4B871B00"/>
    <w:rsid w:val="5393413D"/>
    <w:rsid w:val="56C3239E"/>
    <w:rsid w:val="5AD862B1"/>
    <w:rsid w:val="5E257563"/>
    <w:rsid w:val="5F463BA6"/>
    <w:rsid w:val="62383234"/>
    <w:rsid w:val="78FD5CA6"/>
    <w:rsid w:val="7D3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Header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qFormat/>
    <w:uiPriority w:val="99"/>
    <w:rPr>
      <w:sz w:val="18"/>
      <w:szCs w:val="18"/>
    </w:rPr>
  </w:style>
  <w:style w:type="table" w:customStyle="1" w:styleId="11">
    <w:name w:val="无格式表格 4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2">
    <w:name w:val="三线表"/>
    <w:basedOn w:val="5"/>
    <w:qFormat/>
    <w:uiPriority w:val="99"/>
    <w:rPr>
      <w:rFonts w:ascii="Times New Roman" w:hAnsi="Times New Roman" w:eastAsia="宋体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宋体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1328</Words>
  <Characters>6642</Characters>
  <Lines>9</Lines>
  <Paragraphs>2</Paragraphs>
  <TotalTime>18</TotalTime>
  <ScaleCrop>false</ScaleCrop>
  <LinksUpToDate>false</LinksUpToDate>
  <CharactersWithSpaces>7712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2021-01-14T07:46:00Z</dcterms:created>
  <dc:creator>666</dc:creator>
  <cp:lastModifiedBy>老余不吃鱼</cp:lastModifiedBy>
  <dcterms:modified xsi:type="dcterms:W3CDTF">2026-01-17T05:44:32Z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eyJoZGlkIjoiMzEwNTM5NzYwMDRjMzkwZTVkZjY2ODkwMGIxNGU0OTUiLCJ1c2VySWQiOiIxNzE0NDcwMTYxIn0=</vt:lpwstr>
  </property>
  <property fmtid="{D5CDD505-2E9C-101B-9397-08002B2CF9AE}" pid="3" name="KSOProductBuildVer">
    <vt:lpwstr>2052-12.1.0.24657</vt:lpwstr>
  </property>
  <property fmtid="{D5CDD505-2E9C-101B-9397-08002B2CF9AE}" pid="4" name="ICV">
    <vt:lpwstr>5D59CE6235E44F8CA09D09F8595A0590_13</vt:lpwstr>
  </property>
</Properties>
</file>