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EDEEB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2"/>
          <w:szCs w:val="22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2"/>
          <w:szCs w:val="22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2"/>
          <w:szCs w:val="2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kern w:val="2"/>
          <w:sz w:val="22"/>
          <w:szCs w:val="22"/>
        </w:rPr>
        <w:t xml:space="preserve"> Molecular resistance mechanisms and co-mutations detected by next-generation sequencing after osimertinib progression</w:t>
      </w:r>
    </w:p>
    <w:tbl>
      <w:tblPr>
        <w:tblStyle w:val="5"/>
        <w:tblpPr w:leftFromText="180" w:rightFromText="180" w:vertAnchor="page" w:horzAnchor="page" w:tblpX="2688" w:tblpY="2680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1380"/>
        <w:gridCol w:w="1321"/>
        <w:gridCol w:w="1027"/>
      </w:tblGrid>
      <w:tr w14:paraId="56AE02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9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5A7A5B">
            <w:pPr>
              <w:jc w:val="both"/>
              <w:rPr>
                <w:rFonts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Parameter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7556B2">
            <w:pPr>
              <w:jc w:val="both"/>
              <w:rPr>
                <w:rFonts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Pemetrexed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(n=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16</w:t>
            </w:r>
            <w:r>
              <w:rPr>
                <w:rFonts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AC8EF1">
            <w:pPr>
              <w:jc w:val="both"/>
              <w:rPr>
                <w:rFonts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Taxane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(n=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0704AE8E">
            <w:pPr>
              <w:jc w:val="both"/>
              <w:rPr>
                <w:rFonts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Total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n=30</w:t>
            </w:r>
            <w:r>
              <w:rPr>
                <w:rFonts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)</w:t>
            </w:r>
          </w:p>
        </w:tc>
      </w:tr>
      <w:tr w14:paraId="67E1C9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2480162">
            <w:pPr>
              <w:jc w:val="both"/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EGFR-dependent resistance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, n (%)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DDFED2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34AE06F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7EA4E47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</w:p>
        </w:tc>
      </w:tr>
      <w:tr w14:paraId="7D8209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50F42">
            <w:pPr>
              <w:ind w:firstLine="150" w:firstLineChars="100"/>
              <w:jc w:val="both"/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EGFR C797S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8ED28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3 (18.8)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0518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2 (14.3)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20578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5 (16.7)</w:t>
            </w:r>
          </w:p>
        </w:tc>
      </w:tr>
      <w:tr w14:paraId="0BAC00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E89EC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Bypass/alternative pathway resistance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, n (%)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8A9E7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A50B8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4DDE1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</w:p>
        </w:tc>
      </w:tr>
      <w:tr w14:paraId="609B1F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82AE0">
            <w:pPr>
              <w:ind w:firstLine="150" w:firstLineChars="100"/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MET amplification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042F1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3 (18.8)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666C4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2 (14.3)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2AA93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5 (16.7)</w:t>
            </w:r>
          </w:p>
        </w:tc>
      </w:tr>
      <w:tr w14:paraId="43E430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99DC">
            <w:pPr>
              <w:ind w:firstLine="150" w:firstLineChars="100"/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HER2 (ERBB2) amplification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B170F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(6.3)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F279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(7.1)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9CCD7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2 (6.7)</w:t>
            </w:r>
          </w:p>
        </w:tc>
      </w:tr>
      <w:tr w14:paraId="138206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43C9A">
            <w:pPr>
              <w:ind w:firstLine="150" w:firstLineChars="100"/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RET fusion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82740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(6.3)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4C531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0 (0.0)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3A001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(3.3)</w:t>
            </w:r>
          </w:p>
        </w:tc>
      </w:tr>
      <w:tr w14:paraId="16C639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E8B83">
            <w:pPr>
              <w:ind w:firstLine="150" w:firstLineChars="100"/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BRAF fusion / activating alteration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2C152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0 (0.0)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0672D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(7.1)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EC0C4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(3.3)</w:t>
            </w:r>
          </w:p>
        </w:tc>
      </w:tr>
      <w:tr w14:paraId="1D6436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871F">
            <w:pPr>
              <w:ind w:firstLine="150" w:firstLineChars="100"/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KRAS mutation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00BE0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0 (0.0)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DEF58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(7.1)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7A0B5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(3.3)</w:t>
            </w:r>
          </w:p>
        </w:tc>
      </w:tr>
      <w:tr w14:paraId="02AFB4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AA8BF">
            <w:pPr>
              <w:ind w:firstLine="150" w:firstLineChars="100"/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PIK3CA mutation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F0DFB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(6.3)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E12A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(7.1)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A3FD0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2 (6.7)</w:t>
            </w:r>
          </w:p>
        </w:tc>
      </w:tr>
      <w:tr w14:paraId="4FDD50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B3C90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Co-mutations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1B55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1E558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4ACC7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</w:p>
        </w:tc>
      </w:tr>
      <w:tr w14:paraId="2A0EC4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85CE">
            <w:pPr>
              <w:ind w:firstLine="150" w:firstLineChars="100"/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TP53 mutation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38687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9 (56.3)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A599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7 (50.0)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C026E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16 (53.3)</w:t>
            </w:r>
          </w:p>
        </w:tc>
      </w:tr>
      <w:tr w14:paraId="4AD615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79AC4">
            <w:pPr>
              <w:ind w:firstLine="150" w:firstLineChars="100"/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RB1 mutation/loss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E7DD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2 (12.5)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0DA35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(7.1)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7DF49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3 (10.0)</w:t>
            </w:r>
          </w:p>
        </w:tc>
      </w:tr>
      <w:tr w14:paraId="246FB8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504F83">
            <w:pPr>
              <w:ind w:firstLine="150" w:firstLineChars="100"/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  <w:t>TP53 + RB1 co-alteration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C78907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(6.3)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84312E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0 (0.0)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D776B8">
            <w:pPr>
              <w:jc w:val="both"/>
              <w:rPr>
                <w:rFonts w:hint="eastAsia" w:ascii="Times New Roman" w:hAnsi="Times New Roman" w:eastAsia="等线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15"/>
                <w:szCs w:val="15"/>
                <w:lang w:val="en-US" w:eastAsia="zh-CN"/>
              </w:rPr>
              <w:t>1 (3.3)</w:t>
            </w:r>
          </w:p>
        </w:tc>
      </w:tr>
    </w:tbl>
    <w:p w14:paraId="050CFB4D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2"/>
          <w:szCs w:val="22"/>
        </w:rPr>
      </w:pPr>
    </w:p>
    <w:p w14:paraId="6A8F7DEB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2"/>
          <w:szCs w:val="22"/>
        </w:rPr>
      </w:pPr>
    </w:p>
    <w:p w14:paraId="318C7EE0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2"/>
          <w:szCs w:val="22"/>
        </w:rPr>
      </w:pPr>
    </w:p>
    <w:p w14:paraId="529C7F93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2"/>
          <w:szCs w:val="22"/>
        </w:rPr>
      </w:pPr>
    </w:p>
    <w:p w14:paraId="219F90E2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2"/>
          <w:szCs w:val="22"/>
        </w:rPr>
      </w:pPr>
    </w:p>
    <w:p w14:paraId="106219E7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2"/>
          <w:szCs w:val="22"/>
        </w:rPr>
      </w:pPr>
    </w:p>
    <w:p w14:paraId="32BB016A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2"/>
          <w:szCs w:val="22"/>
        </w:rPr>
      </w:pPr>
    </w:p>
    <w:p w14:paraId="73943ED1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2"/>
          <w:szCs w:val="22"/>
        </w:rPr>
      </w:pPr>
    </w:p>
    <w:p w14:paraId="4D1D4593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2"/>
          <w:szCs w:val="22"/>
        </w:rPr>
      </w:pPr>
    </w:p>
    <w:p w14:paraId="6E2EE647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18"/>
          <w:szCs w:val="18"/>
        </w:rPr>
      </w:pPr>
    </w:p>
    <w:p w14:paraId="7F62684D">
      <w:pPr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18"/>
          <w:szCs w:val="18"/>
        </w:rPr>
      </w:pPr>
    </w:p>
    <w:p w14:paraId="11DF0FA5">
      <w:pPr>
        <w:spacing w:line="360" w:lineRule="auto"/>
        <w:jc w:val="both"/>
        <w:rPr>
          <w:rFonts w:hint="default" w:ascii="Times New Roman" w:hAnsi="Times New Roman" w:eastAsia="宋体" w:cs="Times New Roman"/>
          <w:color w:val="auto"/>
          <w:kern w:val="2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0"/>
          <w:szCs w:val="20"/>
        </w:rPr>
        <w:t>Notes:</w:t>
      </w:r>
      <w:r>
        <w:rPr>
          <w:rFonts w:hint="eastAsia" w:ascii="Times New Roman" w:hAnsi="Times New Roman" w:eastAsia="宋体" w:cs="Times New Roman"/>
          <w:color w:val="auto"/>
          <w:kern w:val="2"/>
          <w:sz w:val="20"/>
          <w:szCs w:val="20"/>
        </w:rPr>
        <w:t xml:space="preserve"> Multiple genomic alterations could co-occur in the same patient; therefore, row totals within a category may exceed 100%.</w:t>
      </w:r>
      <w:r>
        <w:rPr>
          <w:rFonts w:hint="eastAsia" w:ascii="Times New Roman" w:hAnsi="Times New Roman" w:eastAsia="宋体" w:cs="Times New Roman"/>
          <w:color w:val="auto"/>
          <w:kern w:val="2"/>
          <w:sz w:val="20"/>
          <w:szCs w:val="20"/>
          <w:lang w:val="en-US" w:eastAsia="zh-CN"/>
        </w:rPr>
        <w:t xml:space="preserve"> *Other EGFR secondary mutations (L792X/L718X/G796X/G724S) were not detected.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56FDF"/>
    <w:rsid w:val="14EB01A7"/>
    <w:rsid w:val="3CB054DF"/>
    <w:rsid w:val="3EE8567D"/>
    <w:rsid w:val="64493433"/>
    <w:rsid w:val="73436325"/>
    <w:rsid w:val="74D160F7"/>
    <w:rsid w:val="7E95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网格型1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720</Characters>
  <Lines>0</Lines>
  <Paragraphs>0</Paragraphs>
  <TotalTime>0</TotalTime>
  <ScaleCrop>false</ScaleCrop>
  <LinksUpToDate>false</LinksUpToDate>
  <CharactersWithSpaces>808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2025-12-04T10:04:00Z</dcterms:created>
  <dc:creator>86139</dc:creator>
  <cp:lastModifiedBy>杨宁</cp:lastModifiedBy>
  <dcterms:modified xsi:type="dcterms:W3CDTF">2025-12-27T13:12:07Z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32E36D9BC2B646649A79E39636F927C8_12</vt:lpwstr>
  </property>
  <property fmtid="{D5CDD505-2E9C-101B-9397-08002B2CF9AE}" pid="4" name="KSOTemplateDocerSaveRecord">
    <vt:lpwstr>eyJoZGlkIjoiZGNlYmUzMzBkOTBhZjg1YjBlMzQ1NjJjZTVlNDMxNmIiLCJ1c2VySWQiOiIzNDU1NDU1NDMifQ==</vt:lpwstr>
  </property>
</Properties>
</file>