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59D" w14:textId="19C33034" w:rsidR="00AF4189" w:rsidRDefault="00AF4189" w:rsidP="00AF4189">
      <w:pPr>
        <w:rPr>
          <w:rFonts w:ascii="Times New Roman" w:hAnsi="Times New Roman" w:cs="Times New Roman"/>
          <w:sz w:val="24"/>
        </w:rPr>
      </w:pPr>
      <w:bookmarkStart w:id="0" w:name="OLE_LINK1"/>
      <w:r>
        <w:rPr>
          <w:rFonts w:ascii="Times New Roman" w:hAnsi="Times New Roman" w:cs="Times New Roman" w:hint="eastAsia"/>
          <w:sz w:val="24"/>
        </w:rPr>
        <w:t>Supplementary</w:t>
      </w:r>
      <w:r>
        <w:rPr>
          <w:rFonts w:ascii="Times New Roman" w:hAnsi="Times New Roman" w:cs="Times New Roman"/>
          <w:sz w:val="24"/>
        </w:rPr>
        <w:t xml:space="preserve"> </w:t>
      </w:r>
      <w:r w:rsidRPr="00F52FD3">
        <w:rPr>
          <w:rFonts w:ascii="Times New Roman" w:hAnsi="Times New Roman" w:cs="Times New Roman"/>
          <w:sz w:val="24"/>
        </w:rPr>
        <w:t>material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A</w:t>
      </w:r>
      <w:r>
        <w:rPr>
          <w:rFonts w:ascii="Times New Roman" w:hAnsi="Times New Roman" w:cs="Times New Roman"/>
          <w:sz w:val="24"/>
        </w:rPr>
        <w:t>: Semi-Structured Interview Guides</w:t>
      </w:r>
    </w:p>
    <w:p w14:paraId="582161B0" w14:textId="77777777" w:rsidR="00AF4189" w:rsidRDefault="00AF4189" w:rsidP="00AF41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Interview Guide for Medical Staff</w:t>
      </w:r>
    </w:p>
    <w:p w14:paraId="13AD8BFC" w14:textId="77777777" w:rsidR="00AF4189" w:rsidRDefault="00AF4189" w:rsidP="00AF4189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Responsibilities and workflow in the medical–prevention integration model</w:t>
      </w:r>
    </w:p>
    <w:p w14:paraId="03DFFD5F" w14:textId="77777777" w:rsidR="00AF4189" w:rsidRDefault="00AF4189" w:rsidP="00AF4189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Barriers to information exchange and inter-institutional collaboration</w:t>
      </w:r>
    </w:p>
    <w:p w14:paraId="4307C92D" w14:textId="77777777" w:rsidR="00AF4189" w:rsidRDefault="00AF4189" w:rsidP="00AF4189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Resource allocation and equipment support at the primary level</w:t>
      </w:r>
    </w:p>
    <w:p w14:paraId="1CBDAEDF" w14:textId="77777777" w:rsidR="00AF4189" w:rsidRDefault="00AF4189" w:rsidP="00AF4189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Suggestions for optimizing the coordination mechanism</w:t>
      </w:r>
    </w:p>
    <w:p w14:paraId="33EA6D97" w14:textId="77777777" w:rsidR="00AF4189" w:rsidRDefault="00AF4189" w:rsidP="00AF4189">
      <w:pPr>
        <w:rPr>
          <w:rFonts w:ascii="Times New Roman" w:hAnsi="Times New Roman" w:cs="Times New Roman"/>
          <w:sz w:val="24"/>
        </w:rPr>
      </w:pPr>
    </w:p>
    <w:p w14:paraId="437B05C2" w14:textId="77777777" w:rsidR="00AF4189" w:rsidRDefault="00AF4189" w:rsidP="00AF41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Interview Guide for Older Adults with Chronic Diseases</w:t>
      </w:r>
    </w:p>
    <w:p w14:paraId="6198BD64" w14:textId="77777777" w:rsidR="00AF4189" w:rsidRDefault="00AF4189" w:rsidP="00AF4189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Perceived changes in medical service access (distance, cost, convenience)</w:t>
      </w:r>
    </w:p>
    <w:p w14:paraId="3BA67DF8" w14:textId="77777777" w:rsidR="00AF4189" w:rsidRDefault="00AF4189" w:rsidP="00AF4189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Experiences with follow-up services and health education</w:t>
      </w:r>
    </w:p>
    <w:p w14:paraId="7D3B685C" w14:textId="77777777" w:rsidR="00AF4189" w:rsidRDefault="00AF4189" w:rsidP="00AF4189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Difficulties in disease self-management (e.g., understanding medical data, medication adherence)</w:t>
      </w:r>
    </w:p>
    <w:p w14:paraId="6B1F8662" w14:textId="77777777" w:rsidR="00AF4189" w:rsidRDefault="00AF4189" w:rsidP="00AF4189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Expectations for improved services</w:t>
      </w:r>
    </w:p>
    <w:p w14:paraId="33734C46" w14:textId="77777777" w:rsidR="00AF4189" w:rsidRDefault="00AF4189" w:rsidP="00AF4189">
      <w:pPr>
        <w:rPr>
          <w:rFonts w:ascii="Times New Roman" w:hAnsi="Times New Roman" w:cs="Times New Roman"/>
          <w:sz w:val="24"/>
        </w:rPr>
      </w:pPr>
    </w:p>
    <w:p w14:paraId="6941D7D8" w14:textId="77777777" w:rsidR="00AF4189" w:rsidRDefault="00AF4189" w:rsidP="00AF41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Interview Guide for Policymakers</w:t>
      </w:r>
    </w:p>
    <w:p w14:paraId="1E025F13" w14:textId="77777777" w:rsidR="00AF4189" w:rsidRDefault="00AF4189" w:rsidP="00AF4189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Policy design and financial support for the integration model</w:t>
      </w:r>
    </w:p>
    <w:p w14:paraId="5C061B11" w14:textId="77777777" w:rsidR="00AF4189" w:rsidRDefault="00AF4189" w:rsidP="00AF4189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Evaluation of implementation effectiveness and key challenges</w:t>
      </w:r>
    </w:p>
    <w:p w14:paraId="714939BC" w14:textId="77777777" w:rsidR="00AF4189" w:rsidRDefault="00AF4189" w:rsidP="00AF4189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Incentive mechanisms for medical staff and resource allocation strategies</w:t>
      </w:r>
    </w:p>
    <w:p w14:paraId="46A87005" w14:textId="77777777" w:rsidR="00AF4189" w:rsidRPr="00AF4189" w:rsidRDefault="00AF4189">
      <w:pPr>
        <w:rPr>
          <w:rFonts w:ascii="Times New Roman" w:hAnsi="Times New Roman" w:cs="Times New Roman"/>
          <w:sz w:val="24"/>
        </w:rPr>
      </w:pPr>
    </w:p>
    <w:p w14:paraId="42DF769B" w14:textId="77777777" w:rsidR="00AF4189" w:rsidRDefault="00AF4189">
      <w:pPr>
        <w:rPr>
          <w:rFonts w:ascii="Times New Roman" w:hAnsi="Times New Roman" w:cs="Times New Roman"/>
          <w:sz w:val="24"/>
        </w:rPr>
      </w:pPr>
    </w:p>
    <w:p w14:paraId="5972198F" w14:textId="77777777" w:rsidR="00AF4189" w:rsidRDefault="00AF4189">
      <w:pPr>
        <w:rPr>
          <w:rFonts w:ascii="Times New Roman" w:hAnsi="Times New Roman" w:cs="Times New Roman"/>
          <w:sz w:val="24"/>
        </w:rPr>
      </w:pPr>
    </w:p>
    <w:p w14:paraId="2DC2E592" w14:textId="77777777" w:rsidR="00AF4189" w:rsidRDefault="00AF4189">
      <w:pPr>
        <w:rPr>
          <w:rFonts w:ascii="Times New Roman" w:hAnsi="Times New Roman" w:cs="Times New Roman"/>
          <w:sz w:val="24"/>
        </w:rPr>
      </w:pPr>
    </w:p>
    <w:p w14:paraId="479949C7" w14:textId="77777777" w:rsidR="00AF4189" w:rsidRDefault="00AF4189">
      <w:pPr>
        <w:rPr>
          <w:rFonts w:ascii="Times New Roman" w:hAnsi="Times New Roman" w:cs="Times New Roman"/>
          <w:sz w:val="24"/>
        </w:rPr>
      </w:pPr>
    </w:p>
    <w:p w14:paraId="26A4CAAF" w14:textId="77777777" w:rsidR="00AF4189" w:rsidRDefault="00AF4189">
      <w:pPr>
        <w:rPr>
          <w:rFonts w:ascii="Times New Roman" w:hAnsi="Times New Roman" w:cs="Times New Roman"/>
          <w:sz w:val="24"/>
        </w:rPr>
      </w:pPr>
    </w:p>
    <w:p w14:paraId="77B72271" w14:textId="77777777" w:rsidR="00AF4189" w:rsidRDefault="00AF4189">
      <w:pPr>
        <w:rPr>
          <w:rFonts w:ascii="Times New Roman" w:hAnsi="Times New Roman" w:cs="Times New Roman"/>
          <w:sz w:val="24"/>
        </w:rPr>
      </w:pPr>
    </w:p>
    <w:p w14:paraId="74F2AFC6" w14:textId="77777777" w:rsidR="00AF4189" w:rsidRDefault="00AF4189">
      <w:pPr>
        <w:rPr>
          <w:rFonts w:ascii="Times New Roman" w:hAnsi="Times New Roman" w:cs="Times New Roman"/>
          <w:sz w:val="24"/>
        </w:rPr>
      </w:pPr>
    </w:p>
    <w:p w14:paraId="5D8570EC" w14:textId="77777777" w:rsidR="00AF4189" w:rsidRDefault="00AF4189">
      <w:pPr>
        <w:rPr>
          <w:rFonts w:ascii="Times New Roman" w:hAnsi="Times New Roman" w:cs="Times New Roman"/>
          <w:sz w:val="24"/>
        </w:rPr>
      </w:pPr>
    </w:p>
    <w:p w14:paraId="39EC0509" w14:textId="1D4E3CF6" w:rsidR="00157516" w:rsidRDefault="00C446C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lastRenderedPageBreak/>
        <w:t>Supplementary</w:t>
      </w:r>
      <w:bookmarkEnd w:id="0"/>
      <w:r w:rsidR="00F52FD3" w:rsidRPr="00F52FD3">
        <w:rPr>
          <w:rFonts w:ascii="Times New Roman" w:hAnsi="Times New Roman" w:cs="Times New Roman"/>
          <w:sz w:val="24"/>
        </w:rPr>
        <w:t xml:space="preserve"> material</w:t>
      </w:r>
      <w:r>
        <w:rPr>
          <w:rFonts w:ascii="Times New Roman" w:hAnsi="Times New Roman" w:cs="Times New Roman"/>
          <w:sz w:val="24"/>
        </w:rPr>
        <w:t xml:space="preserve"> </w:t>
      </w:r>
      <w:r w:rsidR="00AF4189">
        <w:rPr>
          <w:rFonts w:ascii="Times New Roman" w:hAnsi="Times New Roman" w:cs="Times New Roman" w:hint="eastAsia"/>
          <w:sz w:val="24"/>
        </w:rPr>
        <w:t>B</w:t>
      </w:r>
      <w:r>
        <w:rPr>
          <w:rFonts w:ascii="Times New Roman" w:hAnsi="Times New Roman" w:cs="Times New Roman"/>
          <w:sz w:val="24"/>
        </w:rPr>
        <w:t>: Measurement Tools</w:t>
      </w:r>
    </w:p>
    <w:p w14:paraId="2E89F0DA" w14:textId="77777777" w:rsidR="00157516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Health Literacy Scale (adapted from the Chinese Citizen Health Literacy Scale)</w:t>
      </w:r>
    </w:p>
    <w:p w14:paraId="7CE9B914" w14:textId="77777777" w:rsidR="00157516" w:rsidRDefault="00000000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Dimension 1: Basic health knowledge (e.g., "Normal range of blood pressure for older adults")</w:t>
      </w:r>
    </w:p>
    <w:p w14:paraId="2D6E24F6" w14:textId="77777777" w:rsidR="00157516" w:rsidRDefault="00000000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Dimension 2: Chronic disease management knowledge (e.g., "Frequency of blood glucose monitoring for type 2 diabetes")</w:t>
      </w:r>
    </w:p>
    <w:p w14:paraId="758CAC08" w14:textId="77777777" w:rsidR="00157516" w:rsidRDefault="00000000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Dimension 3: Healthy lifestyle (e.g., "Recommended daily salt intake for hypertension patients")</w:t>
      </w:r>
    </w:p>
    <w:p w14:paraId="30B0B7BA" w14:textId="77777777" w:rsidR="00157516" w:rsidRDefault="00000000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Dimension 4: Basic medical skills (e.g., "Correct way to measure blood pressure at home")</w:t>
      </w:r>
    </w:p>
    <w:p w14:paraId="06852820" w14:textId="77777777" w:rsidR="00157516" w:rsidRDefault="00000000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Scoring: 1 point for each correct answer, total score range: 0–40 points (higher scores indicate higher health literacy)</w:t>
      </w:r>
    </w:p>
    <w:p w14:paraId="3D610707" w14:textId="77777777" w:rsidR="00157516" w:rsidRDefault="00157516">
      <w:pPr>
        <w:rPr>
          <w:rFonts w:ascii="Times New Roman" w:hAnsi="Times New Roman" w:cs="Times New Roman"/>
          <w:sz w:val="24"/>
        </w:rPr>
      </w:pPr>
    </w:p>
    <w:p w14:paraId="4E57623F" w14:textId="77777777" w:rsidR="00157516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Patient Satisfaction Questionnaire for Medical–Prevention Integration Services</w:t>
      </w:r>
    </w:p>
    <w:p w14:paraId="0960E867" w14:textId="77777777" w:rsidR="00157516" w:rsidRDefault="00000000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5-point Likert scale (1=strongly dissatisfied, 5=strongly satisfied)</w:t>
      </w:r>
    </w:p>
    <w:p w14:paraId="65C05EE7" w14:textId="77777777" w:rsidR="00157516" w:rsidRDefault="00000000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Core items:</w:t>
      </w:r>
    </w:p>
    <w:p w14:paraId="2005B98F" w14:textId="77777777" w:rsidR="00157516" w:rsidRDefault="00000000">
      <w:pPr>
        <w:spacing w:line="279" w:lineRule="auto"/>
        <w:ind w:leftChars="200" w:left="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Accessibility of community-based chronic disease management services</w:t>
      </w:r>
    </w:p>
    <w:p w14:paraId="16AC5D2C" w14:textId="77777777" w:rsidR="00157516" w:rsidRDefault="00000000">
      <w:pPr>
        <w:spacing w:line="279" w:lineRule="auto"/>
        <w:ind w:leftChars="200" w:left="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Clarity of health education materials provided by medical staff</w:t>
      </w:r>
    </w:p>
    <w:p w14:paraId="6D7F19A1" w14:textId="77777777" w:rsidR="00157516" w:rsidRDefault="00000000">
      <w:pPr>
        <w:spacing w:line="279" w:lineRule="auto"/>
        <w:ind w:leftChars="200" w:left="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Timeliness of follow-up reminders and health guidance</w:t>
      </w:r>
    </w:p>
    <w:p w14:paraId="40071B9E" w14:textId="77777777" w:rsidR="00157516" w:rsidRDefault="00000000">
      <w:pPr>
        <w:spacing w:line="279" w:lineRule="auto"/>
        <w:ind w:leftChars="200" w:left="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Effectiveness of communication with family doctors</w:t>
      </w:r>
    </w:p>
    <w:p w14:paraId="6BBB460D" w14:textId="77777777" w:rsidR="00157516" w:rsidRDefault="00000000">
      <w:pPr>
        <w:spacing w:line="279" w:lineRule="auto"/>
        <w:ind w:leftChars="200" w:left="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Overall satisfaction with the integrated service model</w:t>
      </w:r>
    </w:p>
    <w:p w14:paraId="0A7B4FC5" w14:textId="77777777" w:rsidR="00157516" w:rsidRDefault="00157516">
      <w:pPr>
        <w:rPr>
          <w:rFonts w:ascii="Times New Roman" w:hAnsi="Times New Roman" w:cs="Times New Roman"/>
          <w:sz w:val="24"/>
        </w:rPr>
      </w:pPr>
    </w:p>
    <w:p w14:paraId="07697750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17A03F40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220FD684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61BB8114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37830D2F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4E55C6F8" w14:textId="77777777" w:rsidR="005C6547" w:rsidRDefault="005C6547">
      <w:pPr>
        <w:rPr>
          <w:rFonts w:ascii="Times New Roman" w:hAnsi="Times New Roman" w:cs="Times New Roman" w:hint="eastAsia"/>
          <w:sz w:val="24"/>
        </w:rPr>
      </w:pPr>
    </w:p>
    <w:p w14:paraId="7597BEAF" w14:textId="29CB9B8D" w:rsidR="00157516" w:rsidRDefault="005C6547">
      <w:pPr>
        <w:rPr>
          <w:rFonts w:ascii="Times New Roman" w:hAnsi="Times New Roman" w:cs="Times New Roman"/>
          <w:sz w:val="24"/>
        </w:rPr>
      </w:pPr>
      <w:r w:rsidRPr="005C6547">
        <w:rPr>
          <w:rFonts w:ascii="Times New Roman" w:hAnsi="Times New Roman" w:cs="Times New Roman"/>
          <w:sz w:val="24"/>
        </w:rPr>
        <w:lastRenderedPageBreak/>
        <w:t>Supplementary</w:t>
      </w:r>
      <w:r w:rsidR="00F52FD3" w:rsidRPr="00F52FD3">
        <w:rPr>
          <w:rFonts w:ascii="Times New Roman" w:hAnsi="Times New Roman" w:cs="Times New Roman"/>
          <w:sz w:val="24"/>
        </w:rPr>
        <w:t xml:space="preserve"> material</w:t>
      </w:r>
      <w:r>
        <w:rPr>
          <w:rFonts w:ascii="Times New Roman" w:hAnsi="Times New Roman" w:cs="Times New Roman"/>
          <w:sz w:val="24"/>
        </w:rPr>
        <w:t xml:space="preserve"> C: Quantitative Analysis Details</w:t>
      </w:r>
    </w:p>
    <w:p w14:paraId="597B4432" w14:textId="77777777" w:rsidR="00157516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Variable Definitions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042"/>
      </w:tblGrid>
      <w:tr w:rsidR="00157516" w14:paraId="54641E53" w14:textId="77777777">
        <w:tc>
          <w:tcPr>
            <w:tcW w:w="21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68F41F7B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Variable Type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868B268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Variable Name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391423B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Definition</w:t>
            </w:r>
          </w:p>
        </w:tc>
        <w:tc>
          <w:tcPr>
            <w:tcW w:w="204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6A6B46A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Measurement Scale</w:t>
            </w:r>
          </w:p>
        </w:tc>
      </w:tr>
      <w:tr w:rsidR="00157516" w14:paraId="788434EC" w14:textId="77777777"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FEC2B7F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Dependent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24D7CB4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Per capita annual outpatient costs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1B5EFDD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Total outpatient expenses for chronic disease management in one year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BBFCF66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Continuous (RMB)</w:t>
            </w:r>
          </w:p>
        </w:tc>
      </w:tr>
      <w:tr w:rsidR="00157516" w14:paraId="3FE1BFE1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EF3CC5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Dependent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B0EEF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Per capita annual hospitalization costs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78B799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Total hospitalization expenses related to chronic diseases in one year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285214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Continuous (RMB)</w:t>
            </w:r>
          </w:p>
        </w:tc>
      </w:tr>
      <w:tr w:rsidR="00157516" w14:paraId="05C62515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8AE2D2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Dependent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2C6217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Chronic disease control rate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BBD0FE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Proportion of patients with blood pressure &lt;140/90 mmHg and/or blood glucose &lt;7.0 mmol/L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4D626F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Binary (1=controlled, 0=uncontrolled)</w:t>
            </w:r>
          </w:p>
        </w:tc>
      </w:tr>
      <w:tr w:rsidR="00157516" w14:paraId="299271EC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893846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Independent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409E43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Participation in integration model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043919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Monthly frequency of participating in chronic disease management services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F35DE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Continuous (times/month)</w:t>
            </w:r>
          </w:p>
        </w:tc>
      </w:tr>
      <w:tr w:rsidR="00157516" w14:paraId="14D94A15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93057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Independent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306FFE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Age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453CD0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Participant’s age at enrollment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3AD3BA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Categorical (60–70 years, &gt;70 years)</w:t>
            </w:r>
          </w:p>
        </w:tc>
      </w:tr>
      <w:tr w:rsidR="00157516" w14:paraId="2501D9FC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FBD45A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Independent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E80E6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Educational attainment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3C94E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Highest level of education completed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FE6F54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Categorical (primary school or below, secondary school and above)</w:t>
            </w:r>
          </w:p>
        </w:tc>
      </w:tr>
      <w:tr w:rsidR="00157516" w14:paraId="3D92695E" w14:textId="77777777"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31464C0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Independent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069E92C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Regional economic status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A232B82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Economic development level of the study area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248CAA2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14:ligatures w14:val="none"/>
              </w:rPr>
              <w:t>Categorical (developed, less developed)</w:t>
            </w:r>
          </w:p>
        </w:tc>
      </w:tr>
    </w:tbl>
    <w:p w14:paraId="34E0FDB0" w14:textId="77777777" w:rsidR="00157516" w:rsidRDefault="00157516">
      <w:pPr>
        <w:rPr>
          <w:rFonts w:ascii="Times New Roman" w:hAnsi="Times New Roman" w:cs="Times New Roman"/>
          <w:sz w:val="24"/>
        </w:rPr>
      </w:pPr>
    </w:p>
    <w:p w14:paraId="36711ECE" w14:textId="77777777" w:rsidR="00157516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Heckman Two-Stage Model Equations</w:t>
      </w:r>
    </w:p>
    <w:p w14:paraId="2CB7A4D2" w14:textId="77777777" w:rsidR="00157516" w:rsidRDefault="00000000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First stage (Probit model): </w:t>
      </w:r>
      <m:oMath>
        <m:r>
          <m:rPr>
            <m:sty m:val="p"/>
          </m:rPr>
          <w:rPr>
            <w:rFonts w:ascii="Times New Roman" w:hAnsi="Times New Roman" w:cs="Times New Roman"/>
            <w:sz w:val="24"/>
          </w:rPr>
          <m:t>P</m:t>
        </m:r>
        <m:d>
          <m:dPr>
            <m:ctrlPr>
              <w:rPr>
                <w:rFonts w:ascii="Cambria Math" w:hAnsi="Cambria Math" w:cs="Times New Roman"/>
                <w:sz w:val="24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Participatio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=1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4"/>
          </w:rPr>
          <m:t>=Φ</m:t>
        </m:r>
        <m:d>
          <m:dPr>
            <m:ctrlPr>
              <w:rPr>
                <w:rFonts w:ascii="Cambria Math" w:hAnsi="Cambria Math" w:cs="Times New Roman"/>
                <w:sz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Ag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Ed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Regio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i</m:t>
                </m:r>
              </m:sub>
            </m:sSub>
          </m:e>
        </m:d>
      </m:oMath>
    </w:p>
    <w:p w14:paraId="1C3AD9EB" w14:textId="77777777" w:rsidR="00157516" w:rsidRDefault="00000000">
      <w:pPr>
        <w:spacing w:line="279" w:lineRule="auto"/>
        <w:ind w:leftChars="200" w:left="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Where </w:t>
      </w:r>
      <m:oMath>
        <m:r>
          <m:rPr>
            <m:sty m:val="p"/>
          </m:rPr>
          <w:rPr>
            <w:rFonts w:ascii="Times New Roman" w:hAnsi="Times New Roman" w:cs="Times New Roman"/>
            <w:sz w:val="24"/>
          </w:rPr>
          <m:t>Participatio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n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i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=1</m:t>
        </m:r>
      </m:oMath>
      <w:r>
        <w:rPr>
          <w:rFonts w:ascii="Times New Roman" w:hAnsi="Times New Roman" w:cs="Times New Roman"/>
          <w:sz w:val="24"/>
        </w:rPr>
        <w:t xml:space="preserve"> if participant engaged in the integration model, 0 otherwise; </w:t>
      </w:r>
      <m:oMath>
        <m:r>
          <m:rPr>
            <m:sty m:val="p"/>
          </m:rPr>
          <w:rPr>
            <w:rFonts w:ascii="Times New Roman" w:hAnsi="Times New Roman" w:cs="Times New Roman"/>
            <w:sz w:val="24"/>
          </w:rPr>
          <m:t>Φ=standard</m:t>
        </m:r>
      </m:oMath>
      <w:r>
        <w:rPr>
          <w:rFonts w:ascii="Times New Roman" w:hAnsi="Times New Roman" w:cs="Times New Roman"/>
          <w:sz w:val="24"/>
        </w:rPr>
        <w:t xml:space="preserve"> normal cumulative distribution function;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 xml:space="preserve"> ε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i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=error</m:t>
        </m:r>
      </m:oMath>
      <w:r>
        <w:rPr>
          <w:rFonts w:ascii="Times New Roman" w:hAnsi="Times New Roman" w:cs="Times New Roman"/>
          <w:sz w:val="24"/>
        </w:rPr>
        <w:t xml:space="preserve"> term</w:t>
      </w:r>
    </w:p>
    <w:p w14:paraId="18C6C6BE" w14:textId="77777777" w:rsidR="00157516" w:rsidRDefault="00000000">
      <w:pPr>
        <w:spacing w:line="279" w:lineRule="auto"/>
        <w:ind w:leftChars="100" w:left="2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Second stage (Multiple linear regression): </w:t>
      </w:r>
      <m:oMath>
        <m:r>
          <m:rPr>
            <m:sty m:val="p"/>
          </m:rPr>
          <w:rPr>
            <w:rFonts w:ascii="Times New Roman" w:hAnsi="Times New Roman" w:cs="Times New Roman"/>
            <w:sz w:val="24"/>
          </w:rPr>
          <m:t>Outcom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e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i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α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0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α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1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ParticipationDept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i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α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2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Ag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e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i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α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3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Ed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u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i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α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4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Regio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n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i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+λ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sz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μ</m:t>
                </m:r>
              </m:e>
            </m:acc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i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ν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i</m:t>
            </m:r>
          </m:sub>
        </m:sSub>
      </m:oMath>
    </w:p>
    <w:p w14:paraId="1CC32D9C" w14:textId="77777777" w:rsidR="00157516" w:rsidRDefault="00000000">
      <w:pPr>
        <w:spacing w:line="279" w:lineRule="auto"/>
        <w:ind w:leftChars="200" w:left="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Where</w:t>
      </w:r>
      <w:r>
        <w:rPr>
          <w:rFonts w:ascii="Times New Roman" w:hAnsi="Times New Roman" w:cs="Times New Roman" w:hint="eastAsia"/>
          <w:sz w:val="24"/>
        </w:rPr>
        <w:t xml:space="preserve"> </w:t>
      </w:r>
      <m:oMath>
        <m:r>
          <m:rPr>
            <m:sty m:val="p"/>
          </m:rPr>
          <w:rPr>
            <w:rFonts w:ascii="Times New Roman" w:hAnsi="Times New Roman" w:cs="Times New Roman"/>
            <w:sz w:val="24"/>
          </w:rPr>
          <m:t>Outcom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e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i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=</m:t>
        </m:r>
        <m:r>
          <m:rPr>
            <m:nor/>
          </m:rPr>
          <w:rPr>
            <w:rFonts w:ascii="Times New Roman" w:hAnsi="Times New Roman" w:cs="Times New Roman"/>
            <w:sz w:val="24"/>
          </w:rPr>
          <m:t>medical costs/control rate</m:t>
        </m:r>
      </m:oMath>
      <w:r>
        <w:rPr>
          <w:rFonts w:ascii="Times New Roman" w:hAnsi="Times New Roman" w:cs="Times New Roman"/>
          <w:sz w:val="24"/>
        </w:rPr>
        <w:t xml:space="preserve">; </w:t>
      </w:r>
      <m:oMath>
        <m:r>
          <m:rPr>
            <m:sty m:val="p"/>
          </m:rPr>
          <w:rPr>
            <w:rFonts w:ascii="Times New Roman" w:hAnsi="Times New Roman" w:cs="Times New Roman"/>
            <w:sz w:val="24"/>
          </w:rPr>
          <m:t>ParticipationDept</m:t>
        </m:r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i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=</m:t>
        </m:r>
        <m:r>
          <m:rPr>
            <m:nor/>
          </m:rPr>
          <w:rPr>
            <w:rFonts w:ascii="Times New Roman" w:hAnsi="Times New Roman" w:cs="Times New Roman"/>
            <w:sz w:val="24"/>
          </w:rPr>
          <m:t>monthly participation frequency</m:t>
        </m:r>
      </m:oMath>
      <w:r>
        <w:rPr>
          <w:rFonts w:ascii="Times New Roman" w:hAnsi="Times New Roman" w:cs="Times New Roman"/>
          <w:sz w:val="24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sz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</w:rPr>
                  <m:t>μ</m:t>
                </m:r>
              </m:e>
            </m:acc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i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=</m:t>
        </m:r>
        <m:r>
          <m:rPr>
            <m:nor/>
          </m:rPr>
          <w:rPr>
            <w:rFonts w:ascii="Times New Roman" w:hAnsi="Times New Roman" w:cs="Times New Roman"/>
            <w:sz w:val="24"/>
          </w:rPr>
          <m:t>inverse Mills ratio</m:t>
        </m:r>
      </m:oMath>
      <w:r>
        <w:rPr>
          <w:rFonts w:ascii="Times New Roman" w:hAnsi="Times New Roman" w:cs="Times New Roman"/>
          <w:sz w:val="24"/>
        </w:rPr>
        <w:t xml:space="preserve">; </w:t>
      </w:r>
      <m:oMath>
        <m:sSub>
          <m:sSubPr>
            <m:ctrlPr>
              <w:rPr>
                <w:rFonts w:ascii="Cambria Math" w:hAnsi="Cambria Math" w:cs="Times New Roman"/>
                <w:sz w:val="24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ν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</w:rPr>
              <m:t>i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4"/>
          </w:rPr>
          <m:t>=error term</m:t>
        </m:r>
      </m:oMath>
    </w:p>
    <w:p w14:paraId="06B97133" w14:textId="77777777" w:rsidR="00157516" w:rsidRDefault="00157516">
      <w:pPr>
        <w:rPr>
          <w:rFonts w:ascii="Times New Roman" w:hAnsi="Times New Roman" w:cs="Times New Roman"/>
          <w:sz w:val="24"/>
        </w:rPr>
      </w:pPr>
    </w:p>
    <w:p w14:paraId="1338557F" w14:textId="77777777" w:rsidR="00157516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Statistical Software: Stata 17.0 (</w:t>
      </w:r>
      <w:proofErr w:type="spellStart"/>
      <w:r>
        <w:rPr>
          <w:rFonts w:ascii="Times New Roman" w:hAnsi="Times New Roman" w:cs="Times New Roman"/>
          <w:sz w:val="24"/>
        </w:rPr>
        <w:t>StataCorp</w:t>
      </w:r>
      <w:proofErr w:type="spellEnd"/>
      <w:r>
        <w:rPr>
          <w:rFonts w:ascii="Times New Roman" w:hAnsi="Times New Roman" w:cs="Times New Roman"/>
          <w:sz w:val="24"/>
        </w:rPr>
        <w:t xml:space="preserve"> LLC, College Station, TX, USA)</w:t>
      </w:r>
    </w:p>
    <w:p w14:paraId="7334A3CE" w14:textId="77777777" w:rsidR="00157516" w:rsidRDefault="00157516">
      <w:pPr>
        <w:rPr>
          <w:rFonts w:ascii="Times New Roman" w:hAnsi="Times New Roman" w:cs="Times New Roman"/>
          <w:sz w:val="24"/>
        </w:rPr>
      </w:pPr>
    </w:p>
    <w:p w14:paraId="778DACE8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5BDDF166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6C831749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1FA000CA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535BB200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4D174284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3E0E163F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4B6B0F28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2CE6670D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52B443E7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09063AAB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1F7E9495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438DCAFB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68714DA0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0C564781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1323B620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370CC75C" w14:textId="77777777" w:rsidR="005C6547" w:rsidRDefault="005C6547">
      <w:pPr>
        <w:rPr>
          <w:rFonts w:ascii="Times New Roman" w:hAnsi="Times New Roman" w:cs="Times New Roman"/>
          <w:sz w:val="24"/>
        </w:rPr>
      </w:pPr>
    </w:p>
    <w:p w14:paraId="457CF84B" w14:textId="031B3529" w:rsidR="00157516" w:rsidRDefault="005C6547">
      <w:pPr>
        <w:rPr>
          <w:rFonts w:ascii="Times New Roman" w:hAnsi="Times New Roman" w:cs="Times New Roman"/>
          <w:sz w:val="24"/>
        </w:rPr>
      </w:pPr>
      <w:r w:rsidRPr="005C6547">
        <w:rPr>
          <w:rFonts w:ascii="Times New Roman" w:hAnsi="Times New Roman" w:cs="Times New Roman"/>
          <w:sz w:val="24"/>
        </w:rPr>
        <w:lastRenderedPageBreak/>
        <w:t>Supplementary</w:t>
      </w:r>
      <w:r>
        <w:rPr>
          <w:rFonts w:ascii="Times New Roman" w:hAnsi="Times New Roman" w:cs="Times New Roman"/>
          <w:sz w:val="24"/>
        </w:rPr>
        <w:t xml:space="preserve"> </w:t>
      </w:r>
      <w:r w:rsidR="00F52FD3" w:rsidRPr="00F52FD3">
        <w:rPr>
          <w:rFonts w:ascii="Times New Roman" w:hAnsi="Times New Roman" w:cs="Times New Roman"/>
          <w:sz w:val="24"/>
        </w:rPr>
        <w:t>material</w:t>
      </w:r>
      <w:r w:rsidR="00F52FD3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D: Qualitative Analysis Coding Framework Example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042"/>
      </w:tblGrid>
      <w:tr w:rsidR="00157516" w14:paraId="59D0A124" w14:textId="77777777">
        <w:tc>
          <w:tcPr>
            <w:tcW w:w="21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664E22CB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Coding Level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E99C5DF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Code Name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C48ED14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Code Definition</w:t>
            </w:r>
          </w:p>
        </w:tc>
        <w:tc>
          <w:tcPr>
            <w:tcW w:w="204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4BBF5C7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Example Quotations</w:t>
            </w:r>
          </w:p>
        </w:tc>
      </w:tr>
      <w:tr w:rsidR="00157516" w14:paraId="51E36473" w14:textId="77777777"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3C2D7B7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First-level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4DA6810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Resource integration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9D70CD2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Measures taken to combine medical and preventive service resources</w:t>
            </w:r>
          </w:p>
        </w:tc>
        <w:tc>
          <w:tcPr>
            <w:tcW w:w="20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A13BA6B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"We established a data-sharing platform between hospitals and community health centers"</w:t>
            </w:r>
          </w:p>
        </w:tc>
      </w:tr>
      <w:tr w:rsidR="00157516" w14:paraId="61A9F2CC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9177DB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First-level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FCB80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Policy support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1EB728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Government financial or institutional support for the model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654236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"Each participant receives a 120 RMB annual subsidy for chronic disease management"</w:t>
            </w:r>
          </w:p>
        </w:tc>
      </w:tr>
      <w:tr w:rsidR="00157516" w14:paraId="06407928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46C80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Second-level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535606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Coordination obstacles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17F0C1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Barriers to collaboration between medical and public health institutions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7C0E61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"Responsibilities between hospitals and CDC are not clearly defined"</w:t>
            </w:r>
          </w:p>
        </w:tc>
      </w:tr>
      <w:tr w:rsidR="00157516" w14:paraId="0481E0DE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4A5CE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Second-level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09CB79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Demand gaps of disadvantaged groups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CF8959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Unmet service needs of older or less educated populations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D4CB23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"I can’t understand the health education brochures because I can’t read well"</w:t>
            </w:r>
          </w:p>
        </w:tc>
      </w:tr>
      <w:tr w:rsidR="00157516" w14:paraId="165A8EC0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9C5C2D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Third-level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88CE50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Key effectiveness elements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FB418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Core factors driving model success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8CDF2C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Information exchange, financial guarantees</w:t>
            </w:r>
          </w:p>
        </w:tc>
      </w:tr>
      <w:tr w:rsidR="00157516" w14:paraId="58293537" w14:textId="77777777"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B2327A7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Third-level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EB50B94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Ethical risk points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28A2BC6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Risks of unfair resource allocation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9BDF9EA" w14:textId="77777777" w:rsidR="00157516" w:rsidRDefault="0000000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"Services tend to prioritize younger, more cooperative patients"</w:t>
            </w:r>
          </w:p>
        </w:tc>
      </w:tr>
    </w:tbl>
    <w:p w14:paraId="3FEB5A16" w14:textId="77777777" w:rsidR="00157516" w:rsidRDefault="00157516">
      <w:pPr>
        <w:rPr>
          <w:rFonts w:ascii="Times New Roman" w:hAnsi="Times New Roman" w:cs="Times New Roman"/>
        </w:rPr>
      </w:pPr>
    </w:p>
    <w:p w14:paraId="42EBC3C0" w14:textId="77777777" w:rsidR="00157516" w:rsidRDefault="00157516">
      <w:pPr>
        <w:rPr>
          <w:rFonts w:ascii="Times New Roman" w:hAnsi="Times New Roman" w:cs="Times New Roman"/>
          <w:sz w:val="24"/>
        </w:rPr>
      </w:pPr>
    </w:p>
    <w:sectPr w:rsidR="00157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95E0" w14:textId="77777777" w:rsidR="003638E4" w:rsidRDefault="003638E4">
      <w:pPr>
        <w:spacing w:line="240" w:lineRule="auto"/>
      </w:pPr>
      <w:r>
        <w:separator/>
      </w:r>
    </w:p>
  </w:endnote>
  <w:endnote w:type="continuationSeparator" w:id="0">
    <w:p w14:paraId="238FE89B" w14:textId="77777777" w:rsidR="003638E4" w:rsidRDefault="00363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D0EC" w14:textId="77777777" w:rsidR="003638E4" w:rsidRDefault="003638E4">
      <w:pPr>
        <w:spacing w:after="0"/>
      </w:pPr>
      <w:r>
        <w:separator/>
      </w:r>
    </w:p>
  </w:footnote>
  <w:footnote w:type="continuationSeparator" w:id="0">
    <w:p w14:paraId="6510A7C0" w14:textId="77777777" w:rsidR="003638E4" w:rsidRDefault="003638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852020"/>
    <w:rsid w:val="00157516"/>
    <w:rsid w:val="003638E4"/>
    <w:rsid w:val="004F23F8"/>
    <w:rsid w:val="005C6547"/>
    <w:rsid w:val="00731655"/>
    <w:rsid w:val="008310D6"/>
    <w:rsid w:val="00927A62"/>
    <w:rsid w:val="00AF4189"/>
    <w:rsid w:val="00C446C2"/>
    <w:rsid w:val="00D45DA4"/>
    <w:rsid w:val="00D94065"/>
    <w:rsid w:val="00F52FD3"/>
    <w:rsid w:val="01115D24"/>
    <w:rsid w:val="02E56B9C"/>
    <w:rsid w:val="033C368B"/>
    <w:rsid w:val="03DA5762"/>
    <w:rsid w:val="04853176"/>
    <w:rsid w:val="0540349E"/>
    <w:rsid w:val="05BD6F8F"/>
    <w:rsid w:val="05CF793B"/>
    <w:rsid w:val="06DF63DF"/>
    <w:rsid w:val="08266095"/>
    <w:rsid w:val="08CA464A"/>
    <w:rsid w:val="0AC2202E"/>
    <w:rsid w:val="0DED754B"/>
    <w:rsid w:val="0F4E2E9B"/>
    <w:rsid w:val="0FBD50BE"/>
    <w:rsid w:val="10B00AAD"/>
    <w:rsid w:val="13250FB0"/>
    <w:rsid w:val="135B70C7"/>
    <w:rsid w:val="140C2C52"/>
    <w:rsid w:val="15476F11"/>
    <w:rsid w:val="166249EF"/>
    <w:rsid w:val="16A82624"/>
    <w:rsid w:val="172A779C"/>
    <w:rsid w:val="1833301B"/>
    <w:rsid w:val="185B1070"/>
    <w:rsid w:val="1B7A228B"/>
    <w:rsid w:val="1C05759D"/>
    <w:rsid w:val="1C0E117B"/>
    <w:rsid w:val="1EAE0FD3"/>
    <w:rsid w:val="1F525FD7"/>
    <w:rsid w:val="211C7E96"/>
    <w:rsid w:val="24A87C93"/>
    <w:rsid w:val="2550492B"/>
    <w:rsid w:val="25C95979"/>
    <w:rsid w:val="26167CA2"/>
    <w:rsid w:val="261768D0"/>
    <w:rsid w:val="28221B0A"/>
    <w:rsid w:val="28257F51"/>
    <w:rsid w:val="2B2900D0"/>
    <w:rsid w:val="2D524C40"/>
    <w:rsid w:val="2E0B749A"/>
    <w:rsid w:val="2F1C5505"/>
    <w:rsid w:val="322E1E58"/>
    <w:rsid w:val="33310C64"/>
    <w:rsid w:val="33DC1310"/>
    <w:rsid w:val="34737AD5"/>
    <w:rsid w:val="347C03B6"/>
    <w:rsid w:val="3522139B"/>
    <w:rsid w:val="353E3268"/>
    <w:rsid w:val="39E12752"/>
    <w:rsid w:val="39FA1E0C"/>
    <w:rsid w:val="3B5F64B3"/>
    <w:rsid w:val="3D007123"/>
    <w:rsid w:val="3D6F7E19"/>
    <w:rsid w:val="3F0D420A"/>
    <w:rsid w:val="4136018E"/>
    <w:rsid w:val="42400901"/>
    <w:rsid w:val="43385AD2"/>
    <w:rsid w:val="47243313"/>
    <w:rsid w:val="49301E81"/>
    <w:rsid w:val="49331BA1"/>
    <w:rsid w:val="4B0D1A87"/>
    <w:rsid w:val="4C057F25"/>
    <w:rsid w:val="4C3967CC"/>
    <w:rsid w:val="4C3D01DE"/>
    <w:rsid w:val="4C802F97"/>
    <w:rsid w:val="4D242145"/>
    <w:rsid w:val="4EED0B13"/>
    <w:rsid w:val="51663C9A"/>
    <w:rsid w:val="51D31156"/>
    <w:rsid w:val="52170FF6"/>
    <w:rsid w:val="524C0A95"/>
    <w:rsid w:val="56852020"/>
    <w:rsid w:val="569255F8"/>
    <w:rsid w:val="569D0132"/>
    <w:rsid w:val="57931F59"/>
    <w:rsid w:val="5C11169E"/>
    <w:rsid w:val="5D952366"/>
    <w:rsid w:val="5DF71122"/>
    <w:rsid w:val="5ED01686"/>
    <w:rsid w:val="5EF305C4"/>
    <w:rsid w:val="60F03797"/>
    <w:rsid w:val="619E7E05"/>
    <w:rsid w:val="68120C78"/>
    <w:rsid w:val="6A48205B"/>
    <w:rsid w:val="6A756AEB"/>
    <w:rsid w:val="6BB27C89"/>
    <w:rsid w:val="6D4318D3"/>
    <w:rsid w:val="6DA60AA9"/>
    <w:rsid w:val="6FA8684E"/>
    <w:rsid w:val="703674CE"/>
    <w:rsid w:val="70595F98"/>
    <w:rsid w:val="70934920"/>
    <w:rsid w:val="721E7B7A"/>
    <w:rsid w:val="723C04D5"/>
    <w:rsid w:val="72751E8B"/>
    <w:rsid w:val="72D336FA"/>
    <w:rsid w:val="72F11D14"/>
    <w:rsid w:val="73455D2A"/>
    <w:rsid w:val="736425A4"/>
    <w:rsid w:val="753F6E24"/>
    <w:rsid w:val="76B64A89"/>
    <w:rsid w:val="7AB04DEB"/>
    <w:rsid w:val="7D913864"/>
    <w:rsid w:val="7F2F0293"/>
    <w:rsid w:val="7F364DF4"/>
    <w:rsid w:val="7F9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1D3E8"/>
  <w15:docId w15:val="{A9296A92-CF88-4AA7-98F7-E6B321C0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next w:val="a"/>
    <w:link w:val="10"/>
    <w:qFormat/>
    <w:pPr>
      <w:spacing w:beforeLines="200" w:before="200" w:afterLines="200" w:after="200" w:line="360" w:lineRule="auto"/>
      <w:jc w:val="center"/>
      <w:outlineLvl w:val="0"/>
    </w:pPr>
    <w:rPr>
      <w:rFonts w:eastAsia="黑体" w:cs="Arial"/>
      <w:b/>
      <w:bCs/>
      <w:sz w:val="44"/>
      <w:szCs w:val="36"/>
    </w:rPr>
  </w:style>
  <w:style w:type="paragraph" w:styleId="2">
    <w:name w:val="heading 2"/>
    <w:next w:val="a"/>
    <w:link w:val="20"/>
    <w:semiHidden/>
    <w:unhideWhenUsed/>
    <w:qFormat/>
    <w:pPr>
      <w:spacing w:afterLines="50" w:after="50" w:line="360" w:lineRule="auto"/>
      <w:outlineLvl w:val="1"/>
    </w:pPr>
    <w:rPr>
      <w:rFonts w:cs="Arial"/>
      <w:b/>
      <w:bCs/>
      <w:sz w:val="28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spacing w:beforeAutospacing="1" w:after="0" w:afterAutospacing="1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pPr>
      <w:spacing w:beforeAutospacing="1" w:after="0" w:afterAutospacing="1"/>
      <w:outlineLvl w:val="3"/>
    </w:pPr>
    <w:rPr>
      <w:rFonts w:ascii="宋体" w:eastAsia="宋体" w:hAnsi="宋体" w:cs="Times New Roman" w:hint="eastAsia"/>
      <w:b/>
      <w:bCs/>
      <w:color w:val="000000" w:themeColor="text1"/>
      <w:kern w:val="0"/>
      <w:sz w:val="24"/>
    </w:rPr>
  </w:style>
  <w:style w:type="paragraph" w:styleId="7">
    <w:name w:val="heading 7"/>
    <w:basedOn w:val="a0"/>
    <w:next w:val="a"/>
    <w:semiHidden/>
    <w:unhideWhenUsed/>
    <w:qFormat/>
    <w:pPr>
      <w:keepNext/>
      <w:keepLines/>
      <w:spacing w:line="317" w:lineRule="auto"/>
      <w:outlineLvl w:val="6"/>
    </w:pPr>
    <w:rPr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pPr>
      <w:spacing w:beforeLines="50" w:before="50" w:afterLines="50" w:after="50" w:line="240" w:lineRule="auto"/>
      <w:jc w:val="center"/>
    </w:pPr>
    <w:rPr>
      <w:b/>
      <w:sz w:val="24"/>
    </w:rPr>
  </w:style>
  <w:style w:type="paragraph" w:styleId="31">
    <w:name w:val="Body Text 3"/>
    <w:basedOn w:val="a"/>
    <w:qFormat/>
    <w:pPr>
      <w:spacing w:after="120"/>
    </w:pPr>
    <w:rPr>
      <w:sz w:val="16"/>
    </w:rPr>
  </w:style>
  <w:style w:type="paragraph" w:styleId="a4">
    <w:name w:val="Body Text"/>
    <w:basedOn w:val="a"/>
    <w:qFormat/>
    <w:rPr>
      <w:rFonts w:ascii="宋体" w:eastAsia="宋体" w:hAnsi="宋体" w:cs="宋体"/>
      <w:snapToGrid w:val="0"/>
      <w:color w:val="000000"/>
      <w:kern w:val="0"/>
      <w:szCs w:val="23"/>
      <w:lang w:eastAsia="en-US"/>
    </w:rPr>
  </w:style>
  <w:style w:type="paragraph" w:styleId="TOC3">
    <w:name w:val="toc 3"/>
    <w:basedOn w:val="a"/>
    <w:next w:val="a"/>
    <w:qFormat/>
    <w:rPr>
      <w:rFonts w:ascii="Times New Roman" w:eastAsia="宋体" w:hAnsi="Times New Roman" w:cs="Times New Roman"/>
    </w:rPr>
  </w:style>
  <w:style w:type="paragraph" w:styleId="TOC1">
    <w:name w:val="toc 1"/>
    <w:basedOn w:val="a"/>
    <w:next w:val="a"/>
    <w:qFormat/>
    <w:rPr>
      <w:rFonts w:ascii="Times New Roman" w:eastAsia="宋体" w:hAnsi="Times New Roman" w:cs="Times New Roman"/>
    </w:rPr>
  </w:style>
  <w:style w:type="paragraph" w:styleId="TOC2">
    <w:name w:val="toc 2"/>
    <w:basedOn w:val="a"/>
    <w:next w:val="a"/>
    <w:link w:val="TOC20"/>
    <w:qFormat/>
    <w:pPr>
      <w:ind w:firstLineChars="100" w:firstLine="207"/>
    </w:pPr>
    <w:rPr>
      <w:rFonts w:ascii="Times New Roman" w:eastAsia="宋体" w:hAnsi="Times New Roman" w:cs="Times New Roman"/>
    </w:rPr>
  </w:style>
  <w:style w:type="table" w:styleId="a5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qFormat/>
    <w:rPr>
      <w:rFonts w:ascii="Times New Roman" w:eastAsia="宋体" w:hAnsi="Times New Roman" w:cs="Arial"/>
      <w:color w:val="000000" w:themeColor="text1"/>
      <w:sz w:val="28"/>
    </w:rPr>
  </w:style>
  <w:style w:type="paragraph" w:customStyle="1" w:styleId="a6">
    <w:name w:val="表头"/>
    <w:basedOn w:val="a"/>
    <w:qFormat/>
    <w:pPr>
      <w:spacing w:beforeLines="50" w:before="50" w:afterLines="50" w:after="50" w:line="240" w:lineRule="auto"/>
      <w:jc w:val="center"/>
    </w:pPr>
    <w:rPr>
      <w:rFonts w:hint="eastAsia"/>
      <w:sz w:val="24"/>
    </w:rPr>
  </w:style>
  <w:style w:type="character" w:customStyle="1" w:styleId="TOC20">
    <w:name w:val="TOC 2 字符"/>
    <w:link w:val="TOC2"/>
    <w:qFormat/>
    <w:rPr>
      <w:rFonts w:ascii="Times New Roman" w:eastAsia="宋体" w:hAnsi="Times New Roman" w:cs="Times New Roman"/>
      <w:sz w:val="24"/>
    </w:rPr>
  </w:style>
  <w:style w:type="character" w:customStyle="1" w:styleId="30">
    <w:name w:val="标题 3 字符"/>
    <w:basedOn w:val="a1"/>
    <w:link w:val="3"/>
    <w:qFormat/>
    <w:rPr>
      <w:rFonts w:ascii="Times New Roman" w:eastAsia="宋体" w:hAnsi="Times New Roman" w:cs="Arial"/>
      <w:color w:val="000000" w:themeColor="text1"/>
      <w:sz w:val="28"/>
      <w:szCs w:val="32"/>
    </w:rPr>
  </w:style>
  <w:style w:type="character" w:customStyle="1" w:styleId="40">
    <w:name w:val="标题 4 字符"/>
    <w:basedOn w:val="a1"/>
    <w:link w:val="4"/>
    <w:uiPriority w:val="9"/>
    <w:qFormat/>
    <w:rPr>
      <w:rFonts w:eastAsia="宋体" w:cstheme="majorBidi"/>
      <w:color w:val="000000" w:themeColor="text1"/>
      <w:sz w:val="28"/>
      <w:szCs w:val="2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Arial"/>
      <w:bCs/>
      <w:color w:val="000000" w:themeColor="text1"/>
      <w:kern w:val="44"/>
      <w:sz w:val="30"/>
      <w:szCs w:val="44"/>
      <w14:ligatures w14:val="standardContextual"/>
    </w:rPr>
  </w:style>
  <w:style w:type="paragraph" w:customStyle="1" w:styleId="a7">
    <w:name w:val="公式编号"/>
    <w:basedOn w:val="a"/>
    <w:link w:val="Char"/>
    <w:qFormat/>
    <w:pPr>
      <w:tabs>
        <w:tab w:val="center" w:pos="3780"/>
        <w:tab w:val="center" w:pos="4200"/>
        <w:tab w:val="right" w:pos="7560"/>
      </w:tabs>
      <w:ind w:firstLine="473"/>
    </w:pPr>
    <w:rPr>
      <w:rFonts w:ascii="Times New Roman" w:hAnsi="Times New Roman" w:cs="Times New Roman"/>
    </w:rPr>
  </w:style>
  <w:style w:type="character" w:customStyle="1" w:styleId="Char">
    <w:name w:val="公式编号 Char"/>
    <w:link w:val="a7"/>
    <w:qFormat/>
    <w:rPr>
      <w:rFonts w:ascii="Times New Roman" w:eastAsia="宋体" w:hAnsi="Times New Roman" w:cs="Times New Roman"/>
      <w:szCs w:val="24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611</Words>
  <Characters>4314</Characters>
  <Application>Microsoft Office Word</Application>
  <DocSecurity>0</DocSecurity>
  <Lines>253</Lines>
  <Paragraphs>114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Author</cp:lastModifiedBy>
  <cp:revision>6</cp:revision>
  <dcterms:created xsi:type="dcterms:W3CDTF">2025-11-12T11:52:00Z</dcterms:created>
  <dcterms:modified xsi:type="dcterms:W3CDTF">2025-12-17T01:14:00Z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81AC09D14F4540FDA298CE12EC228C06_11</vt:lpwstr>
  </property>
  <property fmtid="{D5CDD505-2E9C-101B-9397-08002B2CF9AE}" pid="4" name="KSOTemplateDocerSaveRecord">
    <vt:lpwstr>eyJoZGlkIjoiYWZkOTgzOTk1MTQ1MzkwNDJmZDRiOTY0Y2Y5ODM0NDUiLCJ1c2VySWQiOiIyODY2NDIxODgifQ==</vt:lpwstr>
  </property>
</Properties>
</file>