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7860" w14:textId="7C4A5939" w:rsidR="004C1F78" w:rsidRPr="00FB1A7A" w:rsidRDefault="004C1F78" w:rsidP="004C1F78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t xml:space="preserve">Supplemental </w:t>
      </w:r>
      <w:r w:rsidR="004552F2" w:rsidRPr="00FB1A7A">
        <w:rPr>
          <w:rFonts w:ascii="Arial" w:hAnsi="Arial" w:cs="Arial"/>
          <w:sz w:val="20"/>
          <w:szCs w:val="20"/>
        </w:rPr>
        <w:t>Appendix A</w:t>
      </w:r>
      <w:r w:rsidRPr="00FB1A7A">
        <w:rPr>
          <w:rFonts w:ascii="Arial" w:hAnsi="Arial" w:cs="Arial"/>
          <w:sz w:val="20"/>
          <w:szCs w:val="20"/>
        </w:rPr>
        <w:t>: ICD-10-CM Codes</w:t>
      </w:r>
    </w:p>
    <w:p w14:paraId="1187D431" w14:textId="77777777" w:rsidR="00AD6420" w:rsidRPr="00FB1A7A" w:rsidRDefault="004C1F78" w:rsidP="004C1F78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t>S2231XA, S2231XB, S2231XD, S2231XG, S2231XK, S2231XS, S2232XA, S2232XB, S2232XD, S2232XG, S2232XK, S2232XS, S2239XA, S2239XB, S2239XD, S2239XG, S2239XK, S2239XS, S2241XA, S2241XB, S2241XD, S2241XG, S2241XK, S2241XS, S2242XA, S2242XB, S2242XD, S2242XG, S2242XK, S2242XS, S2243XA, S2243XB, S2243XD, S2243XG, S2243XK, S2243XS, S2249XA, S2249XB, S2249XD, S2249XG, S2249XK, S2249XS</w:t>
      </w:r>
    </w:p>
    <w:p w14:paraId="778531BE" w14:textId="4BD23B23" w:rsidR="00AD4437" w:rsidRPr="00FB1A7A" w:rsidRDefault="00AD4437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p w14:paraId="65C9C2E4" w14:textId="4194534C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lastRenderedPageBreak/>
        <w:t>Supplemental Appendix B: Adjusted 6-Month Mortality Rates for Rib Fracture Patients with Readmission vs. Non-Readmission (2016-2020)</w:t>
      </w:r>
    </w:p>
    <w:p w14:paraId="08468929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AD4437" w:rsidRPr="00FB1A7A" w14:paraId="07C928D5" w14:textId="77777777" w:rsidTr="00781B1D">
        <w:trPr>
          <w:trHeight w:val="645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8A5B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Adjusted 6-Month Mortality Rates for Rib Fracture Patients with Readmission vs. Non-Readmission (NRD 2016 Data)</w:t>
            </w:r>
          </w:p>
        </w:tc>
      </w:tr>
      <w:tr w:rsidR="00AD4437" w:rsidRPr="00FB1A7A" w14:paraId="0DE1E7AC" w14:textId="77777777" w:rsidTr="00781B1D">
        <w:trPr>
          <w:trHeight w:val="360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4B30295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1AE4CF7" w14:textId="1EC73DCC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66CB6436" w14:textId="2C2C7B2F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23D06C9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AD4437" w:rsidRPr="00FB1A7A" w14:paraId="2DB1B14D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161A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C88B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63CD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89B7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70DBA20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B94D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AD47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61F4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A507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345D0D8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A2FB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68F3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1599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5.41, 11.1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6040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5317CCD0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9C6C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FCD2F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5E0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1.02, 1.05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299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292D11BE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9300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3C4E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B47A6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0.96, 0.99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9722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0.004</w:t>
            </w:r>
          </w:p>
        </w:tc>
      </w:tr>
      <w:tr w:rsidR="00AD4437" w:rsidRPr="00FB1A7A" w14:paraId="76943B69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E7C4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2192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C3FA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2593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74BF452B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B8151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E0D9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B30F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263E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F6139BD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D81E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E2BF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8F4B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1.35, 9.19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1492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0.014</w:t>
            </w:r>
          </w:p>
        </w:tc>
      </w:tr>
      <w:tr w:rsidR="00AD4437" w:rsidRPr="00FB1A7A" w14:paraId="5F11AD14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0BAD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C7FE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3AAF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7.83, 58.5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1BA3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6F7A05E6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29B97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C3AC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8DC5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40.3, 352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A820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30C79A87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148D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93EC0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D2511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D879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2EAF227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FEB7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8CD1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16A5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943C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7AF8B08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8A47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AA9BC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742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0.71, 4.92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F3E8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AD4437" w:rsidRPr="00FB1A7A" w14:paraId="139EF360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5634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EB5E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4EBE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0.78, 5.65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A00D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AD4437" w:rsidRPr="00FB1A7A" w14:paraId="1A4EA838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B775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E8A7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3D29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1.65, 14.7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314B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0.005</w:t>
            </w:r>
          </w:p>
        </w:tc>
      </w:tr>
      <w:tr w:rsidR="00AD4437" w:rsidRPr="00FB1A7A" w14:paraId="20063154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982A0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07B6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9D3E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2864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3952EDF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F2DB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8D8C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0752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C0C0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3407429F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F6C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015D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A31DF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0.60, 1.73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086F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AD4437" w:rsidRPr="00FB1A7A" w14:paraId="2D06DF9B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395C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56F6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F64C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0.37, 0.97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B415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0.037</w:t>
            </w:r>
          </w:p>
        </w:tc>
      </w:tr>
      <w:tr w:rsidR="00AD4437" w:rsidRPr="00FB1A7A" w14:paraId="2BC6EB9E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D02D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2E18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2AF6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0584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5BB2A10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9C7B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0987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6024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1E06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32FE6347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95C5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835B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2A67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0.65, 2.67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836E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</w:t>
            </w:r>
          </w:p>
        </w:tc>
      </w:tr>
      <w:tr w:rsidR="00AD4437" w:rsidRPr="00FB1A7A" w14:paraId="4BD7068A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3793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BD94A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BF56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1.03, 11.8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22F2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0.047</w:t>
            </w:r>
          </w:p>
        </w:tc>
      </w:tr>
      <w:tr w:rsidR="00AD4437" w:rsidRPr="00FB1A7A" w14:paraId="035662B6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2B82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F4AD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E70D6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0.77, 1.52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AB09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AD4437" w:rsidRPr="00FB1A7A" w14:paraId="7F0147DA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5944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5DEB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9E603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DEAF8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8481094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E66A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553F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2D3D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6BAC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E61F542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0BEA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EF20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8871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0.74, 2.60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215F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AD4437" w:rsidRPr="00FB1A7A" w14:paraId="588B55F8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AABD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FEA5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D05A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0.48, 1.32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DFA6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AD4437" w:rsidRPr="00FB1A7A" w14:paraId="602B8472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DF92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C939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66E0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0.29, 3.10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7030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AD4437" w:rsidRPr="00FB1A7A" w14:paraId="5BC4E9EC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4FB0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E3D4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2174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0.05, 47.0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2CFA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5BCB6F48" w14:textId="77777777" w:rsidTr="00781B1D">
        <w:trPr>
          <w:trHeight w:val="270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4EDBA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46A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84C9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0.50, 2.79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99FA00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FB1A7A" w:rsidRPr="00FB1A7A" w14:paraId="0A2400C0" w14:textId="77777777" w:rsidTr="000854D7">
        <w:trPr>
          <w:trHeight w:val="27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</w:tcPr>
          <w:p w14:paraId="74CF6F9A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2678FA38" w14:textId="54F9547D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69499DCA" w14:textId="77777777" w:rsidTr="00FB1A7A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D8764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FBF4D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ABAC0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B200F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6A60EBD9" w14:textId="77777777" w:rsidTr="00FB1A7A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72D04" w14:textId="7C2B2ED3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DC1B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AFA1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99B0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344C7DD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AD4437" w:rsidRPr="00FB1A7A" w14:paraId="3B91B60D" w14:textId="77777777" w:rsidTr="00781B1D">
        <w:trPr>
          <w:trHeight w:val="649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2F9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6-Month Mortality Rates for Rib Fracture Patients with Readmission vs. Non-Readmission (NRD 2017 Data)</w:t>
            </w:r>
          </w:p>
        </w:tc>
      </w:tr>
      <w:tr w:rsidR="00AD4437" w:rsidRPr="00FB1A7A" w14:paraId="376FAE0F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6001EB8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44B5C64E" w14:textId="0182EAD4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C856885" w14:textId="01639CC9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7507630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AD4437" w:rsidRPr="00FB1A7A" w14:paraId="14AF9F1E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5421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5B25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6A33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0746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E866B3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7FEB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74856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DC99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B2FD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7D7DBD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B4A2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9D1E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12.4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75DA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8.57, 18.2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14A9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4539D5C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9EED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DAF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2C35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02F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3A2B62E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C1C2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0AF4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0151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0.97, 1.00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63AD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0.015</w:t>
            </w:r>
          </w:p>
        </w:tc>
      </w:tr>
      <w:tr w:rsidR="00AD4437" w:rsidRPr="00FB1A7A" w14:paraId="7E19C2B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F19B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AE98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DF50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CDEB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7BDD007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EC57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A0C8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F1D3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F903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6060FB0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70D8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EAE1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A5F9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1.17, 7.75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2ABA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0.029</w:t>
            </w:r>
          </w:p>
        </w:tc>
      </w:tr>
      <w:tr w:rsidR="00AD4437" w:rsidRPr="00FB1A7A" w14:paraId="2736554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B9DC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FB6E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881D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6.02, 44.5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9678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3311A6C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2627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7D7E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38C7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27.9, 236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19F1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5166760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7DD3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E2DF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561C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4BFF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A8357C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A9C9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659F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573E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B45D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7141BD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AF46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F43C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A8D96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1.17, 13.2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A0F2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0.039</w:t>
            </w:r>
          </w:p>
        </w:tc>
      </w:tr>
      <w:tr w:rsidR="00AD4437" w:rsidRPr="00FB1A7A" w14:paraId="6ECFCD4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DDF2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79EC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34BE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0.82, 9.94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3B04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0.13</w:t>
            </w:r>
          </w:p>
        </w:tc>
      </w:tr>
      <w:tr w:rsidR="00AD4437" w:rsidRPr="00FB1A7A" w14:paraId="6F0B441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2B29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A6C0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F173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2.96, 41.5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A8E8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6386E81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0C94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774C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8B08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996B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9F2CEE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32B8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A8E9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5D4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00A2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3653299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7CE4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2592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23C2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0.53, 1.43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B7E9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AD4437" w:rsidRPr="00FB1A7A" w14:paraId="3BDF074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6F401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9F7E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88BC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0.43, 1.05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6F48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0.084</w:t>
            </w:r>
          </w:p>
        </w:tc>
      </w:tr>
      <w:tr w:rsidR="00AD4437" w:rsidRPr="00FB1A7A" w14:paraId="4E6DF7B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7FA4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93F7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3E78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9634A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78DB120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5825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659C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E67F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7CF5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2893BF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072E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4332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C0E7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0.59, 2.67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442F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AD4437" w:rsidRPr="00FB1A7A" w14:paraId="32D6EA7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CD7A5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A799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7CC4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1.36, 14.2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5B17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0.015</w:t>
            </w:r>
          </w:p>
        </w:tc>
      </w:tr>
      <w:tr w:rsidR="00AD4437" w:rsidRPr="00FB1A7A" w14:paraId="4E2993D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EB4B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6F11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C1D3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0.72, 1.40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A2F6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AD4437" w:rsidRPr="00FB1A7A" w14:paraId="68AE826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1A01B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FA19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A60F5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76A8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385A42C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E711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D4F22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B36A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CBF7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A2C32B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07A2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AE3F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749D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0.53, 1.73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8031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</w:t>
            </w:r>
          </w:p>
        </w:tc>
      </w:tr>
      <w:tr w:rsidR="00AD4437" w:rsidRPr="00FB1A7A" w14:paraId="64DB753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3A09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51E4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70D3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0.57, 1.55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43C4A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0D46C64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C63D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F3D6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3230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0.50, 4.50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4C85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AD4437" w:rsidRPr="00FB1A7A" w14:paraId="0DAEC2E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0E09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3E78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6F42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0.01, 24.3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12D2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5932FA43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77200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914BB2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5BD43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0.72, 3.86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CE99CD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FB1A7A" w:rsidRPr="00FB1A7A" w14:paraId="09E053DE" w14:textId="77777777" w:rsidTr="002C2E9D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3770B629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13B7B67B" w14:textId="7A091862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AD4437" w:rsidRPr="00FB1A7A" w14:paraId="1702338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348D" w14:textId="77777777" w:rsidR="00AD4437" w:rsidRPr="00FB1A7A" w:rsidRDefault="00AD4437" w:rsidP="00781B1D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FB50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E9BA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7138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D4437" w:rsidRPr="00FB1A7A" w14:paraId="04697D1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C49D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9253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6B72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C078" w14:textId="77777777" w:rsidR="00AD4437" w:rsidRPr="00FB1A7A" w:rsidRDefault="00AD4437" w:rsidP="00781B1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DF05F07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AD4437" w:rsidRPr="00FB1A7A" w14:paraId="17970CDF" w14:textId="77777777" w:rsidTr="00781B1D">
        <w:trPr>
          <w:trHeight w:val="525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A658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6-Month Mortality Rates for Rib Fracture Patients with Readmission vs. Non-Readmission (NRD 2018 Data)</w:t>
            </w:r>
          </w:p>
        </w:tc>
      </w:tr>
      <w:tr w:rsidR="00AD4437" w:rsidRPr="00FB1A7A" w14:paraId="412EAAF0" w14:textId="77777777" w:rsidTr="00781B1D">
        <w:trPr>
          <w:trHeight w:val="308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8D58C6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5377E02C" w14:textId="76F8EA64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38DFDDE3" w14:textId="5D1C9939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7F50288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AD4437" w:rsidRPr="00FB1A7A" w14:paraId="0CA9F013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09D8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7B31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F110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E6F2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299838B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BCD6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3298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DF74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4AF6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173E4E2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83AC6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3782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528D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5.40, 10.3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B99B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6185A0A2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073D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7D7D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1294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A5E0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35BD9045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0573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FD10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385F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0.97, 0.99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8614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0.006</w:t>
            </w:r>
          </w:p>
        </w:tc>
      </w:tr>
      <w:tr w:rsidR="00AD4437" w:rsidRPr="00FB1A7A" w14:paraId="50244E12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547FB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4180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A6CC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BFCF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53AFE81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D3E72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86CA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C610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37C7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5DB9478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27ED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7FD9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8E97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0.92, 3.76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06E7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0.093</w:t>
            </w:r>
          </w:p>
        </w:tc>
      </w:tr>
      <w:tr w:rsidR="00AD4437" w:rsidRPr="00FB1A7A" w14:paraId="33A9B4EC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B8F0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A7AF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1C794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5.06, 24.9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6467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582ECEB7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E80F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6B5F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B0631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25.2, 151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6E57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4EE6E6A1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BD285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032C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6881C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6F9B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752C6794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A7FB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23F0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A096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77E1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F29BB89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EA05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8E72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928B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0.33, 1.41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D163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AD4437" w:rsidRPr="00FB1A7A" w14:paraId="39FD20E5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C26F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F0A4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9082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0.20, 1.03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A7DE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0.055</w:t>
            </w:r>
          </w:p>
        </w:tc>
      </w:tr>
      <w:tr w:rsidR="00AD4437" w:rsidRPr="00FB1A7A" w14:paraId="5D523885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3D57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0519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75CF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0.46, 2.83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5FEF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63953DAA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4F1F6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4B18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A315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4FA5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359BA2D3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B7D0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90A7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3D15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313C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3B2857A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23C2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8AE3F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9146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0.51, 1.32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FEBB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AD4437" w:rsidRPr="00FB1A7A" w14:paraId="191E26AF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7636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E18B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7600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0.47, 1.12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BB8D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AD4437" w:rsidRPr="00FB1A7A" w14:paraId="46472BDC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ECB9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5F6D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2A6CE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47A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3F9D630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A6E5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8CA1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0E9CB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E0A3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E23F665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AC7D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1DCE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B524B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0.47, 1.68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DAE4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AD4437" w:rsidRPr="00FB1A7A" w14:paraId="025B17A0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04C4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BBDA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57726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1.70, 12.6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DB9B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0.003</w:t>
            </w:r>
          </w:p>
        </w:tc>
      </w:tr>
      <w:tr w:rsidR="00AD4437" w:rsidRPr="00FB1A7A" w14:paraId="51228330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5FCA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BC22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5522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0.63, 1.14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E5EA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AD4437" w:rsidRPr="00FB1A7A" w14:paraId="7DB257AC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FA3B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7ED0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C3D8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1D2D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C043695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A4BF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0D42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91BA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6332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BAFD702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AEB17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A288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525D4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0.94, 3.51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20FA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0.078</w:t>
            </w:r>
          </w:p>
        </w:tc>
      </w:tr>
      <w:tr w:rsidR="00AD4437" w:rsidRPr="00FB1A7A" w14:paraId="29686929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830E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A060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740F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0.77, 1.84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F53E6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AD4437" w:rsidRPr="00FB1A7A" w14:paraId="74041EEF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71F0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D9D1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1586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0.25, 2.23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8118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AD4437" w:rsidRPr="00FB1A7A" w14:paraId="286B65BA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3A2F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EFBF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4718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0.05, 22.0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4BA4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1D0AB17C" w14:textId="77777777" w:rsidTr="00781B1D">
        <w:trPr>
          <w:trHeight w:val="308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B2A56EE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255B17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8512B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1.04, 5.03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2CE2E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0.038</w:t>
            </w:r>
          </w:p>
        </w:tc>
      </w:tr>
      <w:tr w:rsidR="00FB1A7A" w:rsidRPr="00FB1A7A" w14:paraId="5CE69457" w14:textId="77777777" w:rsidTr="00FC39F1">
        <w:trPr>
          <w:trHeight w:val="308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0ACD6DBB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3E47A08A" w14:textId="05F750FD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0DD5D90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5AF04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E506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F657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354E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04FA735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1718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D1FB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50FE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9ECB3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7284C4B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AD4437" w:rsidRPr="00FB1A7A" w14:paraId="23FAFE37" w14:textId="77777777" w:rsidTr="00781B1D">
        <w:trPr>
          <w:trHeight w:val="623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91B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6-Month Mortality Rates for Rib Fracture Patients with Readmission vs. Non-Readmission (NRD 2019 Data)</w:t>
            </w:r>
          </w:p>
        </w:tc>
      </w:tr>
      <w:tr w:rsidR="00AD4437" w:rsidRPr="00FB1A7A" w14:paraId="24B06305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6EF755C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21A38EA0" w14:textId="05445175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AA356A3" w14:textId="7235844D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73F5BC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AD4437" w:rsidRPr="00FB1A7A" w14:paraId="5BBED181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3711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A7252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904C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A698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110729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838E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CA7A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7828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C8953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646E5A0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7B82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0B91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87AC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7.40, 14.0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BB1B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345FF59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0AB7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3FB84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E060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1.02, 1.04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9892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052E06D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5C5EF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418C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7451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0.94, 0.97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3339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2EB83C0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90C5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A71B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86D3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2AF9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FB1CA2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3CD8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FBC7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FDB23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BB0F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0D082C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517C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D1BE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56AF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1.03, 3.49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5D9C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0.044</w:t>
            </w:r>
          </w:p>
        </w:tc>
      </w:tr>
      <w:tr w:rsidR="00AD4437" w:rsidRPr="00FB1A7A" w14:paraId="453382B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6042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B242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7413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4.68, 16.8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CB7C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51B3872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9B6F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DD6F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C670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22.4, 96.4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9FC5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529B4F1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54B74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09513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DFDE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26CF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E2C745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52B6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DC07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C7C3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69A5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96CB31B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915C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59F7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03F4E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0.34, 1.17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6CC6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0.14</w:t>
            </w:r>
          </w:p>
        </w:tc>
      </w:tr>
      <w:tr w:rsidR="00AD4437" w:rsidRPr="00FB1A7A" w14:paraId="2CFA96C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0004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78C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6489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0.58, 2.10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9AA00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4FE4565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6D61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EFD2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1A23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1.10, 4.88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A1AD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0.028</w:t>
            </w:r>
          </w:p>
        </w:tc>
      </w:tr>
      <w:tr w:rsidR="00AD4437" w:rsidRPr="00FB1A7A" w14:paraId="7E8AD84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01B5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5FF7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168C2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B09F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9D9467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7B31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E8C7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E940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1CD9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11BE83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2166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35ED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93E4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0.46, 1.06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73F8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</w:t>
            </w:r>
          </w:p>
        </w:tc>
      </w:tr>
      <w:tr w:rsidR="00AD4437" w:rsidRPr="00FB1A7A" w14:paraId="4EAA288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77FB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B2FC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4A3D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0.45, 0.96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EFC1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</w:t>
            </w:r>
          </w:p>
        </w:tc>
      </w:tr>
      <w:tr w:rsidR="00AD4437" w:rsidRPr="00FB1A7A" w14:paraId="1EBFAA2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E13D4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880C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1C7F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1D90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55344A4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F4E0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0E3F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665E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F38D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036147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1514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86E2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5D78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0.54, 1.85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B4E4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AD4437" w:rsidRPr="00FB1A7A" w14:paraId="2AA023A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CE97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421F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A8B88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1.09, 6.29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B25A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0.033</w:t>
            </w:r>
          </w:p>
        </w:tc>
      </w:tr>
      <w:tr w:rsidR="00AD4437" w:rsidRPr="00FB1A7A" w14:paraId="6386EF9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4890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A60D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2A70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0.61, 1.09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F4A0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AD4437" w:rsidRPr="00FB1A7A" w14:paraId="2235374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33F6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4962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C05AE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C7E4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6896A6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9624D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1011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46C4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BE41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25CC300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4699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3436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CE0A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0.92, 2.72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3C07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</w:t>
            </w:r>
          </w:p>
        </w:tc>
      </w:tr>
      <w:tr w:rsidR="00AD4437" w:rsidRPr="00FB1A7A" w14:paraId="0D19FCC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AAA33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0287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D311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0.63, 1.48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0898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</w:t>
            </w:r>
          </w:p>
        </w:tc>
      </w:tr>
      <w:tr w:rsidR="00AD4437" w:rsidRPr="00FB1A7A" w14:paraId="15AE360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24EB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334E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0402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0.15, 1.14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9FCA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0.093</w:t>
            </w:r>
          </w:p>
        </w:tc>
      </w:tr>
      <w:tr w:rsidR="00AD4437" w:rsidRPr="00FB1A7A" w14:paraId="2F7CC03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BC6E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EB026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926B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0.08, 12.8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DF95A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</w:t>
            </w:r>
          </w:p>
        </w:tc>
      </w:tr>
      <w:tr w:rsidR="00AD4437" w:rsidRPr="00FB1A7A" w14:paraId="55A02ED8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E7FA8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836F2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4CF28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1.09, 4.09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156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0.026</w:t>
            </w:r>
          </w:p>
        </w:tc>
      </w:tr>
      <w:tr w:rsidR="00FB1A7A" w:rsidRPr="00FB1A7A" w14:paraId="0353130D" w14:textId="77777777" w:rsidTr="00FB662C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18B431DC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7D320768" w14:textId="53E98882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0F97C58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8D5A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6EF2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FBB3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9EE4D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080486E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D548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08D2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15B7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D484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0B8E3B4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AD4437" w:rsidRPr="00FB1A7A" w14:paraId="7B4AFD06" w14:textId="77777777" w:rsidTr="00781B1D">
        <w:trPr>
          <w:trHeight w:val="630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42D4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6-Month Mortality Rates for Rib Fracture Patients with Readmission vs. Non-Readmission (NRD 2020 Data)</w:t>
            </w:r>
          </w:p>
        </w:tc>
      </w:tr>
      <w:tr w:rsidR="00AD4437" w:rsidRPr="00FB1A7A" w14:paraId="6B37CC96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6D9BA6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69D0D88F" w14:textId="76C4D65F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C10C94F" w14:textId="38A4F114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7B0789A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AD4437" w:rsidRPr="00FB1A7A" w14:paraId="0192586B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0944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6008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FEC0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DA07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1F0397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6AA28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CA9D9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CA61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C79F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716D5B0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8AB2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A976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EA5E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9.43, 17.4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063B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456A48E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4A4B0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D0E9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6199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1.04, 1.06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0820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4CBB148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A818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8152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11FD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0.97, 1.00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023D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0.022</w:t>
            </w:r>
          </w:p>
        </w:tc>
      </w:tr>
      <w:tr w:rsidR="00AD4437" w:rsidRPr="00FB1A7A" w14:paraId="59FE35B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EF51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D40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F39F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F39E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BF501DB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5F16D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C889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0785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6AFD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5CA750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5093A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FA14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BFFC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1.20, 4.73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F87D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0.015</w:t>
            </w:r>
          </w:p>
        </w:tc>
      </w:tr>
      <w:tr w:rsidR="00AD4437" w:rsidRPr="00FB1A7A" w14:paraId="1835767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F8838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BBBA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A99B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4.96, 20.0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79CC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6CF9098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DE7A0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BDAC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844B6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18.4, 84.9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E4D5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AD4437" w:rsidRPr="00FB1A7A" w14:paraId="6CE51CE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F1F2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A6A3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A8EE8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9581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6CF47CB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3C79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D439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6361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517F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74A0FD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1AEE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0C5B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CDA1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0.27, 1.12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66B9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0.09</w:t>
            </w:r>
          </w:p>
        </w:tc>
      </w:tr>
      <w:tr w:rsidR="00AD4437" w:rsidRPr="00FB1A7A" w14:paraId="34746EE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D92D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78B7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D243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0.43, 1.87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3850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AD4437" w:rsidRPr="00FB1A7A" w14:paraId="02E49EF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0A29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B281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CF58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1.05, 5.18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3544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0.041</w:t>
            </w:r>
          </w:p>
        </w:tc>
      </w:tr>
      <w:tr w:rsidR="00AD4437" w:rsidRPr="00FB1A7A" w14:paraId="3F0838A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2BFD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6AD1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A4FB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1514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BF1369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173E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7F84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7B83D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DD21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40973CA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F2DB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C97A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277D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0.41, 0.89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C90A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0.012</w:t>
            </w:r>
          </w:p>
        </w:tc>
      </w:tr>
      <w:tr w:rsidR="00AD4437" w:rsidRPr="00FB1A7A" w14:paraId="0EEDFDCB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FA50C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B7BE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E004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0.52, 1.05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D5AB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0.09</w:t>
            </w:r>
          </w:p>
        </w:tc>
      </w:tr>
      <w:tr w:rsidR="00AD4437" w:rsidRPr="00FB1A7A" w14:paraId="30EC251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E0A0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3414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C040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2719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98EC5D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7B38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F298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38A74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7734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093F09B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76D91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3259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5405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1.01, 3.03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1E51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0.047</w:t>
            </w:r>
          </w:p>
        </w:tc>
      </w:tr>
      <w:tr w:rsidR="00AD4437" w:rsidRPr="00FB1A7A" w14:paraId="5F1E9DD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3665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A542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A29C5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0.63, 3.09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010B6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AD4437" w:rsidRPr="00FB1A7A" w14:paraId="28E000F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B43BD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2675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2C7C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0.90, 1.54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7C57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AD4437" w:rsidRPr="00FB1A7A" w14:paraId="398836D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90B75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5D79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BF5DF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45330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8FE960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CF794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2ACF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1CB5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33D2D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AD4437" w:rsidRPr="00FB1A7A" w14:paraId="1DE6CE1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CE6A99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DC6A89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F00CD1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0.66, 1.78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8A24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AD4437" w:rsidRPr="00FB1A7A" w14:paraId="05A020F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D470F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BEA34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F4D25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0.55, 1.25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61A6A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AD4437" w:rsidRPr="00FB1A7A" w14:paraId="0B3A44E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C5527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B9B5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29732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0.39, 2.20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F1D0C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</w:t>
            </w:r>
          </w:p>
        </w:tc>
      </w:tr>
      <w:tr w:rsidR="00AD4437" w:rsidRPr="00FB1A7A" w14:paraId="0864E61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323B2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D3736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BDA6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0.09, 15.1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65557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AD4437" w:rsidRPr="00FB1A7A" w14:paraId="15C0E38A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DBC105" w14:textId="77777777" w:rsidR="00AD4437" w:rsidRPr="00FB1A7A" w:rsidRDefault="00AD4437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88AD4B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46CCCDE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0.25, 1.17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FC4A73" w14:textId="77777777" w:rsidR="00AD4437" w:rsidRPr="00FB1A7A" w:rsidRDefault="00AD4437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0.13</w:t>
            </w:r>
          </w:p>
        </w:tc>
      </w:tr>
      <w:tr w:rsidR="00FB1A7A" w:rsidRPr="00FB1A7A" w14:paraId="4451C33B" w14:textId="77777777" w:rsidTr="00085638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2AD9ED4D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23E5DCBB" w14:textId="05717B51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</w:tbl>
    <w:p w14:paraId="0FBB8B59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</w:p>
    <w:p w14:paraId="28DD91CD" w14:textId="77777777" w:rsidR="00AD4437" w:rsidRPr="00FB1A7A" w:rsidRDefault="00AD4437" w:rsidP="00AD4437">
      <w:pPr>
        <w:rPr>
          <w:rFonts w:ascii="Arial" w:hAnsi="Arial" w:cs="Arial"/>
          <w:sz w:val="20"/>
          <w:szCs w:val="20"/>
        </w:rPr>
      </w:pPr>
    </w:p>
    <w:p w14:paraId="5B339AE2" w14:textId="75E6F75C" w:rsidR="00070515" w:rsidRPr="00FB1A7A" w:rsidRDefault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p w14:paraId="49696DE9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lastRenderedPageBreak/>
        <w:t>Supplemental Appendix C: Adjusted 60-Day Mortality Rates for Rib Fracture Patients with Readmission vs. Non-Readmission (2016-2020)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070515" w:rsidRPr="00FB1A7A" w14:paraId="7E29C63C" w14:textId="77777777" w:rsidTr="00781B1D">
        <w:trPr>
          <w:trHeight w:val="578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A6D4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  <w:p w14:paraId="612FB46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Adjusted 60-Day Mortality Rates for Rib Fracture Patients with Readmission vs. Non-Readmission (NRD 2016 Data)</w:t>
            </w:r>
          </w:p>
        </w:tc>
      </w:tr>
      <w:tr w:rsidR="00070515" w:rsidRPr="00FB1A7A" w14:paraId="1714E643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23A6E9A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555F71AE" w14:textId="5F6974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49990643" w14:textId="56C9C6BD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E92215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070515" w:rsidRPr="00FB1A7A" w14:paraId="7F24ADCE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256E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CCF7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F98C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55CC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E05783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CB98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D6A6C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9946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F51E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97090C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09F0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0D3D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B96D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16.9, 39.5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71F8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5816BEB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FC26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15FD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46184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DB0D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3DE1EA5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E4CD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5B07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F841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0.89, 0.95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B75C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418B7B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9164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789F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5889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63FC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4CD19D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4CB0D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8D4E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CE05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6259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3735DF2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58DA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8D24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7E2F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1.63, 18.6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BB945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0.009</w:t>
            </w:r>
          </w:p>
        </w:tc>
      </w:tr>
      <w:tr w:rsidR="00070515" w:rsidRPr="00FB1A7A" w14:paraId="644407A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BF0BC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3951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17.6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BEF0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5.49, 70.7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3E68B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0D102C6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E65CF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984F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FB12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19.1, 300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C1DC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24C794B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84004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A5DC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BB26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B79B2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366B40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A1D64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A61D7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41BA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5472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DFB34C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6224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CCEB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1FCD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1.08, 19.9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CD7A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0.059</w:t>
            </w:r>
          </w:p>
        </w:tc>
      </w:tr>
      <w:tr w:rsidR="00070515" w:rsidRPr="00FB1A7A" w14:paraId="2188CFF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4BF2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768C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C950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1.08, 20.8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F1B5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0.056</w:t>
            </w:r>
          </w:p>
        </w:tc>
      </w:tr>
      <w:tr w:rsidR="00070515" w:rsidRPr="00FB1A7A" w14:paraId="74D3D9A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F1E2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3CB4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B37B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4.92, 121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85532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760681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2D23B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58228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1BA6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9236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9EEE68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6C26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CC72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105E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D180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CD8315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DE4A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9322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D511E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0.44, 1.70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D873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070515" w:rsidRPr="00FB1A7A" w14:paraId="1887622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924C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4C83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21C0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0.46, 1.58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B2DC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070515" w:rsidRPr="00FB1A7A" w14:paraId="79573BF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DB44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B066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07C3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B61E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0289F1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498B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2CB6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1964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AF825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0AB13C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B505B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66C3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2DD9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0.59, 3.05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CA32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</w:t>
            </w:r>
          </w:p>
        </w:tc>
      </w:tr>
      <w:tr w:rsidR="00070515" w:rsidRPr="00FB1A7A" w14:paraId="0C20543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1F37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5C49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4B79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1.61, 49.3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30B2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</w:t>
            </w:r>
          </w:p>
        </w:tc>
      </w:tr>
      <w:tr w:rsidR="00070515" w:rsidRPr="00FB1A7A" w14:paraId="2411861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B11B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3E75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D9A4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0.58, 1.36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3F10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070515" w:rsidRPr="00FB1A7A" w14:paraId="74B30A0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1C1D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6831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FDA5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8961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E4929F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4C3A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2A32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8EB1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F19A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333B42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C997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839C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E69E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0.90, 5.10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29DF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0.086</w:t>
            </w:r>
          </w:p>
        </w:tc>
      </w:tr>
      <w:tr w:rsidR="00070515" w:rsidRPr="00FB1A7A" w14:paraId="6627C97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3DDD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2637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9F78D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0.46, 1.81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BC66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070515" w:rsidRPr="00FB1A7A" w14:paraId="5DB70A2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7D47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F6A1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6EF4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0.38, 4.47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5F2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070515" w:rsidRPr="00FB1A7A" w14:paraId="7C7C46F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E6AB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1C14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1B5B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4E1E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50A37296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6BC6ED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F41B2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0C3394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0.56, 4.34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785D6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FB1A7A" w:rsidRPr="00FB1A7A" w14:paraId="3D3C27B1" w14:textId="77777777" w:rsidTr="002967C9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6CE62BB1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296FB33E" w14:textId="55272534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788B97B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86CB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FD40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627C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E78B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470CE82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23C4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CE2D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6220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2DEE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53371E4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070515" w:rsidRPr="00FB1A7A" w14:paraId="27022382" w14:textId="77777777" w:rsidTr="00781B1D">
        <w:trPr>
          <w:trHeight w:val="555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5217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60-Day Mortality Rates for Rib Fracture Patients with Readmission vs. Non-Readmission (NRD 2017 Data)</w:t>
            </w:r>
          </w:p>
        </w:tc>
      </w:tr>
      <w:tr w:rsidR="00070515" w:rsidRPr="00FB1A7A" w14:paraId="073E128A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818F21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00B46BA" w14:textId="19094CB8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BA50B2A" w14:textId="2F5B94DF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25AA099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070515" w:rsidRPr="00FB1A7A" w14:paraId="6D9CFBCA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59EC3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7904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805A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CF70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3489E51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45C2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05A6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8DC2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2FA5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259CD4B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5AFB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3DB7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692E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19.7, 44.8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FB19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74A5068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9F2D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5BA9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4B55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1.04, 1.07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E573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01A8620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7C38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1405B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B9C2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0.91, 0.96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1CB1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68EF3D1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C4B2E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123E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A8F1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17DA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2F4031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7CD7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1F87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6BE5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40A48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2BF950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6761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E600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69B1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1.09, 7.11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7FA0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0.039</w:t>
            </w:r>
          </w:p>
        </w:tc>
      </w:tr>
      <w:tr w:rsidR="00070515" w:rsidRPr="00FB1A7A" w14:paraId="1CFACF1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4965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76F6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21.9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A9CC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8.38, 62.9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E4AD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14B6C4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6D25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1FFD3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1135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48.1, 464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103C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578F735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47D2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16FC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AB4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2B134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316A50A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47D32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D3CA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C2A8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7894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1BB2B3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49A7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7915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0827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0.59, 8.09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9D55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070515" w:rsidRPr="00FB1A7A" w14:paraId="7E29F4F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60CD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7537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B133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0.31, 4.62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0DA2C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67E32CE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A8B28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5C16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A716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0.56, 10.2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C569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070515" w:rsidRPr="00FB1A7A" w14:paraId="686F05A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EADC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C870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5D19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58B5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C5DF99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9E14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3CD9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3C6B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A593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B15009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B2F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07405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B18B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0.55, 1.78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F6A7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21D84D4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5AAFB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D232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A129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0.40, 1.16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8F8A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070515" w:rsidRPr="00FB1A7A" w14:paraId="16648CD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872A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2774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6FB7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A142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40B276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BD81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CD45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B41C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8763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272EB92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30F4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D07F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7FA1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0.46, 2.13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1BF9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14FA980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2C03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5327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3E887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1.54, 27.8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068A7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</w:t>
            </w:r>
          </w:p>
        </w:tc>
      </w:tr>
      <w:tr w:rsidR="00070515" w:rsidRPr="00FB1A7A" w14:paraId="6F57EDD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A7F3A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A373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4F6A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0.75, 1.64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7049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070515" w:rsidRPr="00FB1A7A" w14:paraId="5AF2238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D55C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FD3E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162B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4F4D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CC0C46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9C97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372E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C3ED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2C08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3F182D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B503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18C5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3076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0.82, 3.74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6FF40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070515" w:rsidRPr="00FB1A7A" w14:paraId="25DCA42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4505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AC6D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BDB0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0.70, 2.14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EBE6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</w:t>
            </w:r>
          </w:p>
        </w:tc>
      </w:tr>
      <w:tr w:rsidR="00070515" w:rsidRPr="00FB1A7A" w14:paraId="689ECCC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935C4B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86C1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73C5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0.30, 5.35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3BAB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070515" w:rsidRPr="00FB1A7A" w14:paraId="2B7E315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2E76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33C1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545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0.01, 18.3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8A58D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070515" w:rsidRPr="00FB1A7A" w14:paraId="06EC4F87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37307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33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B15C32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1.01, 6.28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CEBA38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0.047</w:t>
            </w:r>
          </w:p>
        </w:tc>
      </w:tr>
      <w:tr w:rsidR="00FB1A7A" w:rsidRPr="00FB1A7A" w14:paraId="3067DB91" w14:textId="77777777" w:rsidTr="004E1B71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38E86E85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32B3A258" w14:textId="47E4C799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4297200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1C19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BD6E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F056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091A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00BB3BF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C657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DABD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440C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73D3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9F87C86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070515" w:rsidRPr="00FB1A7A" w14:paraId="45473B08" w14:textId="77777777" w:rsidTr="00781B1D">
        <w:trPr>
          <w:trHeight w:val="615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DFBF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60-Day Mortality Rates for Rib Fracture Patients with Readmission vs. Non-Readmission (NRD 2018 Data)</w:t>
            </w:r>
          </w:p>
        </w:tc>
      </w:tr>
      <w:tr w:rsidR="00070515" w:rsidRPr="00FB1A7A" w14:paraId="29C15BFE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58B0886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76DEA35" w14:textId="67EF7252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EBEA05D" w14:textId="229CBD62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21AD09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070515" w:rsidRPr="00FB1A7A" w14:paraId="75E2D8EE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2F40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827F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36D3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2333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AC849B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9258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0E09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4DE1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80A8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E56204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0AA5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4135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7BA5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15.1, 31.7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356AF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76C6C0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1692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C1F3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73CC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475E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7BDDCF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77F54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85A0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2F78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0.92, 0.96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8F550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020C7C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2A70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E935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6EA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ECDF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7B039C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D4D4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AB504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45ED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6E87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0D5BB1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645E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3FC3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7EBEC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0.66, 3.63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92C5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070515" w:rsidRPr="00FB1A7A" w14:paraId="4B2CBC9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6A2B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D260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831A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3.83, 26.0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54E6F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23E780A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C9FB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96F5C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0DBF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22.1, 193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4784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0229A2A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E80D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1CEF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C995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297E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8E3D8E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29E1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6B62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643E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7603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C2C42A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05007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FC8A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F2730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0.16, 0.89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3E02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0.026</w:t>
            </w:r>
          </w:p>
        </w:tc>
      </w:tr>
      <w:tr w:rsidR="00070515" w:rsidRPr="00FB1A7A" w14:paraId="7A09822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65A9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D01E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DFE1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0.18, 1.15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97AD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0.09</w:t>
            </w:r>
          </w:p>
        </w:tc>
      </w:tr>
      <w:tr w:rsidR="00070515" w:rsidRPr="00FB1A7A" w14:paraId="4FD8BDE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4326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E272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0000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0.29, 2.31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E84C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070515" w:rsidRPr="00FB1A7A" w14:paraId="1E32EE5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936A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3982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14CC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AB5F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94E464B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E48E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EF8A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6878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ACE0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7D61A5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B992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FCC0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223F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0.52, 1.70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BBB1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070515" w:rsidRPr="00FB1A7A" w14:paraId="0715339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CFDB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5DBF8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96F7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0.38, 1.10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86F94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0.11</w:t>
            </w:r>
          </w:p>
        </w:tc>
      </w:tr>
      <w:tr w:rsidR="00070515" w:rsidRPr="00FB1A7A" w14:paraId="6C5A198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80C4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CE2E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8A3B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4C0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1F74FD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93503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898D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CEBB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BA35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3F1FD47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E231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560E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47C0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0.89, 4.09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78AA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</w:t>
            </w:r>
          </w:p>
        </w:tc>
      </w:tr>
      <w:tr w:rsidR="00070515" w:rsidRPr="00FB1A7A" w14:paraId="388D0F3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65C8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8809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29B04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1.77, 29.3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CF0C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0.006</w:t>
            </w:r>
          </w:p>
        </w:tc>
      </w:tr>
      <w:tr w:rsidR="00070515" w:rsidRPr="00FB1A7A" w14:paraId="2AF0EB5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D17B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4329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A63DB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0.89, 1.85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9CA4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070515" w:rsidRPr="00FB1A7A" w14:paraId="59A95CE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2411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9498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5D4D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258E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07D074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CD7B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D49B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93074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B991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27C8FAE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C4B2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2B7E9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450E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0.75, 3.19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FA27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</w:t>
            </w:r>
          </w:p>
        </w:tc>
      </w:tr>
      <w:tr w:rsidR="00070515" w:rsidRPr="00FB1A7A" w14:paraId="49AF118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DA4C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6C5E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D3DCF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0.59, 1.72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05DE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68FD911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135B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5E7F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0198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0.21, 3.97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088D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4D7848D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B31C8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A61B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2F72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0.13, 49.8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F846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070515" w:rsidRPr="00FB1A7A" w14:paraId="67F77407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A8EC7D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94EF8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6B6BE6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1.33, 8.43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BB348A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</w:t>
            </w:r>
          </w:p>
        </w:tc>
      </w:tr>
      <w:tr w:rsidR="00FB1A7A" w:rsidRPr="00FB1A7A" w14:paraId="5FC3C60B" w14:textId="77777777" w:rsidTr="00545226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0D4C50AE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1B2B1B51" w14:textId="43BFCEF8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4D3F228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1891B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CD58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5840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5A53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4A50F46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8E8D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68F9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09AD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F6EF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EBE165A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070515" w:rsidRPr="00FB1A7A" w14:paraId="3A28A02D" w14:textId="77777777" w:rsidTr="00781B1D">
        <w:trPr>
          <w:trHeight w:val="668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C2DD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60-Day Mortality Rates for Rib Fracture Patients with Readmission vs. Non-Readmission (NRD 2019 Data)</w:t>
            </w:r>
          </w:p>
        </w:tc>
      </w:tr>
      <w:tr w:rsidR="00070515" w:rsidRPr="00FB1A7A" w14:paraId="7EB1F8A9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4395A20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5E750163" w14:textId="3F3C43F9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49C32AED" w14:textId="1074855A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5F52988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070515" w:rsidRPr="00FB1A7A" w14:paraId="6219F7CC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D5D2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AD75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4E7D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6F3A3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A365A3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2B7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3823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65A1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BA28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F00F7B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0265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C4F3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35.8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8E3C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24.6, 53.1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806F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29C11B1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D1A1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E418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42D1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1.03, 1.07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361F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3EECF91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81DB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8B45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8B7D1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0.92, 0.97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AD57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0240DCB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D020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2DCF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3F28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D10F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FA33DD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F9A5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1CBB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1D5F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B644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3E9C1C1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7CAD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DE90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62B27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1.13, 4.69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4C31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0.024</w:t>
            </w:r>
          </w:p>
        </w:tc>
      </w:tr>
      <w:tr w:rsidR="00070515" w:rsidRPr="00FB1A7A" w14:paraId="662AA5C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FACE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8D30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403A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4.24, 21.4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D67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35F57BC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6B9D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3E17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E72B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34.3, 225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2DAE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5912285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A7EA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97BB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C44B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6135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7228752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32D3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A37A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5BCA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2912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C58E6B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2C15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009B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2570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0.31, 1.42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25A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070515" w:rsidRPr="00FB1A7A" w14:paraId="74960B8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97AF4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D1F5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18754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0.37, 1.99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57AD0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070515" w:rsidRPr="00FB1A7A" w14:paraId="1798441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460E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56BE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48964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0.49, 3.44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B98E6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070515" w:rsidRPr="00FB1A7A" w14:paraId="476EB9B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8A47B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AEE2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E53F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7D47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6661C1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85FB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C4D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5D57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AE66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BAEE42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5179C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BA6B3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FEA3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0.37, 1.09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9BDB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</w:t>
            </w:r>
          </w:p>
        </w:tc>
      </w:tr>
      <w:tr w:rsidR="00070515" w:rsidRPr="00FB1A7A" w14:paraId="6E40BF8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27BA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DF82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5C52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0.37, 0.96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8A8C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0.036</w:t>
            </w:r>
          </w:p>
        </w:tc>
      </w:tr>
      <w:tr w:rsidR="00070515" w:rsidRPr="00FB1A7A" w14:paraId="24B1C5C6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1607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E596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953C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B1024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A29377F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CFE3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07FA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E326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0D2F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7971464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2FC2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FFEB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AB1A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0.81, 5.06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F30D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0.13</w:t>
            </w:r>
          </w:p>
        </w:tc>
      </w:tr>
      <w:tr w:rsidR="00070515" w:rsidRPr="00FB1A7A" w14:paraId="53FB90E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2D98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7FFD1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C33A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2.06, 21.7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6ED5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0.002</w:t>
            </w:r>
          </w:p>
        </w:tc>
      </w:tr>
      <w:tr w:rsidR="00070515" w:rsidRPr="00FB1A7A" w14:paraId="39D82B9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38CA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85B4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A70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0.85, 1.76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DC70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070515" w:rsidRPr="00FB1A7A" w14:paraId="3A9979B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CD22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E66ED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71E0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889A6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263C93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EBF0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2C10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C371A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BB3F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064F1E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B561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91932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73C3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0.65, 2.71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E36B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</w:t>
            </w:r>
          </w:p>
        </w:tc>
      </w:tr>
      <w:tr w:rsidR="00070515" w:rsidRPr="00FB1A7A" w14:paraId="7CD9129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1F1D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73EF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C7414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0.67, 2.01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F24F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</w:t>
            </w:r>
          </w:p>
        </w:tc>
      </w:tr>
      <w:tr w:rsidR="00070515" w:rsidRPr="00FB1A7A" w14:paraId="2592A80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AAC09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B080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067C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0.23, 3.35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96E8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3AD6EEE9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4229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F570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AFB3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0.01, 23.7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44C1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</w:t>
            </w:r>
          </w:p>
        </w:tc>
      </w:tr>
      <w:tr w:rsidR="00070515" w:rsidRPr="00FB1A7A" w14:paraId="00BF3490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298261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FA9BE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3B81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1.18, 5.52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3F608D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0.017</w:t>
            </w:r>
          </w:p>
        </w:tc>
      </w:tr>
      <w:tr w:rsidR="00FB1A7A" w:rsidRPr="00FB1A7A" w14:paraId="193DDF87" w14:textId="77777777" w:rsidTr="00C73B4D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704C7DD6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42502F93" w14:textId="41847F9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  <w:tr w:rsidR="00FB1A7A" w:rsidRPr="00FB1A7A" w14:paraId="423679E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FF74" w14:textId="77777777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F4EF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94EF7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20EA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B1A7A" w:rsidRPr="00FB1A7A" w14:paraId="4608CB1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D5BB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4AF7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AC03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D777" w14:textId="77777777" w:rsidR="00FB1A7A" w:rsidRPr="00FB1A7A" w:rsidRDefault="00FB1A7A" w:rsidP="00FB1A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A652466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5580"/>
        <w:gridCol w:w="960"/>
        <w:gridCol w:w="960"/>
        <w:gridCol w:w="960"/>
      </w:tblGrid>
      <w:tr w:rsidR="00070515" w:rsidRPr="00FB1A7A" w14:paraId="2539A0CB" w14:textId="77777777" w:rsidTr="00781B1D">
        <w:trPr>
          <w:trHeight w:val="623"/>
        </w:trPr>
        <w:tc>
          <w:tcPr>
            <w:tcW w:w="84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2497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Adjusted 60-Day Mortality Rates for Rib Fracture Patients with Readmission vs. Non-Readmission (NRD 2020 Data)</w:t>
            </w:r>
          </w:p>
        </w:tc>
      </w:tr>
      <w:tr w:rsidR="00070515" w:rsidRPr="00FB1A7A" w14:paraId="34A949A7" w14:textId="77777777" w:rsidTr="00781B1D">
        <w:trPr>
          <w:trHeight w:val="675"/>
        </w:trPr>
        <w:tc>
          <w:tcPr>
            <w:tcW w:w="55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2EDA4CB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Characteristic</w:t>
            </w:r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07BDA81B" w14:textId="7C378C62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11E6B9F3" w14:textId="0ACBF69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95% </w:t>
            </w: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r w:rsidR="00FB1A7A"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9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bottom"/>
            <w:hideMark/>
          </w:tcPr>
          <w:p w14:paraId="5B78643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p-value</w:t>
            </w:r>
          </w:p>
        </w:tc>
      </w:tr>
      <w:tr w:rsidR="00070515" w:rsidRPr="00FB1A7A" w14:paraId="2DF7D115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7B63E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Readmitted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B5A09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F8A3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732E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6B24F2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CE95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FCEB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96FB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E716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7CBD7F4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4060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readmission in a month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8197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63C7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18.7, 36.9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B086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90DA09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995C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4917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CC903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1.04, 1.07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4701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2FFB901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6801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Length of stay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CFE3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B2957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0.92, 0.96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C191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37221B1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3FBF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Risk of Mortality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5968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DBA6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4BBB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1B21D07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649B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72E8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C0AF3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F61A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4D9A7C6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7DAD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A37A5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94EC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1.29, 6.85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FBC6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0.013</w:t>
            </w:r>
          </w:p>
        </w:tc>
      </w:tr>
      <w:tr w:rsidR="00070515" w:rsidRPr="00FB1A7A" w14:paraId="33B20DC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43B5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6297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27DE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3.63, 20.7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5949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4190EDC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6F8C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3160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0F0A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14.3, 101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0DC02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&lt;0.001</w:t>
            </w:r>
          </w:p>
        </w:tc>
      </w:tr>
      <w:tr w:rsidR="00070515" w:rsidRPr="00FB1A7A" w14:paraId="19D7558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E0CA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Severity of Illness Subclass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8906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9882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82E5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9665FD3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7BF8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Minor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B887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E2E3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EF12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3B9C3AF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708C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Moderate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7AB8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D3F7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0.36, 2.32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808F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070515" w:rsidRPr="00FB1A7A" w14:paraId="4518FE2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E72F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Major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D3CC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1906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0.49, 3.33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DD82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0.7</w:t>
            </w:r>
          </w:p>
        </w:tc>
      </w:tr>
      <w:tr w:rsidR="00070515" w:rsidRPr="00FB1A7A" w14:paraId="3C6ECB2C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AA5F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Extreme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DA40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9D23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1.42, 12.1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3757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0.011</w:t>
            </w:r>
          </w:p>
        </w:tc>
      </w:tr>
      <w:tr w:rsidR="00070515" w:rsidRPr="00FB1A7A" w14:paraId="6581BC2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5288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bed size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FCEA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C8BFA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E4CB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6B37AB8A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174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33E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13FF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0DAD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654FC58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CB3A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43A4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C62E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0.41, 1.10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AF8B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0.12</w:t>
            </w:r>
          </w:p>
        </w:tc>
      </w:tr>
      <w:tr w:rsidR="00070515" w:rsidRPr="00FB1A7A" w14:paraId="1EECB09B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190B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980A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9DED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0.39, 0.94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692D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0.026</w:t>
            </w:r>
          </w:p>
        </w:tc>
      </w:tr>
      <w:tr w:rsidR="00070515" w:rsidRPr="00FB1A7A" w14:paraId="59C07C50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FE40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Hospital characteristics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ACEF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269B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1D793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8B2F03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DE58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Large metropolitan areas with at least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B251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9B96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B193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0DB93C1D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5CE9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lastRenderedPageBreak/>
              <w:t>    Micropolitan areas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3263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DB7A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0.92, 3.48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BCAA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0.086</w:t>
            </w:r>
          </w:p>
        </w:tc>
      </w:tr>
      <w:tr w:rsidR="00070515" w:rsidRPr="00FB1A7A" w14:paraId="2B17BD0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3CBC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Not metropolitan or micropolitan (non-urban residual)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EE31D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AF20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1.53, 11.6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24BA9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0.006</w:t>
            </w:r>
          </w:p>
        </w:tc>
      </w:tr>
      <w:tr w:rsidR="00070515" w:rsidRPr="00FB1A7A" w14:paraId="75EE64A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A8A0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Small metropolitan areas with less than 1 million residents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4E375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EB82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1.05, 2.08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CD54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0.027</w:t>
            </w:r>
          </w:p>
        </w:tc>
      </w:tr>
      <w:tr w:rsidR="00070515" w:rsidRPr="00FB1A7A" w14:paraId="07622DB4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8111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Payer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38E3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3DA6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E760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D5026E1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0195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945B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399C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E3DA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</w:p>
        </w:tc>
      </w:tr>
      <w:tr w:rsidR="00070515" w:rsidRPr="00FB1A7A" w14:paraId="5C62ADAE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05F3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Medicaid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81231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BCAA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0.49, 1.74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9287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070515" w:rsidRPr="00FB1A7A" w14:paraId="354DE1B7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DD27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Private insurance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0DCE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84FE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0.57, 1.65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F438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&gt;0.9</w:t>
            </w:r>
          </w:p>
        </w:tc>
      </w:tr>
      <w:tr w:rsidR="00070515" w:rsidRPr="00FB1A7A" w14:paraId="0331DDC2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8FD4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Self-pay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85CF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2311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0.61, 5.10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2FBC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0.3</w:t>
            </w:r>
          </w:p>
        </w:tc>
      </w:tr>
      <w:tr w:rsidR="00070515" w:rsidRPr="00FB1A7A" w14:paraId="26F8EDA5" w14:textId="77777777" w:rsidTr="00781B1D">
        <w:trPr>
          <w:trHeight w:val="300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5148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No charge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02EB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E215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0.01, 21.2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2CDA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0.8</w:t>
            </w:r>
          </w:p>
        </w:tc>
      </w:tr>
      <w:tr w:rsidR="00070515" w:rsidRPr="00FB1A7A" w14:paraId="3BFB42AC" w14:textId="77777777" w:rsidTr="00781B1D">
        <w:trPr>
          <w:trHeight w:val="315"/>
        </w:trPr>
        <w:tc>
          <w:tcPr>
            <w:tcW w:w="5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C1993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   Other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C20081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3E2E87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0.41, 2.08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2FC169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0.9</w:t>
            </w:r>
          </w:p>
        </w:tc>
      </w:tr>
      <w:tr w:rsidR="00FB1A7A" w:rsidRPr="00FB1A7A" w14:paraId="08DF7F78" w14:textId="77777777" w:rsidTr="00BD28C8">
        <w:trPr>
          <w:trHeight w:val="330"/>
        </w:trPr>
        <w:tc>
          <w:tcPr>
            <w:tcW w:w="8460" w:type="dxa"/>
            <w:gridSpan w:val="4"/>
            <w:tcBorders>
              <w:top w:val="nil"/>
              <w:left w:val="nil"/>
              <w:bottom w:val="single" w:sz="8" w:space="0" w:color="A8A8A8"/>
              <w:right w:val="nil"/>
            </w:tcBorders>
            <w:shd w:val="clear" w:color="000000" w:fill="FFFFFF"/>
            <w:vAlign w:val="bottom"/>
            <w:hideMark/>
          </w:tcPr>
          <w:p w14:paraId="05091107" w14:textId="77777777" w:rsidR="00FB1A7A" w:rsidRPr="00FB1A7A" w:rsidRDefault="00FB1A7A" w:rsidP="00FB1A7A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a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OR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Odds Ratio</w:t>
            </w:r>
          </w:p>
          <w:p w14:paraId="31399395" w14:textId="47DEDB7C" w:rsidR="00FB1A7A" w:rsidRPr="00FB1A7A" w:rsidRDefault="00FB1A7A" w:rsidP="00FB1A7A">
            <w:pPr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</w:rPr>
            </w:pPr>
            <w:proofErr w:type="spellStart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  <w:vertAlign w:val="superscript"/>
              </w:rPr>
              <w:t>b</w:t>
            </w:r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CI</w:t>
            </w:r>
            <w:proofErr w:type="spellEnd"/>
            <w:r w:rsidRPr="00FB1A7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 = Confidence Interval</w:t>
            </w:r>
          </w:p>
        </w:tc>
      </w:tr>
    </w:tbl>
    <w:p w14:paraId="0129C4E3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</w:p>
    <w:p w14:paraId="3A72E4F9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br w:type="page"/>
      </w:r>
    </w:p>
    <w:tbl>
      <w:tblPr>
        <w:tblW w:w="9960" w:type="dxa"/>
        <w:tblLook w:val="04A0" w:firstRow="1" w:lastRow="0" w:firstColumn="1" w:lastColumn="0" w:noHBand="0" w:noVBand="1"/>
      </w:tblPr>
      <w:tblGrid>
        <w:gridCol w:w="2260"/>
        <w:gridCol w:w="2000"/>
        <w:gridCol w:w="3120"/>
        <w:gridCol w:w="1600"/>
        <w:gridCol w:w="980"/>
      </w:tblGrid>
      <w:tr w:rsidR="00070515" w:rsidRPr="00FB1A7A" w14:paraId="407B4DBB" w14:textId="77777777" w:rsidTr="00FB1A7A">
        <w:trPr>
          <w:trHeight w:val="297"/>
        </w:trPr>
        <w:tc>
          <w:tcPr>
            <w:tcW w:w="996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4C6FA4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Rib Fracture Patient 60-Day Mortality Rate between Different Readmission Groups (NRD 2020 Data)</w:t>
            </w:r>
          </w:p>
        </w:tc>
      </w:tr>
      <w:tr w:rsidR="00070515" w:rsidRPr="00FB1A7A" w14:paraId="12D4DB6D" w14:textId="77777777" w:rsidTr="00FB1A7A">
        <w:trPr>
          <w:trHeight w:val="297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61C8A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BF16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30-day readmission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8FFD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30-day readmission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BCBE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19120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p-value</w:t>
            </w:r>
          </w:p>
        </w:tc>
      </w:tr>
      <w:tr w:rsidR="00070515" w:rsidRPr="00FB1A7A" w14:paraId="1BC06EC2" w14:textId="77777777" w:rsidTr="00FB1A7A">
        <w:trPr>
          <w:trHeight w:val="297"/>
        </w:trPr>
        <w:tc>
          <w:tcPr>
            <w:tcW w:w="2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F2B26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B1D52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(N=12,110)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4C2A6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(N=92,226)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4032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(N=104,336)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F965BB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0515" w:rsidRPr="00FB1A7A" w14:paraId="0F534576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C85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29BF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6836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C38D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CBCC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41D982F8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C7C90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358B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927 (7.7%)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F58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263 (0.3%)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C54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1,190 (1.1%)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E5BE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070515" w:rsidRPr="00FB1A7A" w14:paraId="47B8955F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08235D7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E58597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11,183 (92.3%)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E6CF45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91,963 (99.7%)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4E6536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103,146 (98.9%)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3192BF8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45BC45A1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33E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0F5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6D92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7370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023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332FC4C4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08E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6B54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3953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0DC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6E7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6BE269C1" w14:textId="77777777" w:rsidTr="00FB1A7A">
        <w:trPr>
          <w:trHeight w:val="297"/>
        </w:trPr>
        <w:tc>
          <w:tcPr>
            <w:tcW w:w="996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A9C5E8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 Fracture Patient 60-Day Mortality Rate between Different Readmission Groups (NRD 2019 Data)</w:t>
            </w:r>
          </w:p>
        </w:tc>
      </w:tr>
      <w:tr w:rsidR="00070515" w:rsidRPr="00FB1A7A" w14:paraId="2BAB5099" w14:textId="77777777" w:rsidTr="00FB1A7A">
        <w:trPr>
          <w:trHeight w:val="297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000AB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82D8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30-day readmission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86BF7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30-day readmission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B23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FC508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p-value</w:t>
            </w:r>
          </w:p>
        </w:tc>
      </w:tr>
      <w:tr w:rsidR="00070515" w:rsidRPr="00FB1A7A" w14:paraId="130CAC26" w14:textId="77777777" w:rsidTr="00FB1A7A">
        <w:trPr>
          <w:trHeight w:val="297"/>
        </w:trPr>
        <w:tc>
          <w:tcPr>
            <w:tcW w:w="2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3FBE78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7AE6F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(N=12,173)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FBAF1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(N=93,046)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787D3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(N=105,219)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677BF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0515" w:rsidRPr="00FB1A7A" w14:paraId="53837637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4DE6E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61DB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FDE8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FA4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43A7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3F885492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B0268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353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808 (6.6%)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168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 (0.3%)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07A8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1,054 (1.0%)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A6E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070515" w:rsidRPr="00FB1A7A" w14:paraId="6A57EEC9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C213EA7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26D6FC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11,365 (93.4%)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B66CAF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92,800 (99.7%)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1842D4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104,165 (99%)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6C90F2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6FBAA564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932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010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36B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E80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82E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3B02184F" w14:textId="77777777" w:rsidTr="00FB1A7A">
        <w:trPr>
          <w:trHeight w:val="297"/>
        </w:trPr>
        <w:tc>
          <w:tcPr>
            <w:tcW w:w="996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667E67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 Fracture Patient 60-Day Mortality Rate between Different Readmission Groups (NRD 2018 Data)</w:t>
            </w:r>
          </w:p>
        </w:tc>
      </w:tr>
      <w:tr w:rsidR="00070515" w:rsidRPr="00FB1A7A" w14:paraId="4A16E2F2" w14:textId="77777777" w:rsidTr="00FB1A7A">
        <w:trPr>
          <w:trHeight w:val="297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6B72CD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0161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30-day readmission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C2E3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30-day readmission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7021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676E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p-value</w:t>
            </w:r>
          </w:p>
        </w:tc>
      </w:tr>
      <w:tr w:rsidR="00070515" w:rsidRPr="00FB1A7A" w14:paraId="6F097EE8" w14:textId="77777777" w:rsidTr="00FB1A7A">
        <w:trPr>
          <w:trHeight w:val="297"/>
        </w:trPr>
        <w:tc>
          <w:tcPr>
            <w:tcW w:w="2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0D32F5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68C10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(N=11,050)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C3578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(N=84,599)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02CD3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(N=95,649)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87565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0515" w:rsidRPr="00FB1A7A" w14:paraId="0818D70C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688F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20B6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B6E4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2F5D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BEC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29B849EF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E8E2C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10B4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699 (6.3%)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A356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222 (0.3%)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E7F8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921 (1.0%)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EA40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070515" w:rsidRPr="00FB1A7A" w14:paraId="76331FBF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DF92D0B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7B41CE7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10,351 (93.7%)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69A3D5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84,377 (99.7%)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62F811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94,728 (99%)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777B3A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7B6F2828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D0A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8B6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149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C01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FBC9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12C5EC53" w14:textId="77777777" w:rsidTr="00FB1A7A">
        <w:trPr>
          <w:trHeight w:val="297"/>
        </w:trPr>
        <w:tc>
          <w:tcPr>
            <w:tcW w:w="996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7264741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 Fracture Patient 60-Day Mortality Rate between Different Readmission Groups (NRD 2017 Data)</w:t>
            </w:r>
          </w:p>
        </w:tc>
      </w:tr>
      <w:tr w:rsidR="00070515" w:rsidRPr="00FB1A7A" w14:paraId="7813D030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7E386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06E7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30-day readmission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9819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30-day readmission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DAC4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7675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p-value</w:t>
            </w:r>
          </w:p>
        </w:tc>
      </w:tr>
      <w:tr w:rsidR="00070515" w:rsidRPr="00FB1A7A" w14:paraId="65D1647C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26B70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4754B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(N=10,739)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88CE0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(N=81,300)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5510E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(N=92,039)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763B6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50AE7A02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8DE3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280E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223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1BC0C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7D0B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402C1ADE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B78DD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8A3D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706 (6.6%)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1EB4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 (0.2%)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C1F3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908 (1.0%)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7718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070515" w:rsidRPr="00FB1A7A" w14:paraId="54553893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770F9F05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D5483F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10,025 (93.4%)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E5886C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81,094 (99.8%)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45387D6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91,119 (99%)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32EC55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083E4BF9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526A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A5BF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3FD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0DF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A84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51B9F7A7" w14:textId="77777777" w:rsidTr="00FB1A7A">
        <w:trPr>
          <w:trHeight w:val="297"/>
        </w:trPr>
        <w:tc>
          <w:tcPr>
            <w:tcW w:w="996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8F5333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 Fracture Patient 60-Day Mortality Rate between Different Readmission Groups (NRD 2016 Data)</w:t>
            </w:r>
          </w:p>
        </w:tc>
      </w:tr>
      <w:tr w:rsidR="00070515" w:rsidRPr="00FB1A7A" w14:paraId="015A922A" w14:textId="77777777" w:rsidTr="00FB1A7A">
        <w:trPr>
          <w:trHeight w:val="297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5EB07C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577B0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30-day readmission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D715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 30-day readmission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18DE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4E2126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p-value</w:t>
            </w:r>
          </w:p>
        </w:tc>
      </w:tr>
      <w:tr w:rsidR="00070515" w:rsidRPr="00FB1A7A" w14:paraId="1FF6DB24" w14:textId="77777777" w:rsidTr="00FB1A7A">
        <w:trPr>
          <w:trHeight w:val="297"/>
        </w:trPr>
        <w:tc>
          <w:tcPr>
            <w:tcW w:w="2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A60331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D52F8B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(N=9,740)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8DA41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(N=74,011)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DC546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(N=83,751)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9F5117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70515" w:rsidRPr="00FB1A7A" w14:paraId="1C15C41A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AA40" w14:textId="77777777" w:rsidR="00070515" w:rsidRPr="00FB1A7A" w:rsidRDefault="00070515" w:rsidP="00781B1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DIED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D3F9A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DD56F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1B8AD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684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70515" w:rsidRPr="00FB1A7A" w14:paraId="3DD3244C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0CAAD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0F4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634 (6.5%)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34574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155 (0.2%)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C3621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789 (0.9%)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5524E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070515" w:rsidRPr="00FB1A7A" w14:paraId="48702DF1" w14:textId="77777777" w:rsidTr="00FB1A7A">
        <w:trPr>
          <w:trHeight w:val="297"/>
        </w:trPr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82446A8" w14:textId="77777777" w:rsidR="00070515" w:rsidRPr="00FB1A7A" w:rsidRDefault="00070515" w:rsidP="00781B1D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2B78D12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9,106 (93.5%)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6ABD6E9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73,856 (98.2%)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9608DA5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82,962 (99.1%)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826ED73" w14:textId="77777777" w:rsidR="00070515" w:rsidRPr="00FB1A7A" w:rsidRDefault="00070515" w:rsidP="00781B1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B1A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129F563D" w14:textId="77777777" w:rsidR="00070515" w:rsidRPr="00FB1A7A" w:rsidRDefault="00070515" w:rsidP="00070515">
      <w:pPr>
        <w:rPr>
          <w:rFonts w:ascii="Arial" w:hAnsi="Arial" w:cs="Arial"/>
          <w:sz w:val="20"/>
          <w:szCs w:val="20"/>
        </w:rPr>
      </w:pPr>
    </w:p>
    <w:p w14:paraId="38AC69F3" w14:textId="77777777" w:rsidR="00AD4437" w:rsidRPr="00FB1A7A" w:rsidRDefault="00AD4437" w:rsidP="004C1F78">
      <w:pPr>
        <w:rPr>
          <w:rFonts w:ascii="Arial" w:hAnsi="Arial" w:cs="Arial"/>
          <w:sz w:val="20"/>
          <w:szCs w:val="20"/>
        </w:rPr>
      </w:pPr>
    </w:p>
    <w:sectPr w:rsidR="00AD4437" w:rsidRPr="00FB1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78"/>
    <w:rsid w:val="00070515"/>
    <w:rsid w:val="000F6026"/>
    <w:rsid w:val="004552F2"/>
    <w:rsid w:val="004C1F78"/>
    <w:rsid w:val="005B195C"/>
    <w:rsid w:val="008A17E1"/>
    <w:rsid w:val="008A7A7B"/>
    <w:rsid w:val="00987E17"/>
    <w:rsid w:val="00AD4437"/>
    <w:rsid w:val="00AD6420"/>
    <w:rsid w:val="00F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229C2"/>
  <w15:chartTrackingRefBased/>
  <w15:docId w15:val="{802D336A-9A49-4E76-8BC6-076F8208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43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43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43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43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43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43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43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43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43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437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43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zh-C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437"/>
    <w:rPr>
      <w:rFonts w:eastAsiaTheme="majorEastAsia" w:cstheme="majorBidi"/>
      <w:color w:val="2E74B5" w:themeColor="accent1" w:themeShade="BF"/>
      <w:kern w:val="2"/>
      <w:sz w:val="28"/>
      <w:szCs w:val="28"/>
      <w:lang w:eastAsia="zh-C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437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437"/>
    <w:rPr>
      <w:rFonts w:eastAsiaTheme="majorEastAsia" w:cstheme="majorBidi"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437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437"/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437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437"/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AD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443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43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4437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D4437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4437"/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paragraph" w:styleId="ListParagraph">
    <w:name w:val="List Paragraph"/>
    <w:basedOn w:val="Normal"/>
    <w:uiPriority w:val="34"/>
    <w:qFormat/>
    <w:rsid w:val="00AD4437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443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4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437"/>
    <w:rPr>
      <w:rFonts w:ascii="Times New Roman" w:hAnsi="Times New Roman" w:cs="Times New Roman"/>
      <w:i/>
      <w:iCs/>
      <w:color w:val="2E74B5" w:themeColor="accent1" w:themeShade="BF"/>
      <w:kern w:val="2"/>
      <w:sz w:val="24"/>
      <w:szCs w:val="24"/>
      <w:lang w:eastAsia="zh-C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AD443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D4437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4437"/>
    <w:rPr>
      <w:color w:val="96607D"/>
      <w:u w:val="single"/>
    </w:rPr>
  </w:style>
  <w:style w:type="paragraph" w:customStyle="1" w:styleId="msonormal0">
    <w:name w:val="msonormal"/>
    <w:basedOn w:val="Normal"/>
    <w:rsid w:val="00AD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AD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3333"/>
    </w:rPr>
  </w:style>
  <w:style w:type="paragraph" w:customStyle="1" w:styleId="font6">
    <w:name w:val="font6"/>
    <w:basedOn w:val="Normal"/>
    <w:rsid w:val="00AD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</w:rPr>
  </w:style>
  <w:style w:type="paragraph" w:customStyle="1" w:styleId="font7">
    <w:name w:val="font7"/>
    <w:basedOn w:val="Normal"/>
    <w:rsid w:val="00AD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</w:rPr>
  </w:style>
  <w:style w:type="paragraph" w:customStyle="1" w:styleId="xl65">
    <w:name w:val="xl65"/>
    <w:basedOn w:val="Normal"/>
    <w:rsid w:val="00AD4437"/>
    <w:pPr>
      <w:pBdr>
        <w:top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66">
    <w:name w:val="xl66"/>
    <w:basedOn w:val="Normal"/>
    <w:rsid w:val="00AD4437"/>
    <w:pPr>
      <w:pBdr>
        <w:top w:val="single" w:sz="12" w:space="0" w:color="000000"/>
        <w:bottom w:val="single" w:sz="12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67">
    <w:name w:val="xl67"/>
    <w:basedOn w:val="Normal"/>
    <w:rsid w:val="00AD443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68">
    <w:name w:val="xl68"/>
    <w:basedOn w:val="Normal"/>
    <w:rsid w:val="00AD443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69">
    <w:name w:val="xl69"/>
    <w:basedOn w:val="Normal"/>
    <w:rsid w:val="00AD443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70">
    <w:name w:val="xl70"/>
    <w:basedOn w:val="Normal"/>
    <w:rsid w:val="00AD443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71">
    <w:name w:val="xl71"/>
    <w:basedOn w:val="Normal"/>
    <w:rsid w:val="00AD4437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72">
    <w:name w:val="xl72"/>
    <w:basedOn w:val="Normal"/>
    <w:rsid w:val="00AD4437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xl73">
    <w:name w:val="xl73"/>
    <w:basedOn w:val="Normal"/>
    <w:rsid w:val="00AD4437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74">
    <w:name w:val="xl74"/>
    <w:basedOn w:val="Normal"/>
    <w:rsid w:val="00AD443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75">
    <w:name w:val="xl75"/>
    <w:basedOn w:val="Normal"/>
    <w:rsid w:val="00AD4437"/>
    <w:pPr>
      <w:pBdr>
        <w:bottom w:val="single" w:sz="8" w:space="0" w:color="A8A8A8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23</Pages>
  <Words>2736</Words>
  <Characters>12643</Characters>
  <Application>Microsoft Office Word</Application>
  <DocSecurity>0</DocSecurity>
  <Lines>702</Lines>
  <Paragraphs>591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Jarva Chow</dc:creator>
  <cp:keywords/>
  <dc:description/>
  <cp:lastModifiedBy>Jarva Chow</cp:lastModifiedBy>
  <cp:revision>5</cp:revision>
  <cp:lastPrinted>2025-11-21T21:40:00Z</cp:lastPrinted>
  <dcterms:created xsi:type="dcterms:W3CDTF">2025-11-22T22:14:00Z</dcterms:created>
  <dcterms:modified xsi:type="dcterms:W3CDTF">2025-12-15T05:07:00Z</dcterms:modified>
</cp:coreProperties>
</file>