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EC2FC" w14:textId="77777777" w:rsidR="00DE0DFB" w:rsidRDefault="00573F9F" w:rsidP="00DE0DFB">
      <w:pPr>
        <w:widowControl w:val="0"/>
        <w:spacing w:after="0" w:line="360" w:lineRule="auto"/>
        <w:ind w:firstLineChars="0" w:firstLine="0"/>
        <w:rPr>
          <w:rFonts w:ascii="Times New Roman" w:hAnsi="Times New Roman" w:cs="Times New Roman"/>
          <w:color w:val="000000"/>
        </w:rPr>
      </w:pPr>
      <w:bookmarkStart w:id="0" w:name="_Hlk193186309"/>
      <w:bookmarkEnd w:id="0"/>
      <w:r w:rsidRPr="009F38EC">
        <w:rPr>
          <w:rFonts w:ascii="Times New Roman" w:eastAsia="SimSun" w:hAnsi="Times New Roman" w:cs="Times New Roman" w:hint="eastAsia"/>
          <w:b/>
          <w:color w:val="000000"/>
          <w:sz w:val="20"/>
          <w:szCs w:val="20"/>
          <w14:ligatures w14:val="none"/>
        </w:rPr>
        <w:t>Supplementary Materials:</w:t>
      </w:r>
    </w:p>
    <w:p w14:paraId="15660E67" w14:textId="314C01D3" w:rsidR="00E9075B" w:rsidRPr="00DE0DFB" w:rsidRDefault="00573F9F" w:rsidP="00DE0DFB">
      <w:pPr>
        <w:widowControl w:val="0"/>
        <w:spacing w:after="0" w:line="360" w:lineRule="auto"/>
        <w:ind w:firstLineChars="0" w:firstLine="0"/>
        <w:rPr>
          <w:rFonts w:ascii="Times New Roman" w:eastAsia="SimSun" w:hAnsi="Times New Roman" w:cs="Times New Roman"/>
          <w:b/>
          <w:color w:val="000000"/>
          <w:sz w:val="20"/>
          <w:szCs w:val="20"/>
          <w14:ligatures w14:val="none"/>
        </w:rPr>
      </w:pPr>
      <w:r w:rsidRPr="009F38EC">
        <w:rPr>
          <w:rFonts w:ascii="Times New Roman" w:hAnsi="Times New Roman" w:cs="Times New Roman" w:hint="eastAsia"/>
          <w:color w:val="000000"/>
        </w:rPr>
        <w:t>Supplemental 1</w:t>
      </w:r>
      <w:r w:rsidR="00E9075B" w:rsidRPr="009F38EC">
        <w:rPr>
          <w:rFonts w:ascii="Times New Roman" w:hAnsi="Times New Roman" w:cs="Times New Roman" w:hint="eastAsia"/>
          <w:color w:val="000000"/>
        </w:rPr>
        <w:t>.</w:t>
      </w:r>
      <w:r w:rsidR="00E9075B" w:rsidRPr="009F38EC">
        <w:rPr>
          <w:rFonts w:ascii="Times New Roman" w:hAnsi="Times New Roman" w:cs="Times New Roman"/>
          <w:color w:val="000000"/>
        </w:rPr>
        <w:t xml:space="preserve"> Literature Search </w:t>
      </w:r>
    </w:p>
    <w:p w14:paraId="4CA9F515" w14:textId="77777777" w:rsidR="00E9075B" w:rsidRPr="009F38EC" w:rsidRDefault="00E9075B" w:rsidP="00897B5D">
      <w:pPr>
        <w:spacing w:line="480" w:lineRule="auto"/>
        <w:ind w:firstLineChars="0" w:firstLine="0"/>
        <w:rPr>
          <w:rFonts w:ascii="Times New Roman" w:hAnsi="Times New Roman"/>
          <w:color w:val="000000"/>
        </w:rPr>
      </w:pPr>
      <w:r w:rsidRPr="009F38EC">
        <w:rPr>
          <w:rFonts w:ascii="Times New Roman" w:hAnsi="Times New Roman"/>
          <w:color w:val="000000"/>
        </w:rPr>
        <w:t xml:space="preserve">A thorough literature search was conducted to gather data on PopPK models of </w:t>
      </w:r>
      <w:r w:rsidRPr="009F38EC">
        <w:rPr>
          <w:rFonts w:ascii="Times New Roman" w:hAnsi="Times New Roman" w:hint="eastAsia"/>
          <w:color w:val="000000"/>
        </w:rPr>
        <w:t>VNX</w:t>
      </w:r>
      <w:r w:rsidRPr="009F38EC">
        <w:rPr>
          <w:rFonts w:ascii="Times New Roman" w:hAnsi="Times New Roman"/>
          <w:color w:val="000000"/>
        </w:rPr>
        <w:t>. Databases such as PubMed, Web of Science, and Embase were scrutinized, encompassing publications up until October 202</w:t>
      </w:r>
      <w:r w:rsidRPr="009F38EC">
        <w:rPr>
          <w:rFonts w:ascii="Times New Roman" w:hAnsi="Times New Roman" w:hint="eastAsia"/>
          <w:color w:val="000000"/>
        </w:rPr>
        <w:t>4</w:t>
      </w:r>
      <w:r w:rsidRPr="009F38EC">
        <w:rPr>
          <w:rFonts w:ascii="Times New Roman" w:hAnsi="Times New Roman"/>
          <w:color w:val="000000"/>
        </w:rPr>
        <w:t xml:space="preserve">. The search strategy used the following </w:t>
      </w:r>
      <w:r w:rsidRPr="009F38EC">
        <w:rPr>
          <w:rFonts w:ascii="Times New Roman" w:hAnsi="Times New Roman" w:hint="eastAsia"/>
          <w:color w:val="000000"/>
        </w:rPr>
        <w:t>terms</w:t>
      </w:r>
      <w:r w:rsidRPr="009F38EC">
        <w:rPr>
          <w:rFonts w:ascii="Times New Roman" w:hAnsi="Times New Roman"/>
          <w:color w:val="000000"/>
        </w:rPr>
        <w:t>: (“</w:t>
      </w:r>
      <w:r w:rsidRPr="009F38EC">
        <w:rPr>
          <w:rFonts w:ascii="Times New Roman" w:hAnsi="Times New Roman" w:hint="eastAsia"/>
          <w:color w:val="000000"/>
        </w:rPr>
        <w:t>venetoclax</w:t>
      </w:r>
      <w:r w:rsidRPr="009F38EC">
        <w:rPr>
          <w:rFonts w:ascii="Times New Roman" w:hAnsi="Times New Roman"/>
          <w:color w:val="000000"/>
        </w:rPr>
        <w:t>” OR “</w:t>
      </w:r>
      <w:r w:rsidRPr="009F38EC">
        <w:rPr>
          <w:rFonts w:ascii="Times New Roman" w:hAnsi="Times New Roman" w:hint="eastAsia"/>
          <w:color w:val="000000"/>
        </w:rPr>
        <w:t>Venclexta</w:t>
      </w:r>
      <w:r w:rsidRPr="009F38EC">
        <w:rPr>
          <w:rFonts w:ascii="Times New Roman" w:hAnsi="Times New Roman"/>
          <w:color w:val="000000"/>
        </w:rPr>
        <w:t>” OR “</w:t>
      </w:r>
      <w:r w:rsidRPr="009F38EC">
        <w:rPr>
          <w:rFonts w:ascii="Times New Roman" w:hAnsi="Times New Roman" w:hint="eastAsia"/>
          <w:color w:val="000000"/>
        </w:rPr>
        <w:t>RG-7601</w:t>
      </w:r>
      <w:r w:rsidRPr="009F38EC">
        <w:rPr>
          <w:rFonts w:ascii="Times New Roman" w:hAnsi="Times New Roman"/>
          <w:color w:val="000000"/>
        </w:rPr>
        <w:t>”OR “</w:t>
      </w:r>
      <w:r w:rsidRPr="009F38EC">
        <w:rPr>
          <w:rFonts w:ascii="Times New Roman" w:hAnsi="Times New Roman" w:hint="eastAsia"/>
          <w:color w:val="000000"/>
        </w:rPr>
        <w:t>RG7601</w:t>
      </w:r>
      <w:r w:rsidRPr="009F38EC">
        <w:rPr>
          <w:rFonts w:ascii="Times New Roman" w:hAnsi="Times New Roman"/>
          <w:color w:val="000000"/>
        </w:rPr>
        <w:t>”</w:t>
      </w:r>
      <w:r w:rsidRPr="009F38EC">
        <w:rPr>
          <w:rFonts w:ascii="Times New Roman" w:hAnsi="Times New Roman" w:hint="eastAsia"/>
          <w:color w:val="000000"/>
        </w:rPr>
        <w:t xml:space="preserve">OR </w:t>
      </w:r>
      <w:r w:rsidRPr="009F38EC">
        <w:rPr>
          <w:rFonts w:ascii="Times New Roman" w:hAnsi="Times New Roman"/>
          <w:color w:val="000000"/>
        </w:rPr>
        <w:t>“</w:t>
      </w:r>
      <w:r w:rsidRPr="009F38EC">
        <w:rPr>
          <w:rFonts w:ascii="Times New Roman" w:hAnsi="Times New Roman" w:hint="eastAsia"/>
          <w:color w:val="000000"/>
        </w:rPr>
        <w:t>GDC-0199</w:t>
      </w:r>
      <w:r w:rsidRPr="009F38EC">
        <w:rPr>
          <w:rFonts w:ascii="Times New Roman" w:hAnsi="Times New Roman"/>
          <w:color w:val="000000"/>
        </w:rPr>
        <w:t>”</w:t>
      </w:r>
      <w:r w:rsidRPr="009F38EC">
        <w:rPr>
          <w:rFonts w:ascii="Times New Roman" w:hAnsi="Times New Roman" w:hint="eastAsia"/>
          <w:color w:val="000000"/>
        </w:rPr>
        <w:t xml:space="preserve"> OR </w:t>
      </w:r>
      <w:r w:rsidRPr="009F38EC">
        <w:rPr>
          <w:rFonts w:ascii="Times New Roman" w:hAnsi="Times New Roman"/>
          <w:color w:val="000000"/>
        </w:rPr>
        <w:t>“</w:t>
      </w:r>
      <w:r w:rsidRPr="009F38EC">
        <w:rPr>
          <w:rFonts w:ascii="Times New Roman" w:hAnsi="Times New Roman" w:hint="eastAsia"/>
          <w:color w:val="000000"/>
        </w:rPr>
        <w:t>4-(4-((2-(4-chlorophenyl)-4,4-dimethylcyclohex-1-en-1-yl)methyl)piperazin-1-yl)-N-((3-nitro-4-((tetrahydro-2H-pyran-4-ylmethyl)amino)phenyl)sulfonyl)-2-(1H-pyrrolo(2,3-b)pyridin-5-yloxy)benzamide</w:t>
      </w:r>
      <w:r w:rsidRPr="009F38EC">
        <w:rPr>
          <w:rFonts w:ascii="Times New Roman" w:hAnsi="Times New Roman"/>
          <w:color w:val="000000"/>
        </w:rPr>
        <w:t xml:space="preserve">”) AND (“population pharmacokinetic” OR “pharmacokinetic modeling” OR “NONMEM” OR “nonlinear mixed effects model” OR “WINNONMIX” ) The reference lists of the identified publications were also screened to identify other potential publications for inclusion. </w:t>
      </w:r>
    </w:p>
    <w:p w14:paraId="45EFAF35" w14:textId="77777777" w:rsidR="00E9075B" w:rsidRPr="009F38EC" w:rsidRDefault="00E9075B" w:rsidP="00897B5D">
      <w:pPr>
        <w:spacing w:line="480" w:lineRule="auto"/>
        <w:ind w:firstLineChars="0" w:firstLine="0"/>
        <w:rPr>
          <w:rFonts w:ascii="Times New Roman" w:hAnsi="Times New Roman"/>
          <w:color w:val="000000"/>
        </w:rPr>
      </w:pPr>
      <w:r w:rsidRPr="009F38EC">
        <w:rPr>
          <w:rFonts w:ascii="Times New Roman" w:hAnsi="Times New Roman"/>
          <w:color w:val="000000"/>
        </w:rPr>
        <w:t>Inclusion criteria consisted of the following: 1)</w:t>
      </w:r>
      <w:r w:rsidRPr="009F38EC">
        <w:rPr>
          <w:rFonts w:ascii="Times New Roman" w:hAnsi="Times New Roman" w:hint="eastAsia"/>
          <w:color w:val="000000"/>
        </w:rPr>
        <w:t xml:space="preserve"> Study drug: venetoclax</w:t>
      </w:r>
      <w:r w:rsidRPr="009F38EC">
        <w:rPr>
          <w:rFonts w:ascii="Times New Roman" w:hAnsi="Times New Roman"/>
          <w:color w:val="000000"/>
        </w:rPr>
        <w:t>, 2) Publication in English, and 3) PopPK studies conducted using nonlinear mixed-effects modeling methods.</w:t>
      </w:r>
      <w:r w:rsidRPr="009F38EC">
        <w:rPr>
          <w:rFonts w:ascii="Times New Roman" w:hAnsi="Times New Roman" w:hint="eastAsia"/>
          <w:color w:val="000000"/>
        </w:rPr>
        <w:t xml:space="preserve"> </w:t>
      </w:r>
    </w:p>
    <w:p w14:paraId="074336F3" w14:textId="569B9C9C" w:rsidR="00B97E88" w:rsidRPr="009F38EC" w:rsidRDefault="00E9075B" w:rsidP="00897B5D">
      <w:pPr>
        <w:spacing w:line="480" w:lineRule="auto"/>
        <w:ind w:firstLineChars="0" w:firstLine="0"/>
        <w:rPr>
          <w:rFonts w:ascii="Times New Roman" w:hAnsi="Times New Roman"/>
          <w:color w:val="000000"/>
        </w:rPr>
      </w:pPr>
      <w:r w:rsidRPr="009F38EC">
        <w:rPr>
          <w:rFonts w:ascii="Times New Roman" w:hAnsi="Times New Roman"/>
          <w:color w:val="000000"/>
        </w:rPr>
        <w:t>Exclusion criteria include: 1) Duplicate articles; 2) Insufficient details for external evaluation; 3) Publications categorized as reviews or methodological articles</w:t>
      </w:r>
      <w:r w:rsidRPr="009F38EC">
        <w:rPr>
          <w:rFonts w:ascii="Times New Roman" w:hAnsi="Times New Roman" w:hint="eastAsia"/>
          <w:color w:val="000000"/>
        </w:rPr>
        <w:t>;</w:t>
      </w:r>
      <w:r w:rsidRPr="009F38EC">
        <w:rPr>
          <w:rFonts w:ascii="Times New Roman" w:hAnsi="Times New Roman"/>
          <w:color w:val="000000"/>
        </w:rPr>
        <w:t xml:space="preserve"> and 4) non-parametric model. The following information was extracted from the original studies:</w:t>
      </w:r>
      <w:r w:rsidRPr="009F38EC">
        <w:rPr>
          <w:rFonts w:ascii="Times New Roman" w:hAnsi="Times New Roman" w:hint="eastAsia"/>
          <w:color w:val="000000"/>
        </w:rPr>
        <w:t xml:space="preserve"> </w:t>
      </w:r>
      <w:r w:rsidRPr="009F38EC">
        <w:rPr>
          <w:rFonts w:ascii="Times New Roman" w:hAnsi="Times New Roman"/>
          <w:color w:val="000000"/>
        </w:rPr>
        <w:t xml:space="preserve">structure of the compartmental model, </w:t>
      </w:r>
      <w:r w:rsidRPr="009F38EC">
        <w:rPr>
          <w:rFonts w:ascii="Times New Roman" w:hAnsi="Times New Roman" w:hint="eastAsia"/>
          <w:color w:val="000000"/>
        </w:rPr>
        <w:t>PopPK</w:t>
      </w:r>
      <w:r w:rsidRPr="009F38EC">
        <w:rPr>
          <w:rFonts w:ascii="Times New Roman" w:hAnsi="Times New Roman"/>
          <w:color w:val="000000"/>
        </w:rPr>
        <w:t xml:space="preserve"> </w:t>
      </w:r>
      <w:r w:rsidRPr="009F38EC">
        <w:rPr>
          <w:rFonts w:ascii="Times New Roman" w:hAnsi="Times New Roman" w:hint="eastAsia"/>
          <w:color w:val="000000"/>
        </w:rPr>
        <w:t>p</w:t>
      </w:r>
      <w:r w:rsidRPr="009F38EC">
        <w:rPr>
          <w:rFonts w:ascii="Times New Roman" w:hAnsi="Times New Roman"/>
          <w:color w:val="000000"/>
        </w:rPr>
        <w:t>arameters, covariate model, inter</w:t>
      </w:r>
      <w:r w:rsidRPr="009F38EC">
        <w:rPr>
          <w:rFonts w:ascii="Times New Roman" w:hAnsi="Times New Roman" w:hint="eastAsia"/>
          <w:color w:val="000000"/>
        </w:rPr>
        <w:t xml:space="preserve">- </w:t>
      </w:r>
      <w:r w:rsidRPr="009F38EC">
        <w:rPr>
          <w:rFonts w:ascii="Times New Roman" w:hAnsi="Times New Roman"/>
          <w:color w:val="000000"/>
        </w:rPr>
        <w:t>and intra-individual variability, residual variability, and estimation method.</w:t>
      </w:r>
    </w:p>
    <w:p w14:paraId="2AD3F3A0" w14:textId="77777777" w:rsidR="00B97E88" w:rsidRPr="009F38EC" w:rsidRDefault="00B97E88">
      <w:pPr>
        <w:spacing w:line="360" w:lineRule="auto"/>
        <w:ind w:firstLineChars="0" w:firstLine="0"/>
        <w:rPr>
          <w:rFonts w:ascii="Times New Roman" w:hAnsi="Times New Roman"/>
          <w:color w:val="000000"/>
        </w:rPr>
      </w:pPr>
      <w:r w:rsidRPr="009F38EC">
        <w:rPr>
          <w:rFonts w:ascii="Times New Roman" w:hAnsi="Times New Roman"/>
          <w:color w:val="000000"/>
        </w:rPr>
        <w:lastRenderedPageBreak/>
        <w:br w:type="page"/>
      </w:r>
    </w:p>
    <w:p w14:paraId="76F7C129" w14:textId="06A72863" w:rsidR="00897B5D" w:rsidRPr="009F38EC" w:rsidRDefault="00B97E88" w:rsidP="003B5CFD">
      <w:pPr>
        <w:spacing w:line="480" w:lineRule="auto"/>
        <w:ind w:firstLineChars="0" w:firstLine="0"/>
        <w:rPr>
          <w:rFonts w:ascii="Times New Roman" w:hAnsi="Times New Roman"/>
          <w:b/>
          <w:bCs/>
          <w:color w:val="000000"/>
        </w:rPr>
      </w:pPr>
      <w:r w:rsidRPr="009F38EC">
        <w:rPr>
          <w:rFonts w:ascii="Times New Roman" w:hAnsi="Times New Roman"/>
          <w:color w:val="000000"/>
        </w:rPr>
        <w:lastRenderedPageBreak/>
        <w:drawing>
          <wp:inline distT="0" distB="0" distL="0" distR="0" wp14:anchorId="18639143" wp14:editId="6F42536B">
            <wp:extent cx="5267325" cy="4516120"/>
            <wp:effectExtent l="0" t="0" r="9525" b="0"/>
            <wp:docPr id="20949528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516120"/>
                    </a:xfrm>
                    <a:prstGeom prst="rect">
                      <a:avLst/>
                    </a:prstGeom>
                    <a:noFill/>
                    <a:ln>
                      <a:noFill/>
                    </a:ln>
                  </pic:spPr>
                </pic:pic>
              </a:graphicData>
            </a:graphic>
          </wp:inline>
        </w:drawing>
      </w:r>
      <w:r w:rsidR="007C52DA" w:rsidRPr="009F38EC">
        <w:rPr>
          <w:rFonts w:ascii="Times New Roman" w:hAnsi="Times New Roman"/>
          <w:color w:val="000000"/>
        </w:rPr>
        <mc:AlternateContent>
          <mc:Choice Requires="wps">
            <w:drawing>
              <wp:anchor distT="0" distB="0" distL="114300" distR="114300" simplePos="0" relativeHeight="251660288" behindDoc="0" locked="0" layoutInCell="1" allowOverlap="1" wp14:anchorId="3D3CAF43" wp14:editId="782B9108">
                <wp:simplePos x="0" y="0"/>
                <wp:positionH relativeFrom="column">
                  <wp:posOffset>-346075</wp:posOffset>
                </wp:positionH>
                <wp:positionV relativeFrom="paragraph">
                  <wp:posOffset>-8870950</wp:posOffset>
                </wp:positionV>
                <wp:extent cx="601980" cy="276225"/>
                <wp:effectExtent l="0" t="0" r="1270" b="3175"/>
                <wp:wrapNone/>
                <wp:docPr id="11093208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10E5A" w14:textId="7FE06E7B" w:rsidR="00897B5D" w:rsidRPr="00897B5D" w:rsidRDefault="00897B5D" w:rsidP="00897B5D">
                            <w:pPr>
                              <w:ind w:firstLine="480"/>
                              <w:jc w:val="center"/>
                              <w:rPr>
                                <w:rFonts w:ascii="Times New Roman" w:hAnsi="Times New Roman" w:cs="Times New Roman"/>
                                <w:b/>
                                <w:bCs/>
                              </w:rPr>
                            </w:pPr>
                            <w:r w:rsidRPr="00897B5D">
                              <w:rPr>
                                <w:rFonts w:ascii="Times New Roman" w:hAnsi="Times New Roman" w:cs="Times New Roman"/>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CAF43" id="_x0000_t202" coordsize="21600,21600" o:spt="202" path="m,l,21600r21600,l21600,xe">
                <v:stroke joinstyle="miter"/>
                <v:path gradientshapeok="t" o:connecttype="rect"/>
              </v:shapetype>
              <v:shape id="Text Box 4" o:spid="_x0000_s1026" type="#_x0000_t202" style="position:absolute;margin-left:-27.25pt;margin-top:-698.5pt;width:47.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" stroked="f">
                <v:textbox>
                  <w:txbxContent>
                    <w:p w14:paraId="48910E5A" w14:textId="7FE06E7B" w:rsidR="00897B5D" w:rsidRPr="00897B5D" w:rsidRDefault="00897B5D" w:rsidP="00897B5D">
                      <w:pPr>
                        <w:ind w:firstLine="480"/>
                        <w:jc w:val="center"/>
                        <w:rPr>
                          <w:rFonts w:ascii="Times New Roman" w:hAnsi="Times New Roman" w:cs="Times New Roman"/>
                          <w:b/>
                          <w:bCs/>
                        </w:rPr>
                      </w:pPr>
                      <w:r w:rsidRPr="00897B5D">
                        <w:rPr>
                          <w:rFonts w:ascii="Times New Roman" w:hAnsi="Times New Roman" w:cs="Times New Roman"/>
                          <w:b/>
                          <w:bCs/>
                        </w:rPr>
                        <w:t>A</w:t>
                      </w:r>
                    </w:p>
                  </w:txbxContent>
                </v:textbox>
              </v:shape>
            </w:pict>
          </mc:Fallback>
        </mc:AlternateContent>
      </w:r>
    </w:p>
    <w:p w14:paraId="19523792" w14:textId="3465B291" w:rsidR="00B46EC8" w:rsidRPr="009F38EC" w:rsidRDefault="00B46EC8" w:rsidP="00897B5D">
      <w:pPr>
        <w:ind w:firstLineChars="0" w:firstLine="0"/>
        <w:rPr>
          <w:rFonts w:ascii="Times New Roman" w:hAnsi="Times New Roman"/>
          <w:color w:val="000000"/>
        </w:rPr>
      </w:pPr>
      <w:r w:rsidRPr="009F38EC">
        <w:rPr>
          <w:rFonts w:ascii="Times New Roman" w:hAnsi="Times New Roman" w:hint="eastAsia"/>
          <w:b/>
          <w:bCs/>
          <w:color w:val="000000"/>
        </w:rPr>
        <w:t>Figure S1</w:t>
      </w:r>
      <w:r w:rsidRPr="009F38EC">
        <w:rPr>
          <w:rFonts w:ascii="Times New Roman" w:hAnsi="Times New Roman" w:hint="eastAsia"/>
          <w:color w:val="000000"/>
        </w:rPr>
        <w:t>. The blood routine examination</w:t>
      </w:r>
      <w:r w:rsidR="00897B5D" w:rsidRPr="009F38EC">
        <w:rPr>
          <w:rFonts w:ascii="Times New Roman" w:hAnsi="Times New Roman" w:hint="eastAsia"/>
          <w:color w:val="000000"/>
        </w:rPr>
        <w:t xml:space="preserve"> </w:t>
      </w:r>
      <w:r w:rsidRPr="009F38EC">
        <w:rPr>
          <w:rFonts w:ascii="Times New Roman" w:hAnsi="Times New Roman" w:hint="eastAsia"/>
          <w:color w:val="000000"/>
        </w:rPr>
        <w:t xml:space="preserve">index of the patients included in this study. </w:t>
      </w:r>
    </w:p>
    <w:p w14:paraId="12D65B52" w14:textId="4757CA78" w:rsidR="00CD7314" w:rsidRPr="009F38EC" w:rsidRDefault="00B46EC8" w:rsidP="009312EC">
      <w:pPr>
        <w:ind w:firstLineChars="0" w:firstLine="0"/>
        <w:rPr>
          <w:rFonts w:ascii="Times New Roman" w:hAnsi="Times New Roman"/>
          <w:color w:val="000000"/>
        </w:rPr>
      </w:pPr>
      <w:r w:rsidRPr="009F38EC">
        <w:rPr>
          <w:rFonts w:ascii="Times New Roman" w:hAnsi="Times New Roman" w:hint="eastAsia"/>
          <w:color w:val="000000"/>
        </w:rPr>
        <w:t xml:space="preserve">Notes: </w:t>
      </w:r>
      <w:r w:rsidR="00897B5D" w:rsidRPr="009F38EC">
        <w:rPr>
          <w:rFonts w:ascii="Times New Roman" w:hAnsi="Times New Roman" w:hint="eastAsia"/>
          <w:color w:val="000000"/>
        </w:rPr>
        <w:t xml:space="preserve">HCT: Hematocrit; hemoglobin: </w:t>
      </w:r>
      <w:r w:rsidR="00897B5D" w:rsidRPr="009F38EC">
        <w:rPr>
          <w:rFonts w:ascii="Times New Roman" w:hAnsi="Times New Roman"/>
          <w:color w:val="000000"/>
        </w:rPr>
        <w:t>hemoglobin</w:t>
      </w:r>
      <w:r w:rsidR="00897B5D" w:rsidRPr="009F38EC">
        <w:rPr>
          <w:rFonts w:ascii="Times New Roman" w:hAnsi="Times New Roman" w:hint="eastAsia"/>
          <w:color w:val="000000"/>
        </w:rPr>
        <w:t>; LYM: Lymphocyte count; LYM_P: Lymphocyte count percentage; MCV: Mean corpuscular volume; MEHC: Mean corpuscular hemoglobin concentration; NG: Neutrophil number; PLT: Platelet count; Red_Cell: Red blood cell count; White_Cell: White blood cell count.</w:t>
      </w:r>
      <w:r w:rsidR="00515EF7" w:rsidRPr="009F38EC">
        <w:rPr>
          <w:rFonts w:ascii="Times New Roman" w:hAnsi="Times New Roman" w:hint="eastAsia"/>
          <w:color w:val="000000"/>
        </w:rPr>
        <w:t xml:space="preserve"> </w:t>
      </w:r>
      <w:r w:rsidR="00515EF7" w:rsidRPr="009F38EC">
        <w:rPr>
          <w:rFonts w:ascii="Times New Roman" w:hAnsi="Times New Roman"/>
          <w:color w:val="000000"/>
        </w:rPr>
        <w:t>T</w:t>
      </w:r>
      <w:r w:rsidR="00515EF7" w:rsidRPr="009F38EC">
        <w:rPr>
          <w:rFonts w:ascii="Times New Roman" w:hAnsi="Times New Roman" w:hint="eastAsia"/>
          <w:color w:val="000000"/>
        </w:rPr>
        <w:t xml:space="preserve">he red dashed line represents the normal reference range in healthy population. </w:t>
      </w:r>
    </w:p>
    <w:p w14:paraId="5BF00D2D" w14:textId="2336560F" w:rsidR="00B46EC8" w:rsidRPr="009F38EC" w:rsidRDefault="00B46EC8">
      <w:pPr>
        <w:spacing w:line="360" w:lineRule="auto"/>
        <w:ind w:firstLineChars="0"/>
        <w:rPr>
          <w:rFonts w:ascii="Times New Roman" w:hAnsi="Times New Roman"/>
          <w:color w:val="000000"/>
        </w:rPr>
      </w:pPr>
      <w:r w:rsidRPr="009F38EC">
        <w:rPr>
          <w:rFonts w:ascii="Times New Roman" w:hAnsi="Times New Roman"/>
          <w:color w:val="000000"/>
        </w:rPr>
        <w:br w:type="page"/>
      </w:r>
    </w:p>
    <w:p w14:paraId="7B97E29B" w14:textId="1AFB311A" w:rsidR="00B97E88" w:rsidRPr="009F38EC" w:rsidRDefault="00B97E88" w:rsidP="00B97E88">
      <w:pPr>
        <w:ind w:firstLineChars="0" w:firstLine="0"/>
        <w:rPr>
          <w:rFonts w:ascii="Times New Roman" w:hAnsi="Times New Roman"/>
          <w:color w:val="000000"/>
        </w:rPr>
      </w:pPr>
      <w:r w:rsidRPr="009F38EC">
        <w:rPr>
          <w:rFonts w:ascii="Times New Roman" w:hAnsi="Times New Roman"/>
          <w:b/>
          <w:bCs/>
          <w:color w:val="000000"/>
        </w:rPr>
        <w:lastRenderedPageBreak/>
        <w:drawing>
          <wp:inline distT="0" distB="0" distL="0" distR="0" wp14:anchorId="4A8D8037" wp14:editId="691BEC3A">
            <wp:extent cx="5267325" cy="3012440"/>
            <wp:effectExtent l="0" t="0" r="9525" b="0"/>
            <wp:docPr id="9232375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012440"/>
                    </a:xfrm>
                    <a:prstGeom prst="rect">
                      <a:avLst/>
                    </a:prstGeom>
                    <a:noFill/>
                    <a:ln>
                      <a:noFill/>
                    </a:ln>
                  </pic:spPr>
                </pic:pic>
              </a:graphicData>
            </a:graphic>
          </wp:inline>
        </w:drawing>
      </w:r>
      <w:r w:rsidRPr="009F38EC">
        <w:rPr>
          <w:rFonts w:ascii="Times New Roman" w:hAnsi="Times New Roman" w:hint="eastAsia"/>
          <w:b/>
          <w:bCs/>
          <w:color w:val="000000"/>
        </w:rPr>
        <w:t>Figure S2</w:t>
      </w:r>
      <w:r w:rsidRPr="009F38EC">
        <w:rPr>
          <w:rFonts w:ascii="Times New Roman" w:hAnsi="Times New Roman" w:hint="eastAsia"/>
          <w:color w:val="000000"/>
        </w:rPr>
        <w:t xml:space="preserve">. The liver function test index of the patients included in this study. </w:t>
      </w:r>
    </w:p>
    <w:p w14:paraId="0CDD45C1" w14:textId="19A48C1D" w:rsidR="00B97E88" w:rsidRPr="009F38EC" w:rsidRDefault="00B97E88" w:rsidP="00B97E88">
      <w:pPr>
        <w:ind w:firstLineChars="0" w:firstLine="0"/>
        <w:rPr>
          <w:rFonts w:ascii="Times New Roman" w:hAnsi="Times New Roman"/>
          <w:color w:val="000000"/>
        </w:rPr>
      </w:pPr>
      <w:r w:rsidRPr="009F38EC">
        <w:rPr>
          <w:rFonts w:ascii="Times New Roman" w:hAnsi="Times New Roman" w:hint="eastAsia"/>
          <w:color w:val="000000"/>
        </w:rPr>
        <w:t xml:space="preserve">Notes: ALB: Albumin; ALP: Alkaline phosphatase; ALT: Alanine aminotransferase; AST: Aspartate aminotransferase; hemoglobin; DBIL: Direct bilirubin; GGT: Gamma-glutamyl transferase; IBIL: Indirect bilirubin; TBIL: Total bilirubin. </w:t>
      </w:r>
      <w:r w:rsidRPr="009F38EC">
        <w:rPr>
          <w:rFonts w:ascii="Times New Roman" w:hAnsi="Times New Roman"/>
          <w:color w:val="000000"/>
        </w:rPr>
        <w:t>T</w:t>
      </w:r>
      <w:r w:rsidRPr="009F38EC">
        <w:rPr>
          <w:rFonts w:ascii="Times New Roman" w:hAnsi="Times New Roman" w:hint="eastAsia"/>
          <w:color w:val="000000"/>
        </w:rPr>
        <w:t xml:space="preserve">he red dashed line represents the normal reference range in healthy population. </w:t>
      </w:r>
    </w:p>
    <w:p w14:paraId="61BFFEE6" w14:textId="77777777" w:rsidR="00B46EC8" w:rsidRPr="009F38EC" w:rsidRDefault="00B46EC8" w:rsidP="00B76FFF">
      <w:pPr>
        <w:ind w:firstLineChars="0"/>
        <w:rPr>
          <w:rFonts w:ascii="Times New Roman" w:hAnsi="Times New Roman"/>
          <w:color w:val="000000"/>
        </w:rPr>
        <w:sectPr w:rsidR="00B46EC8" w:rsidRPr="009F38EC" w:rsidSect="003B5CF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lnNumType w:countBy="1" w:restart="continuous"/>
          <w:cols w:space="425"/>
          <w:docGrid w:type="lines" w:linePitch="326"/>
        </w:sectPr>
      </w:pPr>
    </w:p>
    <w:p w14:paraId="1195192C" w14:textId="623C6725" w:rsidR="00477158" w:rsidRPr="009F38EC" w:rsidRDefault="006929F9" w:rsidP="00B76FFF">
      <w:pPr>
        <w:ind w:firstLineChars="0"/>
        <w:rPr>
          <w:rFonts w:ascii="Times New Roman" w:hAnsi="Times New Roman"/>
          <w:color w:val="000000"/>
        </w:rPr>
      </w:pPr>
      <w:r w:rsidRPr="009F38EC">
        <w:rPr>
          <w:rFonts w:ascii="Times New Roman" w:hAnsi="Times New Roman"/>
          <w:color w:val="000000"/>
        </w:rPr>
        <w:lastRenderedPageBreak/>
        <w:drawing>
          <wp:inline distT="0" distB="0" distL="0" distR="0" wp14:anchorId="10D08095" wp14:editId="5442494A">
            <wp:extent cx="5267325" cy="4684395"/>
            <wp:effectExtent l="0" t="0" r="9525" b="1905"/>
            <wp:docPr id="8235823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4684395"/>
                    </a:xfrm>
                    <a:prstGeom prst="rect">
                      <a:avLst/>
                    </a:prstGeom>
                    <a:noFill/>
                    <a:ln>
                      <a:noFill/>
                    </a:ln>
                  </pic:spPr>
                </pic:pic>
              </a:graphicData>
            </a:graphic>
          </wp:inline>
        </w:drawing>
      </w:r>
    </w:p>
    <w:p w14:paraId="25428235" w14:textId="0AD03C2A" w:rsidR="006929F9" w:rsidRPr="009F38EC" w:rsidRDefault="003A534E" w:rsidP="003B5CFD">
      <w:pPr>
        <w:ind w:firstLineChars="0" w:firstLine="0"/>
        <w:jc w:val="both"/>
        <w:rPr>
          <w:rFonts w:ascii="Times New Roman" w:hAnsi="Times New Roman"/>
          <w:color w:val="000000"/>
        </w:rPr>
      </w:pPr>
      <w:r w:rsidRPr="009F38EC">
        <w:rPr>
          <w:rFonts w:ascii="Times New Roman" w:hAnsi="Times New Roman" w:hint="eastAsia"/>
          <w:b/>
          <w:bCs/>
          <w:color w:val="000000"/>
        </w:rPr>
        <w:t xml:space="preserve">Figure </w:t>
      </w:r>
      <w:r w:rsidR="00CF3809" w:rsidRPr="009F38EC">
        <w:rPr>
          <w:rFonts w:ascii="Times New Roman" w:hAnsi="Times New Roman" w:hint="eastAsia"/>
          <w:b/>
          <w:bCs/>
          <w:color w:val="000000"/>
        </w:rPr>
        <w:t>S3</w:t>
      </w:r>
      <w:r w:rsidRPr="009F38EC">
        <w:rPr>
          <w:rFonts w:ascii="Times New Roman" w:hAnsi="Times New Roman" w:hint="eastAsia"/>
          <w:color w:val="000000"/>
        </w:rPr>
        <w:t xml:space="preserve">. </w:t>
      </w:r>
      <w:r w:rsidR="006929F9" w:rsidRPr="009F38EC">
        <w:rPr>
          <w:rFonts w:ascii="Times New Roman" w:hAnsi="Times New Roman" w:hint="eastAsia"/>
          <w:color w:val="000000"/>
        </w:rPr>
        <w:t>Observed concentrations versus population and individual predictions for the evaluated population pharmacokinetic models of venetoclax.</w:t>
      </w:r>
    </w:p>
    <w:p w14:paraId="555D2D9F" w14:textId="6C0F58AA" w:rsidR="006929F9" w:rsidRPr="009F38EC" w:rsidRDefault="006929F9" w:rsidP="003B5CFD">
      <w:pPr>
        <w:spacing w:after="0"/>
        <w:ind w:firstLineChars="0" w:firstLine="0"/>
        <w:jc w:val="both"/>
        <w:rPr>
          <w:rFonts w:ascii="Times New Roman" w:hAnsi="Times New Roman"/>
          <w:color w:val="000000"/>
        </w:rPr>
      </w:pPr>
      <w:r w:rsidRPr="009F38EC">
        <w:rPr>
          <w:rFonts w:ascii="Times New Roman" w:hAnsi="Times New Roman" w:hint="eastAsia"/>
          <w:color w:val="000000"/>
        </w:rPr>
        <w:t>Notes: Panels A, C, E, G, I, and K show observed concentrations versus individual predictions for models M1</w:t>
      </w:r>
      <w:r w:rsidR="008C0ACD" w:rsidRPr="009F38EC">
        <w:rPr>
          <w:rFonts w:ascii="Times New Roman" w:hAnsi="Times New Roman" w:hint="eastAsia"/>
          <w:color w:val="000000"/>
        </w:rPr>
        <w:t>-</w:t>
      </w:r>
      <w:r w:rsidRPr="009F38EC">
        <w:rPr>
          <w:rFonts w:ascii="Times New Roman" w:hAnsi="Times New Roman" w:hint="eastAsia"/>
          <w:color w:val="000000"/>
        </w:rPr>
        <w:t>M6, respectively. Panels B, D, F, H, J, and L show observed concentrations versus population predictions for models M1</w:t>
      </w:r>
      <w:r w:rsidR="008C0ACD" w:rsidRPr="009F38EC">
        <w:rPr>
          <w:rFonts w:ascii="Times New Roman" w:hAnsi="Times New Roman" w:hint="eastAsia"/>
          <w:color w:val="000000"/>
        </w:rPr>
        <w:t>-</w:t>
      </w:r>
      <w:r w:rsidRPr="009F38EC">
        <w:rPr>
          <w:rFonts w:ascii="Times New Roman" w:hAnsi="Times New Roman" w:hint="eastAsia"/>
          <w:color w:val="000000"/>
        </w:rPr>
        <w:t>M6, respectively. The red dashed line indicates the loess regression trendline and the black solid line means the reference line. The blue points represent observed data.</w:t>
      </w:r>
    </w:p>
    <w:p w14:paraId="3FAF8E7A" w14:textId="58B94C38" w:rsidR="003A534E" w:rsidRPr="009F38EC" w:rsidRDefault="006929F9" w:rsidP="003B5CFD">
      <w:pPr>
        <w:ind w:firstLineChars="0" w:firstLine="0"/>
        <w:rPr>
          <w:rFonts w:ascii="Times New Roman" w:hAnsi="Times New Roman"/>
          <w:color w:val="000000"/>
        </w:rPr>
      </w:pPr>
      <w:r w:rsidRPr="009F38EC">
        <w:rPr>
          <w:rFonts w:ascii="Times New Roman" w:hAnsi="Times New Roman"/>
          <w:color w:val="000000"/>
        </w:rPr>
        <w:br w:type="page"/>
      </w:r>
      <w:r w:rsidRPr="009F38EC">
        <w:rPr>
          <w:rFonts w:ascii="Times New Roman" w:hAnsi="Times New Roman" w:hint="eastAsia"/>
          <w:color w:val="000000"/>
        </w:rPr>
        <w:lastRenderedPageBreak/>
        <w:drawing>
          <wp:inline distT="0" distB="0" distL="0" distR="0" wp14:anchorId="748B5A48" wp14:editId="10F17D49">
            <wp:extent cx="5116152" cy="7078791"/>
            <wp:effectExtent l="0" t="0" r="8890" b="8255"/>
            <wp:docPr id="21360504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695" cy="7151490"/>
                    </a:xfrm>
                    <a:prstGeom prst="rect">
                      <a:avLst/>
                    </a:prstGeom>
                    <a:noFill/>
                    <a:ln>
                      <a:noFill/>
                    </a:ln>
                  </pic:spPr>
                </pic:pic>
              </a:graphicData>
            </a:graphic>
          </wp:inline>
        </w:drawing>
      </w:r>
    </w:p>
    <w:p w14:paraId="37488B3E" w14:textId="1BF630AD" w:rsidR="00C351AE" w:rsidRPr="009F38EC" w:rsidRDefault="00C351AE" w:rsidP="003B5CFD">
      <w:pPr>
        <w:spacing w:after="0"/>
        <w:ind w:firstLineChars="0" w:firstLine="0"/>
        <w:jc w:val="both"/>
        <w:rPr>
          <w:rFonts w:ascii="Times New Roman" w:hAnsi="Times New Roman"/>
          <w:color w:val="000000"/>
        </w:rPr>
      </w:pPr>
      <w:r w:rsidRPr="009F38EC">
        <w:rPr>
          <w:rFonts w:ascii="Times New Roman" w:hAnsi="Times New Roman" w:hint="eastAsia"/>
          <w:b/>
          <w:bCs/>
          <w:color w:val="000000"/>
        </w:rPr>
        <w:t xml:space="preserve">Figure </w:t>
      </w:r>
      <w:r w:rsidR="00CF3809" w:rsidRPr="009F38EC">
        <w:rPr>
          <w:rFonts w:ascii="Times New Roman" w:hAnsi="Times New Roman" w:hint="eastAsia"/>
          <w:b/>
          <w:bCs/>
          <w:color w:val="000000"/>
        </w:rPr>
        <w:t>S4</w:t>
      </w:r>
      <w:r w:rsidRPr="009F38EC">
        <w:rPr>
          <w:rFonts w:ascii="Times New Roman" w:hAnsi="Times New Roman" w:hint="eastAsia"/>
          <w:color w:val="000000"/>
        </w:rPr>
        <w:t>. Prediction error (PE) distributions of the individual (</w:t>
      </w:r>
      <w:r w:rsidR="006929F9" w:rsidRPr="009F38EC">
        <w:rPr>
          <w:rFonts w:ascii="Times New Roman" w:hAnsi="Times New Roman" w:hint="eastAsia"/>
          <w:color w:val="000000"/>
        </w:rPr>
        <w:t>A</w:t>
      </w:r>
      <w:r w:rsidRPr="009F38EC">
        <w:rPr>
          <w:rFonts w:ascii="Times New Roman" w:hAnsi="Times New Roman" w:hint="eastAsia"/>
          <w:color w:val="000000"/>
        </w:rPr>
        <w:t>) and population (</w:t>
      </w:r>
      <w:r w:rsidR="006929F9" w:rsidRPr="009F38EC">
        <w:rPr>
          <w:rFonts w:ascii="Times New Roman" w:hAnsi="Times New Roman" w:hint="eastAsia"/>
          <w:color w:val="000000"/>
        </w:rPr>
        <w:t>B</w:t>
      </w:r>
      <w:r w:rsidRPr="009F38EC">
        <w:rPr>
          <w:rFonts w:ascii="Times New Roman" w:hAnsi="Times New Roman" w:hint="eastAsia"/>
          <w:color w:val="000000"/>
        </w:rPr>
        <w:t xml:space="preserve">) predictions for evaluated population </w:t>
      </w:r>
      <w:r w:rsidRPr="009F38EC">
        <w:rPr>
          <w:rFonts w:ascii="Times New Roman" w:hAnsi="Times New Roman"/>
          <w:color w:val="000000"/>
        </w:rPr>
        <w:t>pharmacokinetic</w:t>
      </w:r>
      <w:r w:rsidRPr="009F38EC">
        <w:rPr>
          <w:rFonts w:ascii="Times New Roman" w:hAnsi="Times New Roman" w:hint="eastAsia"/>
          <w:color w:val="000000"/>
        </w:rPr>
        <w:t xml:space="preserve"> models of </w:t>
      </w:r>
      <w:r w:rsidR="006929F9" w:rsidRPr="009F38EC">
        <w:rPr>
          <w:rFonts w:ascii="Times New Roman" w:hAnsi="Times New Roman" w:hint="eastAsia"/>
          <w:color w:val="000000"/>
        </w:rPr>
        <w:t>venetoclax</w:t>
      </w:r>
      <w:r w:rsidRPr="009F38EC">
        <w:rPr>
          <w:rFonts w:ascii="Times New Roman" w:hAnsi="Times New Roman" w:hint="eastAsia"/>
          <w:color w:val="000000"/>
        </w:rPr>
        <w:t>.</w:t>
      </w:r>
    </w:p>
    <w:p w14:paraId="53D416CC" w14:textId="391E9784" w:rsidR="00CF3809" w:rsidRPr="009F38EC" w:rsidRDefault="00CF3809" w:rsidP="003B5CFD">
      <w:pPr>
        <w:spacing w:after="0"/>
        <w:ind w:firstLineChars="0" w:firstLine="0"/>
        <w:jc w:val="both"/>
        <w:rPr>
          <w:rFonts w:ascii="Times New Roman" w:hAnsi="Times New Roman"/>
          <w:color w:val="000000"/>
        </w:rPr>
      </w:pPr>
      <w:r w:rsidRPr="009F38EC">
        <w:rPr>
          <w:rFonts w:ascii="Times New Roman" w:hAnsi="Times New Roman" w:hint="eastAsia"/>
          <w:color w:val="000000"/>
        </w:rPr>
        <w:t xml:space="preserve">Notes: The dotted lines indicate the </w:t>
      </w:r>
      <w:r w:rsidRPr="009F38EC">
        <w:rPr>
          <w:rFonts w:ascii="Times New Roman" w:hAnsi="Times New Roman" w:cs="Times New Roman" w:hint="eastAsia"/>
          <w:color w:val="000000"/>
        </w:rPr>
        <w:t>±</w:t>
      </w:r>
      <w:r w:rsidRPr="009F38EC">
        <w:rPr>
          <w:rFonts w:ascii="Times New Roman" w:hAnsi="Times New Roman" w:hint="eastAsia"/>
          <w:color w:val="000000"/>
        </w:rPr>
        <w:t>30% boundaries, and the dashed line indicates the 0% reference line. In each boxplot, the box represents the interquartile range (Q1-Q3), the horizontal black line within the box indicates the median (Q2), and the dots represent outliers</w:t>
      </w:r>
      <w:r w:rsidRPr="009F38EC">
        <w:rPr>
          <w:rFonts w:ascii="Times New Roman" w:hAnsi="Times New Roman"/>
          <w:color w:val="000000"/>
        </w:rPr>
        <w:br w:type="page"/>
      </w:r>
      <w:r w:rsidRPr="009F38EC">
        <w:rPr>
          <w:rFonts w:ascii="Times New Roman" w:hAnsi="Times New Roman"/>
          <w:color w:val="000000"/>
        </w:rPr>
        <w:lastRenderedPageBreak/>
        <w:drawing>
          <wp:inline distT="0" distB="0" distL="0" distR="0" wp14:anchorId="6DD0DAA2" wp14:editId="04D24018">
            <wp:extent cx="5273040" cy="7012305"/>
            <wp:effectExtent l="0" t="0" r="3810" b="0"/>
            <wp:docPr id="8629999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7012305"/>
                    </a:xfrm>
                    <a:prstGeom prst="rect">
                      <a:avLst/>
                    </a:prstGeom>
                    <a:noFill/>
                    <a:ln>
                      <a:noFill/>
                    </a:ln>
                  </pic:spPr>
                </pic:pic>
              </a:graphicData>
            </a:graphic>
          </wp:inline>
        </w:drawing>
      </w:r>
    </w:p>
    <w:p w14:paraId="7E3F1B84" w14:textId="7BC40338" w:rsidR="00CF3809" w:rsidRPr="009F38EC" w:rsidRDefault="00C351AE" w:rsidP="00CF3809">
      <w:pPr>
        <w:spacing w:after="0"/>
        <w:ind w:firstLineChars="0" w:firstLine="0"/>
        <w:jc w:val="both"/>
        <w:rPr>
          <w:rFonts w:ascii="Times New Roman" w:hAnsi="Times New Roman"/>
          <w:color w:val="000000"/>
        </w:rPr>
      </w:pPr>
      <w:r w:rsidRPr="009F38EC">
        <w:rPr>
          <w:rFonts w:ascii="Times New Roman" w:hAnsi="Times New Roman" w:hint="eastAsia"/>
          <w:b/>
          <w:bCs/>
          <w:color w:val="000000"/>
        </w:rPr>
        <w:t xml:space="preserve">Figure </w:t>
      </w:r>
      <w:r w:rsidR="00CF3809" w:rsidRPr="009F38EC">
        <w:rPr>
          <w:rFonts w:ascii="Times New Roman" w:hAnsi="Times New Roman" w:hint="eastAsia"/>
          <w:b/>
          <w:bCs/>
          <w:color w:val="000000"/>
        </w:rPr>
        <w:t>S5</w:t>
      </w:r>
      <w:r w:rsidRPr="009F38EC">
        <w:rPr>
          <w:rFonts w:ascii="Times New Roman" w:hAnsi="Times New Roman" w:hint="eastAsia"/>
          <w:color w:val="000000"/>
        </w:rPr>
        <w:t xml:space="preserve">. Normalized prediction distribution error (NPDE) plots of evaluated population </w:t>
      </w:r>
      <w:r w:rsidRPr="009F38EC">
        <w:rPr>
          <w:rFonts w:ascii="Times New Roman" w:hAnsi="Times New Roman"/>
          <w:color w:val="000000"/>
        </w:rPr>
        <w:t>pharmacokinetic</w:t>
      </w:r>
      <w:r w:rsidRPr="009F38EC">
        <w:rPr>
          <w:rFonts w:ascii="Times New Roman" w:hAnsi="Times New Roman" w:hint="eastAsia"/>
          <w:color w:val="000000"/>
        </w:rPr>
        <w:t xml:space="preserve"> models of </w:t>
      </w:r>
      <w:r w:rsidR="00CF3809" w:rsidRPr="009F38EC">
        <w:rPr>
          <w:rFonts w:ascii="Times New Roman" w:hAnsi="Times New Roman" w:hint="eastAsia"/>
          <w:color w:val="000000"/>
        </w:rPr>
        <w:t>venetoclax</w:t>
      </w:r>
      <w:r w:rsidRPr="009F38EC">
        <w:rPr>
          <w:rFonts w:ascii="Times New Roman" w:hAnsi="Times New Roman" w:hint="eastAsia"/>
          <w:color w:val="000000"/>
        </w:rPr>
        <w:t xml:space="preserve">. </w:t>
      </w:r>
    </w:p>
    <w:p w14:paraId="4104906B" w14:textId="406C09B4" w:rsidR="00312059" w:rsidRPr="009F38EC" w:rsidRDefault="00CF3809" w:rsidP="003B5CFD">
      <w:pPr>
        <w:spacing w:after="0"/>
        <w:ind w:firstLineChars="0" w:firstLine="0"/>
        <w:jc w:val="both"/>
        <w:rPr>
          <w:rFonts w:ascii="Times New Roman" w:hAnsi="Times New Roman"/>
          <w:color w:val="000000"/>
        </w:rPr>
      </w:pPr>
      <w:r w:rsidRPr="009F38EC">
        <w:rPr>
          <w:rFonts w:ascii="Times New Roman" w:hAnsi="Times New Roman" w:hint="eastAsia"/>
          <w:color w:val="000000"/>
        </w:rPr>
        <w:t xml:space="preserve">Notes: A-F represents the results from M1 to M6. </w:t>
      </w:r>
      <w:r w:rsidR="00C351AE" w:rsidRPr="009F38EC">
        <w:rPr>
          <w:rFonts w:ascii="Times New Roman" w:hAnsi="Times New Roman" w:hint="eastAsia"/>
          <w:color w:val="000000"/>
        </w:rPr>
        <w:t>Quantile</w:t>
      </w:r>
      <w:r w:rsidR="008C0ACD" w:rsidRPr="009F38EC">
        <w:rPr>
          <w:rFonts w:ascii="Times New Roman" w:hAnsi="Times New Roman" w:cs="Times New Roman" w:hint="eastAsia"/>
          <w:color w:val="000000"/>
        </w:rPr>
        <w:t>-</w:t>
      </w:r>
      <w:r w:rsidR="00C351AE" w:rsidRPr="009F38EC">
        <w:rPr>
          <w:rFonts w:ascii="Times New Roman" w:hAnsi="Times New Roman" w:hint="eastAsia"/>
          <w:color w:val="000000"/>
        </w:rPr>
        <w:t xml:space="preserve">quantile plot of the distribution of the NPDE against theoretical distribution (semitransparent blue fields); Histogram of the distribution of the NPDE against theoretical distribution (semitransparent blue fields); NPDE vs. time after dose (h); NPDE vs. predicted concentrations. The solid black lines represent the actual value of the NPDE at the 5th and 95th percentiles, the red solid line represents the 50th percentiles. The </w:t>
      </w:r>
      <w:r w:rsidR="00C351AE" w:rsidRPr="009F38EC">
        <w:rPr>
          <w:rFonts w:ascii="Times New Roman" w:hAnsi="Times New Roman" w:hint="eastAsia"/>
          <w:color w:val="000000"/>
        </w:rPr>
        <w:lastRenderedPageBreak/>
        <w:t>semitransparent red field represents a simulation-based 95% confidence interval for the median at 50th percentile, and semitransparent blue fields represent a simulation-based 95% confidence interval for the corresponding model</w:t>
      </w:r>
      <w:r w:rsidR="008C0ACD" w:rsidRPr="009F38EC">
        <w:rPr>
          <w:rFonts w:ascii="Times New Roman" w:hAnsi="Times New Roman" w:hint="eastAsia"/>
          <w:color w:val="000000"/>
        </w:rPr>
        <w:t>-</w:t>
      </w:r>
      <w:r w:rsidR="00C351AE" w:rsidRPr="009F38EC">
        <w:rPr>
          <w:rFonts w:ascii="Times New Roman" w:hAnsi="Times New Roman" w:hint="eastAsia"/>
          <w:color w:val="000000"/>
        </w:rPr>
        <w:t>predicted 5th and 95th percentiles. The NPDE of the observations are represented by dark blue dots</w:t>
      </w:r>
      <w:r w:rsidRPr="009F38EC">
        <w:rPr>
          <w:rFonts w:ascii="Times New Roman" w:hAnsi="Times New Roman" w:hint="eastAsia"/>
          <w:color w:val="000000"/>
        </w:rPr>
        <w:t xml:space="preserve">. </w:t>
      </w:r>
    </w:p>
    <w:p w14:paraId="0ADF06B7" w14:textId="77777777" w:rsidR="00312059" w:rsidRPr="009F38EC" w:rsidRDefault="00312059">
      <w:pPr>
        <w:spacing w:line="360" w:lineRule="auto"/>
        <w:ind w:firstLineChars="0" w:firstLine="0"/>
        <w:rPr>
          <w:rFonts w:ascii="Times New Roman" w:hAnsi="Times New Roman"/>
          <w:color w:val="000000"/>
        </w:rPr>
      </w:pPr>
      <w:r w:rsidRPr="009F38EC">
        <w:rPr>
          <w:rFonts w:ascii="Times New Roman" w:hAnsi="Times New Roman"/>
          <w:color w:val="000000"/>
        </w:rPr>
        <w:br w:type="page"/>
      </w:r>
    </w:p>
    <w:p w14:paraId="3C26E151" w14:textId="32C59322" w:rsidR="00A05E03" w:rsidRPr="009F38EC" w:rsidRDefault="009C400A" w:rsidP="009F38EC">
      <w:pPr>
        <w:ind w:firstLineChars="0" w:firstLine="0"/>
        <w:rPr>
          <w:rFonts w:ascii="Times New Roman" w:hAnsi="Times New Roman" w:cs="Times New Roman"/>
          <w:b/>
          <w:bCs/>
          <w:color w:val="000000"/>
        </w:rPr>
      </w:pPr>
      <w:r w:rsidRPr="009F38EC">
        <w:rPr>
          <w:rFonts w:ascii="Times New Roman" w:hAnsi="Times New Roman"/>
          <w:color w:val="000000"/>
        </w:rPr>
        <w:lastRenderedPageBreak/>
        <w:drawing>
          <wp:inline distT="0" distB="0" distL="0" distR="0" wp14:anchorId="09A1A3AF" wp14:editId="5835728B">
            <wp:extent cx="5276850" cy="3956050"/>
            <wp:effectExtent l="0" t="0" r="0" b="6350"/>
            <wp:docPr id="3143866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956050"/>
                    </a:xfrm>
                    <a:prstGeom prst="rect">
                      <a:avLst/>
                    </a:prstGeom>
                    <a:noFill/>
                    <a:ln>
                      <a:noFill/>
                    </a:ln>
                  </pic:spPr>
                </pic:pic>
              </a:graphicData>
            </a:graphic>
          </wp:inline>
        </w:drawing>
      </w:r>
      <w:r w:rsidR="00A05E03" w:rsidRPr="009F38EC">
        <w:rPr>
          <w:rFonts w:ascii="Times New Roman" w:hAnsi="Times New Roman" w:cs="Times New Roman" w:hint="eastAsia"/>
          <w:b/>
          <w:bCs/>
          <w:color w:val="000000"/>
        </w:rPr>
        <w:t xml:space="preserve">Figure </w:t>
      </w:r>
      <w:r w:rsidR="00CF3809" w:rsidRPr="009F38EC">
        <w:rPr>
          <w:rFonts w:ascii="Times New Roman" w:hAnsi="Times New Roman" w:cs="Times New Roman" w:hint="eastAsia"/>
          <w:b/>
          <w:bCs/>
          <w:color w:val="000000"/>
        </w:rPr>
        <w:t>S6</w:t>
      </w:r>
      <w:r w:rsidR="00A05E03" w:rsidRPr="009F38EC">
        <w:rPr>
          <w:rFonts w:ascii="Times New Roman" w:hAnsi="Times New Roman" w:cs="Times New Roman" w:hint="eastAsia"/>
          <w:b/>
          <w:bCs/>
          <w:color w:val="000000"/>
        </w:rPr>
        <w:t>.</w:t>
      </w:r>
      <w:r w:rsidR="00A05E03" w:rsidRPr="009F38EC">
        <w:rPr>
          <w:rFonts w:ascii="Times New Roman" w:hAnsi="Times New Roman" w:cs="Times New Roman" w:hint="eastAsia"/>
          <w:color w:val="000000"/>
        </w:rPr>
        <w:t xml:space="preserve"> </w:t>
      </w:r>
      <w:r w:rsidR="00A05E03" w:rsidRPr="009F38EC">
        <w:rPr>
          <w:rFonts w:ascii="Times New Roman" w:hAnsi="Times New Roman" w:cs="Times New Roman"/>
          <w:color w:val="000000"/>
        </w:rPr>
        <w:t xml:space="preserve">The covariates effects on the </w:t>
      </w:r>
      <w:r w:rsidR="00CF3809" w:rsidRPr="009F38EC">
        <w:rPr>
          <w:rFonts w:ascii="Times New Roman" w:hAnsi="Times New Roman" w:hint="eastAsia"/>
          <w:color w:val="000000"/>
        </w:rPr>
        <w:t>venetoclax</w:t>
      </w:r>
      <w:r w:rsidR="00A05E03" w:rsidRPr="009F38EC">
        <w:rPr>
          <w:rFonts w:ascii="Times New Roman" w:hAnsi="Times New Roman" w:cs="Times New Roman"/>
          <w:color w:val="000000"/>
        </w:rPr>
        <w:t xml:space="preserve"> </w:t>
      </w:r>
      <w:r w:rsidR="00A05E03" w:rsidRPr="009F38EC">
        <w:rPr>
          <w:rFonts w:ascii="Times New Roman" w:hAnsi="Times New Roman" w:cs="Times New Roman" w:hint="eastAsia"/>
          <w:color w:val="000000"/>
        </w:rPr>
        <w:t>C</w:t>
      </w:r>
      <w:r w:rsidR="00A05E03" w:rsidRPr="009F38EC">
        <w:rPr>
          <w:rFonts w:ascii="Times New Roman" w:hAnsi="Times New Roman" w:cs="Times New Roman" w:hint="eastAsia"/>
          <w:color w:val="000000"/>
          <w:vertAlign w:val="subscript"/>
        </w:rPr>
        <w:t>min</w:t>
      </w:r>
      <w:r w:rsidR="00A05E03" w:rsidRPr="009F38EC">
        <w:rPr>
          <w:rFonts w:ascii="Times New Roman" w:hAnsi="Times New Roman" w:cs="Times New Roman" w:hint="eastAsia"/>
          <w:color w:val="000000"/>
        </w:rPr>
        <w:t>.</w:t>
      </w:r>
    </w:p>
    <w:p w14:paraId="3A9EAE6D" w14:textId="53B689A4" w:rsidR="00312059" w:rsidRPr="009F38EC" w:rsidRDefault="00A05E03" w:rsidP="00A05E03">
      <w:pPr>
        <w:spacing w:afterLines="100" w:after="326"/>
        <w:ind w:firstLineChars="0" w:firstLine="0"/>
        <w:rPr>
          <w:rFonts w:ascii="Times New Roman" w:hAnsi="Times New Roman"/>
          <w:color w:val="000000"/>
        </w:rPr>
      </w:pPr>
      <w:r w:rsidRPr="009F38EC">
        <w:rPr>
          <w:rFonts w:ascii="Times New Roman" w:hAnsi="Times New Roman" w:hint="eastAsia"/>
          <w:color w:val="000000"/>
        </w:rPr>
        <w:t xml:space="preserve">Notes: </w:t>
      </w:r>
      <w:r w:rsidRPr="009F38EC">
        <w:rPr>
          <w:rFonts w:ascii="Times New Roman" w:hAnsi="Times New Roman"/>
          <w:color w:val="000000"/>
        </w:rPr>
        <w:t>ALT: Alanine aminotransferase</w:t>
      </w:r>
      <w:r w:rsidRPr="009F38EC">
        <w:rPr>
          <w:rFonts w:ascii="Times New Roman" w:hAnsi="Times New Roman" w:hint="eastAsia"/>
          <w:color w:val="000000"/>
        </w:rPr>
        <w:t xml:space="preserve">; </w:t>
      </w:r>
      <w:r w:rsidRPr="009F38EC">
        <w:rPr>
          <w:rFonts w:ascii="Times New Roman" w:hAnsi="Times New Roman"/>
          <w:color w:val="000000"/>
        </w:rPr>
        <w:t>AST: Aspartate aminotransferase</w:t>
      </w:r>
      <w:r w:rsidRPr="009F38EC">
        <w:rPr>
          <w:rFonts w:ascii="Times New Roman" w:hAnsi="Times New Roman" w:hint="eastAsia"/>
          <w:color w:val="000000"/>
        </w:rPr>
        <w:t xml:space="preserve">; </w:t>
      </w:r>
      <w:r w:rsidRPr="009F38EC">
        <w:rPr>
          <w:rFonts w:ascii="Times New Roman" w:hAnsi="Times New Roman"/>
          <w:color w:val="000000"/>
        </w:rPr>
        <w:t>eGFR: Estimated glomerular filtration rate</w:t>
      </w:r>
      <w:r w:rsidRPr="009F38EC">
        <w:rPr>
          <w:rFonts w:ascii="Times New Roman" w:hAnsi="Times New Roman" w:hint="eastAsia"/>
          <w:color w:val="000000"/>
        </w:rPr>
        <w:t xml:space="preserve">; </w:t>
      </w:r>
      <w:r w:rsidRPr="009F38EC">
        <w:rPr>
          <w:rFonts w:ascii="Times New Roman" w:hAnsi="Times New Roman"/>
          <w:color w:val="000000"/>
        </w:rPr>
        <w:t>GGT: Gamma-glutamyl transferase</w:t>
      </w:r>
      <w:r w:rsidRPr="009F38EC">
        <w:rPr>
          <w:rFonts w:ascii="Times New Roman" w:hAnsi="Times New Roman" w:hint="eastAsia"/>
          <w:color w:val="000000"/>
        </w:rPr>
        <w:t xml:space="preserve">; </w:t>
      </w:r>
      <w:r w:rsidRPr="009F38EC">
        <w:rPr>
          <w:rFonts w:ascii="Times New Roman" w:hAnsi="Times New Roman"/>
          <w:color w:val="000000"/>
        </w:rPr>
        <w:t>LYM: Lymphocyte count</w:t>
      </w:r>
      <w:r w:rsidRPr="009F38EC">
        <w:rPr>
          <w:rFonts w:ascii="Times New Roman" w:hAnsi="Times New Roman" w:hint="eastAsia"/>
          <w:color w:val="000000"/>
        </w:rPr>
        <w:t xml:space="preserve">; </w:t>
      </w:r>
      <w:r w:rsidRPr="009F38EC">
        <w:rPr>
          <w:rFonts w:ascii="Times New Roman" w:hAnsi="Times New Roman"/>
          <w:color w:val="000000"/>
        </w:rPr>
        <w:t>MCV: Mean corpuscular volume</w:t>
      </w:r>
      <w:r w:rsidRPr="009F38EC">
        <w:rPr>
          <w:rFonts w:ascii="Times New Roman" w:hAnsi="Times New Roman" w:hint="eastAsia"/>
          <w:color w:val="000000"/>
        </w:rPr>
        <w:t xml:space="preserve">; </w:t>
      </w:r>
      <w:r w:rsidRPr="009F38EC">
        <w:rPr>
          <w:rFonts w:ascii="Times New Roman" w:hAnsi="Times New Roman"/>
          <w:color w:val="000000"/>
        </w:rPr>
        <w:t>PLT: Platelet count</w:t>
      </w:r>
      <w:r w:rsidRPr="009F38EC">
        <w:rPr>
          <w:rFonts w:ascii="Times New Roman" w:hAnsi="Times New Roman" w:hint="eastAsia"/>
          <w:color w:val="000000"/>
        </w:rPr>
        <w:t xml:space="preserve">; </w:t>
      </w:r>
      <w:r w:rsidRPr="009F38EC">
        <w:rPr>
          <w:rFonts w:ascii="Times New Roman" w:hAnsi="Times New Roman"/>
          <w:color w:val="000000"/>
        </w:rPr>
        <w:t>TBIL: Total bilirubin</w:t>
      </w:r>
      <w:r w:rsidRPr="009F38EC">
        <w:rPr>
          <w:rFonts w:ascii="Times New Roman" w:hAnsi="Times New Roman" w:hint="eastAsia"/>
          <w:color w:val="000000"/>
        </w:rPr>
        <w:t>.</w:t>
      </w:r>
    </w:p>
    <w:p w14:paraId="7D613D30" w14:textId="77777777" w:rsidR="001F1C46" w:rsidRPr="009F38EC" w:rsidRDefault="00312059">
      <w:pPr>
        <w:spacing w:line="360" w:lineRule="auto"/>
        <w:ind w:firstLineChars="0" w:firstLine="0"/>
        <w:rPr>
          <w:rFonts w:ascii="Times New Roman" w:hAnsi="Times New Roman"/>
          <w:color w:val="000000"/>
        </w:rPr>
      </w:pPr>
      <w:r w:rsidRPr="009F38EC">
        <w:rPr>
          <w:rFonts w:ascii="Times New Roman" w:hAnsi="Times New Roman"/>
          <w:color w:val="000000"/>
        </w:rPr>
        <w:br w:type="page"/>
      </w:r>
    </w:p>
    <w:p w14:paraId="53A0D09C" w14:textId="208EA806" w:rsidR="001F1C46" w:rsidRPr="009F38EC" w:rsidRDefault="001F1C46">
      <w:pPr>
        <w:spacing w:line="360" w:lineRule="auto"/>
        <w:ind w:firstLineChars="0" w:firstLine="0"/>
        <w:rPr>
          <w:rFonts w:ascii="Times New Roman" w:hAnsi="Times New Roman"/>
          <w:color w:val="000000"/>
        </w:rPr>
      </w:pPr>
      <w:r w:rsidRPr="009F38EC">
        <w:rPr>
          <w:rFonts w:ascii="Times New Roman" w:hAnsi="Times New Roman"/>
          <w:color w:val="000000"/>
        </w:rPr>
        <w:lastRenderedPageBreak/>
        <w:drawing>
          <wp:inline distT="0" distB="0" distL="0" distR="0" wp14:anchorId="6E2B0EC4" wp14:editId="5758D879">
            <wp:extent cx="5275580" cy="1717040"/>
            <wp:effectExtent l="0" t="0" r="1270" b="0"/>
            <wp:docPr id="1997422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5580" cy="1717040"/>
                    </a:xfrm>
                    <a:prstGeom prst="rect">
                      <a:avLst/>
                    </a:prstGeom>
                    <a:noFill/>
                    <a:ln>
                      <a:noFill/>
                    </a:ln>
                  </pic:spPr>
                </pic:pic>
              </a:graphicData>
            </a:graphic>
          </wp:inline>
        </w:drawing>
      </w:r>
    </w:p>
    <w:p w14:paraId="0838F6C7" w14:textId="12A2870B" w:rsidR="001F1C46" w:rsidRPr="009F38EC" w:rsidRDefault="001F1C46" w:rsidP="001F1C46">
      <w:pPr>
        <w:ind w:firstLineChars="0" w:firstLine="0"/>
        <w:jc w:val="both"/>
        <w:rPr>
          <w:rFonts w:ascii="Times New Roman" w:hAnsi="Times New Roman" w:cs="Times New Roman"/>
          <w:b/>
          <w:bCs/>
          <w:color w:val="000000"/>
          <w:sz w:val="21"/>
          <w:szCs w:val="21"/>
        </w:rPr>
      </w:pPr>
      <w:r w:rsidRPr="009F38EC">
        <w:rPr>
          <w:rFonts w:ascii="Times New Roman" w:hAnsi="Times New Roman" w:cs="Times New Roman" w:hint="eastAsia"/>
          <w:b/>
          <w:bCs/>
          <w:color w:val="000000"/>
        </w:rPr>
        <w:t>Figure S</w:t>
      </w:r>
      <w:r w:rsidR="00AE27B0" w:rsidRPr="009F38EC">
        <w:rPr>
          <w:rFonts w:ascii="Times New Roman" w:hAnsi="Times New Roman" w:cs="Times New Roman" w:hint="eastAsia"/>
          <w:b/>
          <w:bCs/>
          <w:color w:val="000000"/>
        </w:rPr>
        <w:t>7</w:t>
      </w:r>
      <w:r w:rsidRPr="009F38EC">
        <w:rPr>
          <w:rFonts w:ascii="Times New Roman" w:hAnsi="Times New Roman" w:cs="Times New Roman" w:hint="eastAsia"/>
          <w:color w:val="000000"/>
        </w:rPr>
        <w:t>. Exposure</w:t>
      </w:r>
      <w:r w:rsidRPr="009F38EC">
        <w:rPr>
          <w:rFonts w:ascii="Times New Roman" w:hAnsi="Times New Roman" w:cs="Times New Roman"/>
          <w:color w:val="000000"/>
        </w:rPr>
        <w:t>–</w:t>
      </w:r>
      <w:r w:rsidRPr="009F38EC">
        <w:rPr>
          <w:rFonts w:ascii="Times New Roman" w:hAnsi="Times New Roman" w:cs="Times New Roman" w:hint="eastAsia"/>
          <w:color w:val="000000"/>
        </w:rPr>
        <w:t xml:space="preserve">response relationship of the overall response in the patients who received the </w:t>
      </w:r>
      <w:r w:rsidRPr="009F38EC">
        <w:rPr>
          <w:rFonts w:ascii="Times New Roman" w:hAnsi="Times New Roman" w:hint="eastAsia"/>
          <w:color w:val="000000"/>
        </w:rPr>
        <w:t>venetoclax</w:t>
      </w:r>
      <w:r w:rsidRPr="009F38EC">
        <w:rPr>
          <w:rFonts w:ascii="Times New Roman" w:hAnsi="Times New Roman" w:cs="Times New Roman" w:hint="eastAsia"/>
          <w:color w:val="000000"/>
        </w:rPr>
        <w:t xml:space="preserve"> versus the predicted C</w:t>
      </w:r>
      <w:r w:rsidRPr="009F38EC">
        <w:rPr>
          <w:rFonts w:ascii="Times New Roman" w:hAnsi="Times New Roman" w:cs="Times New Roman" w:hint="eastAsia"/>
          <w:color w:val="000000"/>
          <w:vertAlign w:val="subscript"/>
        </w:rPr>
        <w:t>min</w:t>
      </w:r>
      <w:r w:rsidRPr="009F38EC">
        <w:rPr>
          <w:rFonts w:ascii="Times New Roman" w:hAnsi="Times New Roman" w:cs="Times New Roman" w:hint="eastAsia"/>
          <w:color w:val="000000"/>
          <w:sz w:val="21"/>
          <w:szCs w:val="21"/>
        </w:rPr>
        <w:t xml:space="preserve"> </w:t>
      </w:r>
      <w:r w:rsidRPr="009F38EC">
        <w:rPr>
          <w:rFonts w:ascii="Times New Roman" w:hAnsi="Times New Roman" w:cs="Times New Roman" w:hint="eastAsia"/>
          <w:color w:val="000000"/>
        </w:rPr>
        <w:t>in the AML only dataset (n=63)</w:t>
      </w:r>
    </w:p>
    <w:p w14:paraId="2560051B" w14:textId="0C5FD2B0" w:rsidR="001F1C46" w:rsidRPr="009F38EC" w:rsidRDefault="001F1C46" w:rsidP="001F1C46">
      <w:pPr>
        <w:spacing w:line="360" w:lineRule="auto"/>
        <w:ind w:firstLineChars="0" w:firstLine="0"/>
        <w:rPr>
          <w:rFonts w:ascii="Times New Roman" w:hAnsi="Times New Roman"/>
          <w:color w:val="000000"/>
        </w:rPr>
      </w:pPr>
      <w:r w:rsidRPr="009F38EC">
        <w:rPr>
          <w:rFonts w:ascii="Times New Roman" w:hAnsi="Times New Roman" w:hint="eastAsia"/>
          <w:color w:val="000000"/>
        </w:rPr>
        <w:t xml:space="preserve">Notes: Left: black dots are the individual exposure metrics predicted based on actual dosing and individual PopPK model parameter estimates. Cmin, the </w:t>
      </w:r>
      <w:r w:rsidRPr="009F38EC">
        <w:rPr>
          <w:rFonts w:ascii="Times New Roman" w:hAnsi="Times New Roman"/>
          <w:color w:val="000000"/>
        </w:rPr>
        <w:t>minimum</w:t>
      </w:r>
      <w:r w:rsidRPr="009F38EC">
        <w:rPr>
          <w:rFonts w:ascii="Times New Roman" w:hAnsi="Times New Roman" w:hint="eastAsia"/>
          <w:color w:val="000000"/>
        </w:rPr>
        <w:t xml:space="preserve"> concentration during the steady state. Right: error bars are the 95% CI of ORR in the respective exposure quartile groups. Shaded areas of the logistic regression plots represent the 95% CI of the predicted ORR. Short vertical lines at the lower and upper part of the plotting area represent the exposure metrics in nonresponders and responders, respectively. The boxplots represent the concentration range in each dosage group</w:t>
      </w:r>
    </w:p>
    <w:p w14:paraId="58F7F257" w14:textId="06235E9B" w:rsidR="001F1C46" w:rsidRPr="009F38EC" w:rsidRDefault="001F1C46">
      <w:pPr>
        <w:spacing w:line="360" w:lineRule="auto"/>
        <w:ind w:firstLineChars="0" w:firstLine="0"/>
        <w:rPr>
          <w:rFonts w:ascii="Times New Roman" w:hAnsi="Times New Roman"/>
          <w:color w:val="000000"/>
        </w:rPr>
      </w:pPr>
      <w:r w:rsidRPr="009F38EC">
        <w:rPr>
          <w:rFonts w:ascii="Times New Roman" w:hAnsi="Times New Roman"/>
          <w:color w:val="000000"/>
        </w:rPr>
        <w:br w:type="page"/>
      </w:r>
    </w:p>
    <w:p w14:paraId="09DB5037" w14:textId="555D2AFD" w:rsidR="001F1C46" w:rsidRPr="009F38EC" w:rsidRDefault="001F1C46">
      <w:pPr>
        <w:spacing w:line="360" w:lineRule="auto"/>
        <w:ind w:firstLineChars="0" w:firstLine="0"/>
        <w:rPr>
          <w:rFonts w:ascii="Times New Roman" w:hAnsi="Times New Roman"/>
          <w:color w:val="000000"/>
        </w:rPr>
      </w:pPr>
      <w:r w:rsidRPr="009F38EC">
        <w:rPr>
          <w:rFonts w:ascii="Times New Roman" w:hAnsi="Times New Roman"/>
          <w:color w:val="000000"/>
        </w:rPr>
        <w:lastRenderedPageBreak/>
        <w:drawing>
          <wp:inline distT="0" distB="0" distL="0" distR="0" wp14:anchorId="0CC34A0D" wp14:editId="358C02EC">
            <wp:extent cx="5266690" cy="1976755"/>
            <wp:effectExtent l="0" t="0" r="0" b="4445"/>
            <wp:docPr id="4675614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1976755"/>
                    </a:xfrm>
                    <a:prstGeom prst="rect">
                      <a:avLst/>
                    </a:prstGeom>
                    <a:noFill/>
                    <a:ln>
                      <a:noFill/>
                    </a:ln>
                  </pic:spPr>
                </pic:pic>
              </a:graphicData>
            </a:graphic>
          </wp:inline>
        </w:drawing>
      </w:r>
    </w:p>
    <w:p w14:paraId="7F6F2CFE" w14:textId="25A10776" w:rsidR="001F1C46" w:rsidRPr="009F38EC" w:rsidRDefault="001F1C46" w:rsidP="001F1C46">
      <w:pPr>
        <w:ind w:firstLineChars="0" w:firstLine="0"/>
        <w:jc w:val="both"/>
        <w:rPr>
          <w:rFonts w:ascii="Times New Roman" w:hAnsi="Times New Roman" w:cs="Times New Roman"/>
          <w:color w:val="000000"/>
          <w:sz w:val="21"/>
          <w:szCs w:val="21"/>
        </w:rPr>
      </w:pPr>
      <w:r w:rsidRPr="009F38EC">
        <w:rPr>
          <w:rFonts w:ascii="Times New Roman" w:hAnsi="Times New Roman" w:cs="Times New Roman" w:hint="eastAsia"/>
          <w:b/>
          <w:bCs/>
          <w:color w:val="000000"/>
        </w:rPr>
        <w:t>Figure S8</w:t>
      </w:r>
      <w:r w:rsidRPr="009F38EC">
        <w:rPr>
          <w:rFonts w:ascii="Times New Roman" w:hAnsi="Times New Roman" w:cs="Times New Roman" w:hint="eastAsia"/>
          <w:color w:val="000000"/>
        </w:rPr>
        <w:t>. Exposure</w:t>
      </w:r>
      <w:r w:rsidRPr="009F38EC">
        <w:rPr>
          <w:rFonts w:ascii="Times New Roman" w:hAnsi="Times New Roman" w:cs="Times New Roman"/>
          <w:color w:val="000000"/>
        </w:rPr>
        <w:t>–</w:t>
      </w:r>
      <w:r w:rsidRPr="009F38EC">
        <w:rPr>
          <w:rFonts w:ascii="Times New Roman" w:hAnsi="Times New Roman" w:cs="Times New Roman" w:hint="eastAsia"/>
          <w:color w:val="000000"/>
        </w:rPr>
        <w:t xml:space="preserve">response relationship of the overall response in the patients who received the </w:t>
      </w:r>
      <w:r w:rsidRPr="009F38EC">
        <w:rPr>
          <w:rFonts w:ascii="Times New Roman" w:hAnsi="Times New Roman" w:hint="eastAsia"/>
          <w:color w:val="000000"/>
        </w:rPr>
        <w:t>venetoclax</w:t>
      </w:r>
      <w:r w:rsidRPr="009F38EC">
        <w:rPr>
          <w:rFonts w:ascii="Times New Roman" w:hAnsi="Times New Roman" w:cs="Times New Roman" w:hint="eastAsia"/>
          <w:color w:val="000000"/>
        </w:rPr>
        <w:t xml:space="preserve"> versus the predicted C</w:t>
      </w:r>
      <w:r w:rsidRPr="009F38EC">
        <w:rPr>
          <w:rFonts w:ascii="Times New Roman" w:hAnsi="Times New Roman" w:cs="Times New Roman" w:hint="eastAsia"/>
          <w:color w:val="000000"/>
          <w:vertAlign w:val="subscript"/>
        </w:rPr>
        <w:t>ave</w:t>
      </w:r>
      <w:r w:rsidRPr="009F38EC">
        <w:rPr>
          <w:rFonts w:ascii="Times New Roman" w:hAnsi="Times New Roman" w:cs="Times New Roman" w:hint="eastAsia"/>
          <w:color w:val="000000"/>
          <w:sz w:val="21"/>
          <w:szCs w:val="21"/>
        </w:rPr>
        <w:t xml:space="preserve"> </w:t>
      </w:r>
      <w:r w:rsidRPr="009F38EC">
        <w:rPr>
          <w:rFonts w:ascii="Times New Roman" w:hAnsi="Times New Roman" w:cs="Times New Roman" w:hint="eastAsia"/>
          <w:color w:val="000000"/>
        </w:rPr>
        <w:t>in the full dataset (n=76)</w:t>
      </w:r>
    </w:p>
    <w:p w14:paraId="4CAF2398" w14:textId="40896484" w:rsidR="001F1C46" w:rsidRPr="009F38EC" w:rsidRDefault="001F1C46" w:rsidP="003B5CFD">
      <w:pPr>
        <w:spacing w:afterLines="100" w:after="326"/>
        <w:ind w:firstLineChars="0" w:firstLine="0"/>
        <w:jc w:val="both"/>
        <w:rPr>
          <w:rFonts w:ascii="Times New Roman" w:hAnsi="Times New Roman"/>
          <w:color w:val="000000"/>
        </w:rPr>
      </w:pPr>
      <w:r w:rsidRPr="009F38EC">
        <w:rPr>
          <w:rFonts w:ascii="Times New Roman" w:hAnsi="Times New Roman" w:hint="eastAsia"/>
          <w:color w:val="000000"/>
        </w:rPr>
        <w:t>Notes: Left: black dots are the individual exposure metrics predicted based on actual dosing and individual PopPK model parameter estimates. Cave, the average concentration during the steady state. Right: error bars are the 95% CI of ORR in the respective exposure quartile groups. Shaded areas of the logistic regression plots represent the 95% CI of the predicted ORR. Short vertical lines at the lower and upper part of the plotting area represent the exposure metrics in nonresponders and responders, respectively. The boxplots represent the concentration range in each dosage group.</w:t>
      </w:r>
    </w:p>
    <w:p w14:paraId="1CCB44ED" w14:textId="23839441" w:rsidR="001F1C46" w:rsidRPr="009F38EC" w:rsidRDefault="001F1C46">
      <w:pPr>
        <w:spacing w:line="360" w:lineRule="auto"/>
        <w:ind w:firstLineChars="0" w:firstLine="0"/>
        <w:rPr>
          <w:rFonts w:ascii="Times New Roman" w:hAnsi="Times New Roman"/>
          <w:color w:val="000000"/>
        </w:rPr>
      </w:pPr>
      <w:r w:rsidRPr="009F38EC">
        <w:rPr>
          <w:rFonts w:ascii="Times New Roman" w:hAnsi="Times New Roman"/>
          <w:color w:val="000000"/>
        </w:rPr>
        <w:br w:type="page"/>
      </w:r>
    </w:p>
    <w:p w14:paraId="56BD00FD" w14:textId="05AC7A0F" w:rsidR="00A05E03" w:rsidRPr="009F38EC" w:rsidRDefault="00237D69" w:rsidP="00A05E03">
      <w:pPr>
        <w:spacing w:after="0"/>
        <w:ind w:firstLineChars="0" w:firstLine="0"/>
        <w:rPr>
          <w:rFonts w:ascii="Times New Roman" w:hAnsi="Times New Roman"/>
          <w:color w:val="000000"/>
        </w:rPr>
      </w:pPr>
      <w:r w:rsidRPr="009F38EC">
        <w:rPr>
          <w:rFonts w:ascii="Times New Roman" w:hAnsi="Times New Roman" w:hint="eastAsia"/>
          <w:color w:val="000000"/>
        </w:rPr>
        <w:lastRenderedPageBreak/>
        <w:drawing>
          <wp:inline distT="0" distB="0" distL="0" distR="0" wp14:anchorId="5F87E6D2" wp14:editId="7DAC3CC5">
            <wp:extent cx="5266690" cy="1977390"/>
            <wp:effectExtent l="0" t="0" r="0" b="0"/>
            <wp:docPr id="322030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1977390"/>
                    </a:xfrm>
                    <a:prstGeom prst="rect">
                      <a:avLst/>
                    </a:prstGeom>
                    <a:noFill/>
                    <a:ln>
                      <a:noFill/>
                    </a:ln>
                  </pic:spPr>
                </pic:pic>
              </a:graphicData>
            </a:graphic>
          </wp:inline>
        </w:drawing>
      </w:r>
    </w:p>
    <w:p w14:paraId="09C707A1" w14:textId="0869B434" w:rsidR="005053AF" w:rsidRPr="009F38EC" w:rsidRDefault="005053AF" w:rsidP="003B5CFD">
      <w:pPr>
        <w:ind w:firstLineChars="0" w:firstLine="0"/>
        <w:jc w:val="both"/>
        <w:rPr>
          <w:rFonts w:ascii="Times New Roman" w:hAnsi="Times New Roman" w:cs="Times New Roman"/>
          <w:color w:val="000000"/>
        </w:rPr>
      </w:pPr>
      <w:r w:rsidRPr="009F38EC">
        <w:rPr>
          <w:rFonts w:ascii="Times New Roman" w:hAnsi="Times New Roman" w:cs="Times New Roman" w:hint="eastAsia"/>
          <w:b/>
          <w:bCs/>
          <w:color w:val="000000"/>
        </w:rPr>
        <w:t xml:space="preserve">Figure </w:t>
      </w:r>
      <w:r w:rsidR="00CF3809" w:rsidRPr="009F38EC">
        <w:rPr>
          <w:rFonts w:ascii="Times New Roman" w:hAnsi="Times New Roman" w:cs="Times New Roman" w:hint="eastAsia"/>
          <w:b/>
          <w:bCs/>
          <w:color w:val="000000"/>
        </w:rPr>
        <w:t>S</w:t>
      </w:r>
      <w:r w:rsidR="001F1C46" w:rsidRPr="009F38EC">
        <w:rPr>
          <w:rFonts w:ascii="Times New Roman" w:hAnsi="Times New Roman" w:cs="Times New Roman" w:hint="eastAsia"/>
          <w:b/>
          <w:bCs/>
          <w:color w:val="000000"/>
        </w:rPr>
        <w:t>9</w:t>
      </w:r>
      <w:r w:rsidRPr="009F38EC">
        <w:rPr>
          <w:rFonts w:ascii="Times New Roman" w:hAnsi="Times New Roman" w:cs="Times New Roman" w:hint="eastAsia"/>
          <w:color w:val="000000"/>
        </w:rPr>
        <w:t>. Exposure</w:t>
      </w:r>
      <w:r w:rsidRPr="009F38EC">
        <w:rPr>
          <w:rFonts w:ascii="Times New Roman" w:hAnsi="Times New Roman" w:cs="Times New Roman"/>
          <w:color w:val="000000"/>
        </w:rPr>
        <w:t>–</w:t>
      </w:r>
      <w:r w:rsidRPr="009F38EC">
        <w:rPr>
          <w:rFonts w:ascii="Times New Roman" w:hAnsi="Times New Roman" w:cs="Times New Roman" w:hint="eastAsia"/>
          <w:color w:val="000000"/>
        </w:rPr>
        <w:t xml:space="preserve">response relationship of the overall response in the patients who received the </w:t>
      </w:r>
      <w:r w:rsidR="00CF3809" w:rsidRPr="009F38EC">
        <w:rPr>
          <w:rFonts w:ascii="Times New Roman" w:hAnsi="Times New Roman" w:hint="eastAsia"/>
          <w:color w:val="000000"/>
        </w:rPr>
        <w:t>venetoclax</w:t>
      </w:r>
      <w:r w:rsidRPr="009F38EC">
        <w:rPr>
          <w:rFonts w:ascii="Times New Roman" w:hAnsi="Times New Roman" w:cs="Times New Roman" w:hint="eastAsia"/>
          <w:color w:val="000000"/>
        </w:rPr>
        <w:t xml:space="preserve"> versus the predicted C</w:t>
      </w:r>
      <w:r w:rsidRPr="009F38EC">
        <w:rPr>
          <w:rFonts w:ascii="Times New Roman" w:hAnsi="Times New Roman" w:cs="Times New Roman" w:hint="eastAsia"/>
          <w:color w:val="000000"/>
          <w:vertAlign w:val="subscript"/>
        </w:rPr>
        <w:t>min</w:t>
      </w:r>
      <w:r w:rsidRPr="009F38EC">
        <w:rPr>
          <w:rFonts w:ascii="Times New Roman" w:hAnsi="Times New Roman" w:cs="Times New Roman" w:hint="eastAsia"/>
          <w:color w:val="000000"/>
          <w:sz w:val="21"/>
          <w:szCs w:val="21"/>
        </w:rPr>
        <w:t xml:space="preserve"> </w:t>
      </w:r>
      <w:r w:rsidR="001F1C46" w:rsidRPr="009F38EC">
        <w:rPr>
          <w:rFonts w:ascii="Times New Roman" w:hAnsi="Times New Roman" w:cs="Times New Roman"/>
          <w:color w:val="000000"/>
        </w:rPr>
        <w:t>in the full dataset (n=76)</w:t>
      </w:r>
    </w:p>
    <w:p w14:paraId="70DD14F6" w14:textId="5A32F6E5" w:rsidR="004022A0" w:rsidRPr="009F38EC" w:rsidRDefault="005053AF">
      <w:pPr>
        <w:spacing w:afterLines="100" w:after="326"/>
        <w:ind w:firstLineChars="0" w:firstLine="0"/>
        <w:jc w:val="both"/>
        <w:rPr>
          <w:rFonts w:ascii="Times New Roman" w:hAnsi="Times New Roman"/>
          <w:color w:val="000000"/>
        </w:rPr>
        <w:sectPr w:rsidR="004022A0" w:rsidRPr="009F38EC" w:rsidSect="003B5CFD">
          <w:pgSz w:w="11906" w:h="16838"/>
          <w:pgMar w:top="1440" w:right="1797" w:bottom="1440" w:left="1797" w:header="851" w:footer="992" w:gutter="0"/>
          <w:lnNumType w:countBy="1" w:restart="continuous"/>
          <w:cols w:space="425"/>
          <w:docGrid w:type="lines" w:linePitch="326"/>
        </w:sectPr>
      </w:pPr>
      <w:r w:rsidRPr="009F38EC">
        <w:rPr>
          <w:rFonts w:ascii="Times New Roman" w:hAnsi="Times New Roman" w:hint="eastAsia"/>
          <w:color w:val="000000"/>
        </w:rPr>
        <w:t xml:space="preserve">Notes: Left: black dots are the individual exposure metrics predicted based on actual dosing and individual PopPK model parameter estimates. Cmin, the </w:t>
      </w:r>
      <w:r w:rsidR="001F1C46" w:rsidRPr="009F38EC">
        <w:rPr>
          <w:rFonts w:ascii="Times New Roman" w:hAnsi="Times New Roman"/>
          <w:color w:val="000000"/>
        </w:rPr>
        <w:t>minimum</w:t>
      </w:r>
      <w:r w:rsidR="001F1C46" w:rsidRPr="009F38EC">
        <w:rPr>
          <w:rFonts w:ascii="Times New Roman" w:hAnsi="Times New Roman" w:hint="eastAsia"/>
          <w:color w:val="000000"/>
        </w:rPr>
        <w:t xml:space="preserve"> </w:t>
      </w:r>
      <w:r w:rsidRPr="009F38EC">
        <w:rPr>
          <w:rFonts w:ascii="Times New Roman" w:hAnsi="Times New Roman" w:hint="eastAsia"/>
          <w:color w:val="000000"/>
        </w:rPr>
        <w:t>concentration during the steady state. Right: error bars are the 95% CI of ORR in the respective exposure quartile groups. Shaded areas of the logistic regression plots represent the 95% CI of the predicted ORR. Short vertical lines at the lower and upper part of the plotting area represent the exposure metrics in nonresponders and responders, respectively. The boxplots represent the concentration range in each dosage group.</w:t>
      </w:r>
    </w:p>
    <w:p w14:paraId="19996434" w14:textId="5D62FC46" w:rsidR="001F1C46" w:rsidRPr="009F38EC" w:rsidRDefault="001F1C46" w:rsidP="001F1C46">
      <w:pPr>
        <w:spacing w:afterLines="50" w:after="163"/>
        <w:ind w:firstLineChars="0" w:firstLine="0"/>
        <w:jc w:val="both"/>
        <w:rPr>
          <w:rFonts w:ascii="Times New Roman" w:hAnsi="Times New Roman"/>
          <w:color w:val="000000"/>
        </w:rPr>
      </w:pPr>
      <w:r w:rsidRPr="009F38EC">
        <w:rPr>
          <w:rFonts w:ascii="Times New Roman" w:hAnsi="Times New Roman" w:hint="eastAsia"/>
          <w:b/>
          <w:bCs/>
          <w:color w:val="000000"/>
        </w:rPr>
        <w:lastRenderedPageBreak/>
        <w:t>Table S1</w:t>
      </w:r>
      <w:r w:rsidRPr="009F38EC">
        <w:rPr>
          <w:rFonts w:ascii="Times New Roman" w:hAnsi="Times New Roman" w:hint="eastAsia"/>
          <w:color w:val="000000"/>
        </w:rPr>
        <w:t>. Venetoclax Dose and Concomitant Chemotherapy Regimens in patients diagnosis with acute myeloid leukemia.</w:t>
      </w:r>
    </w:p>
    <w:tbl>
      <w:tblPr>
        <w:tblW w:w="5000" w:type="pct"/>
        <w:tblBorders>
          <w:top w:val="single" w:sz="12" w:space="0" w:color="auto"/>
          <w:bottom w:val="single" w:sz="12" w:space="0" w:color="auto"/>
        </w:tblBorders>
        <w:tblLook w:val="04A0" w:firstRow="1" w:lastRow="0" w:firstColumn="1" w:lastColumn="0" w:noHBand="0" w:noVBand="1"/>
      </w:tblPr>
      <w:tblGrid>
        <w:gridCol w:w="2777"/>
        <w:gridCol w:w="8657"/>
        <w:gridCol w:w="2524"/>
      </w:tblGrid>
      <w:tr w:rsidR="001F1C46" w:rsidRPr="009F38EC" w14:paraId="2A4C616E" w14:textId="77777777" w:rsidTr="00724399">
        <w:trPr>
          <w:trHeight w:val="270"/>
        </w:trPr>
        <w:tc>
          <w:tcPr>
            <w:tcW w:w="995" w:type="pct"/>
            <w:tcBorders>
              <w:top w:val="single" w:sz="12" w:space="0" w:color="auto"/>
              <w:bottom w:val="single" w:sz="6" w:space="0" w:color="auto"/>
            </w:tcBorders>
            <w:vAlign w:val="center"/>
            <w:hideMark/>
          </w:tcPr>
          <w:p w14:paraId="2CA5D01F" w14:textId="77777777" w:rsidR="001F1C46" w:rsidRPr="009F38EC" w:rsidRDefault="001F1C46" w:rsidP="00724399">
            <w:pPr>
              <w:spacing w:after="0"/>
              <w:ind w:firstLineChars="0" w:firstLine="0"/>
              <w:jc w:val="center"/>
              <w:rPr>
                <w:rFonts w:ascii="Times New Roman" w:eastAsia="SimSun" w:hAnsi="Times New Roman" w:cs="Times New Roman"/>
                <w:b/>
                <w:bCs/>
                <w:color w:val="000000"/>
                <w:kern w:val="0"/>
                <w:sz w:val="22"/>
                <w:szCs w:val="22"/>
                <w14:ligatures w14:val="none"/>
              </w:rPr>
            </w:pPr>
            <w:r w:rsidRPr="009F38EC">
              <w:rPr>
                <w:rFonts w:ascii="Times New Roman" w:eastAsia="SimSun" w:hAnsi="Times New Roman" w:cs="Times New Roman" w:hint="eastAsia"/>
                <w:b/>
                <w:bCs/>
                <w:color w:val="000000"/>
                <w:kern w:val="0"/>
                <w:sz w:val="22"/>
                <w:szCs w:val="22"/>
                <w14:ligatures w14:val="none"/>
              </w:rPr>
              <w:t>Venetoclax Dose (mg)</w:t>
            </w:r>
          </w:p>
        </w:tc>
        <w:tc>
          <w:tcPr>
            <w:tcW w:w="3101" w:type="pct"/>
            <w:tcBorders>
              <w:top w:val="single" w:sz="12" w:space="0" w:color="auto"/>
              <w:bottom w:val="single" w:sz="6" w:space="0" w:color="auto"/>
            </w:tcBorders>
            <w:vAlign w:val="center"/>
            <w:hideMark/>
          </w:tcPr>
          <w:p w14:paraId="702DF5B3" w14:textId="77777777" w:rsidR="001F1C46" w:rsidRPr="009F38EC" w:rsidRDefault="001F1C46" w:rsidP="00724399">
            <w:pPr>
              <w:spacing w:after="0"/>
              <w:ind w:firstLineChars="0" w:firstLine="0"/>
              <w:jc w:val="center"/>
              <w:rPr>
                <w:rFonts w:ascii="Times New Roman" w:eastAsia="SimSun" w:hAnsi="Times New Roman" w:cs="Times New Roman"/>
                <w:b/>
                <w:bCs/>
                <w:color w:val="000000"/>
                <w:kern w:val="0"/>
                <w:sz w:val="22"/>
                <w:szCs w:val="22"/>
                <w14:ligatures w14:val="none"/>
              </w:rPr>
            </w:pPr>
            <w:r w:rsidRPr="009F38EC">
              <w:rPr>
                <w:rFonts w:ascii="Times New Roman" w:eastAsia="SimSun" w:hAnsi="Times New Roman" w:cs="Times New Roman" w:hint="eastAsia"/>
                <w:b/>
                <w:bCs/>
                <w:color w:val="000000"/>
                <w:kern w:val="0"/>
                <w:sz w:val="22"/>
                <w:szCs w:val="22"/>
                <w14:ligatures w14:val="none"/>
              </w:rPr>
              <w:t>Concomitant Chemotherapy Regimen</w:t>
            </w:r>
          </w:p>
        </w:tc>
        <w:tc>
          <w:tcPr>
            <w:tcW w:w="904" w:type="pct"/>
            <w:tcBorders>
              <w:top w:val="single" w:sz="12" w:space="0" w:color="auto"/>
              <w:bottom w:val="single" w:sz="6" w:space="0" w:color="auto"/>
            </w:tcBorders>
            <w:vAlign w:val="center"/>
            <w:hideMark/>
          </w:tcPr>
          <w:p w14:paraId="2E37B5F6" w14:textId="77777777" w:rsidR="001F1C46" w:rsidRPr="009F38EC" w:rsidRDefault="001F1C46" w:rsidP="00724399">
            <w:pPr>
              <w:spacing w:after="0"/>
              <w:ind w:firstLineChars="0" w:firstLine="0"/>
              <w:jc w:val="right"/>
              <w:rPr>
                <w:rFonts w:ascii="Times New Roman" w:eastAsia="SimSun" w:hAnsi="Times New Roman" w:cs="Times New Roman"/>
                <w:b/>
                <w:bCs/>
                <w:color w:val="000000"/>
                <w:kern w:val="0"/>
                <w:sz w:val="22"/>
                <w:szCs w:val="22"/>
                <w14:ligatures w14:val="none"/>
              </w:rPr>
            </w:pPr>
            <w:r w:rsidRPr="009F38EC">
              <w:rPr>
                <w:rFonts w:ascii="Times New Roman" w:eastAsia="SimSun" w:hAnsi="Times New Roman" w:cs="Times New Roman" w:hint="eastAsia"/>
                <w:b/>
                <w:bCs/>
                <w:color w:val="000000"/>
                <w:kern w:val="0"/>
                <w:sz w:val="22"/>
                <w:szCs w:val="22"/>
                <w14:ligatures w14:val="none"/>
              </w:rPr>
              <w:t>Number of Patients</w:t>
            </w:r>
          </w:p>
        </w:tc>
      </w:tr>
      <w:tr w:rsidR="001F1C46" w:rsidRPr="009F38EC" w14:paraId="274004CB" w14:textId="77777777" w:rsidTr="00724399">
        <w:trPr>
          <w:trHeight w:val="270"/>
        </w:trPr>
        <w:tc>
          <w:tcPr>
            <w:tcW w:w="995" w:type="pct"/>
            <w:tcBorders>
              <w:top w:val="single" w:sz="6" w:space="0" w:color="auto"/>
            </w:tcBorders>
            <w:vAlign w:val="center"/>
            <w:hideMark/>
          </w:tcPr>
          <w:p w14:paraId="4F42823D"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400</w:t>
            </w:r>
          </w:p>
        </w:tc>
        <w:tc>
          <w:tcPr>
            <w:tcW w:w="3101" w:type="pct"/>
            <w:tcBorders>
              <w:top w:val="single" w:sz="6" w:space="0" w:color="auto"/>
            </w:tcBorders>
            <w:vAlign w:val="center"/>
            <w:hideMark/>
          </w:tcPr>
          <w:p w14:paraId="458B50BA"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w:t>
            </w:r>
          </w:p>
        </w:tc>
        <w:tc>
          <w:tcPr>
            <w:tcW w:w="904" w:type="pct"/>
            <w:tcBorders>
              <w:top w:val="single" w:sz="6" w:space="0" w:color="auto"/>
            </w:tcBorders>
            <w:vAlign w:val="center"/>
            <w:hideMark/>
          </w:tcPr>
          <w:p w14:paraId="0CA4BEFF" w14:textId="47E66995"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29</w:t>
            </w:r>
          </w:p>
        </w:tc>
      </w:tr>
      <w:tr w:rsidR="001F1C46" w:rsidRPr="009F38EC" w14:paraId="54AB3337" w14:textId="77777777" w:rsidTr="00724399">
        <w:trPr>
          <w:trHeight w:val="270"/>
        </w:trPr>
        <w:tc>
          <w:tcPr>
            <w:tcW w:w="995" w:type="pct"/>
            <w:vAlign w:val="center"/>
            <w:hideMark/>
          </w:tcPr>
          <w:p w14:paraId="5E04B683"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400</w:t>
            </w:r>
          </w:p>
        </w:tc>
        <w:tc>
          <w:tcPr>
            <w:tcW w:w="3101" w:type="pct"/>
            <w:vAlign w:val="center"/>
            <w:hideMark/>
          </w:tcPr>
          <w:p w14:paraId="75DAA677"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Aclarubicin + Cytarabine</w:t>
            </w:r>
          </w:p>
        </w:tc>
        <w:tc>
          <w:tcPr>
            <w:tcW w:w="904" w:type="pct"/>
            <w:vAlign w:val="center"/>
            <w:hideMark/>
          </w:tcPr>
          <w:p w14:paraId="60310C21"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w:t>
            </w:r>
          </w:p>
        </w:tc>
      </w:tr>
      <w:tr w:rsidR="001F1C46" w:rsidRPr="009F38EC" w14:paraId="5115FEDD" w14:textId="77777777" w:rsidTr="00724399">
        <w:trPr>
          <w:trHeight w:val="270"/>
        </w:trPr>
        <w:tc>
          <w:tcPr>
            <w:tcW w:w="995" w:type="pct"/>
            <w:vAlign w:val="center"/>
            <w:hideMark/>
          </w:tcPr>
          <w:p w14:paraId="46D8AE08"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400</w:t>
            </w:r>
          </w:p>
        </w:tc>
        <w:tc>
          <w:tcPr>
            <w:tcW w:w="3101" w:type="pct"/>
            <w:vAlign w:val="center"/>
            <w:hideMark/>
          </w:tcPr>
          <w:p w14:paraId="019935B6"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Idarubicin + Cytarabine</w:t>
            </w:r>
          </w:p>
        </w:tc>
        <w:tc>
          <w:tcPr>
            <w:tcW w:w="904" w:type="pct"/>
            <w:vAlign w:val="center"/>
            <w:hideMark/>
          </w:tcPr>
          <w:p w14:paraId="6DAE418F" w14:textId="18AD73B6"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3</w:t>
            </w:r>
          </w:p>
        </w:tc>
      </w:tr>
      <w:tr w:rsidR="001F1C46" w:rsidRPr="009F38EC" w14:paraId="125AB174" w14:textId="77777777" w:rsidTr="00724399">
        <w:trPr>
          <w:trHeight w:val="270"/>
        </w:trPr>
        <w:tc>
          <w:tcPr>
            <w:tcW w:w="995" w:type="pct"/>
            <w:vAlign w:val="center"/>
            <w:hideMark/>
          </w:tcPr>
          <w:p w14:paraId="53DF49AA"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400</w:t>
            </w:r>
          </w:p>
        </w:tc>
        <w:tc>
          <w:tcPr>
            <w:tcW w:w="3101" w:type="pct"/>
            <w:vAlign w:val="center"/>
            <w:hideMark/>
          </w:tcPr>
          <w:p w14:paraId="3819CF62"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Homoharringtonine + Azacitidine</w:t>
            </w:r>
          </w:p>
        </w:tc>
        <w:tc>
          <w:tcPr>
            <w:tcW w:w="904" w:type="pct"/>
            <w:vAlign w:val="center"/>
            <w:hideMark/>
          </w:tcPr>
          <w:p w14:paraId="5135A729" w14:textId="0640AF39"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3</w:t>
            </w:r>
          </w:p>
        </w:tc>
      </w:tr>
      <w:tr w:rsidR="001F1C46" w:rsidRPr="009F38EC" w14:paraId="76DA2C30" w14:textId="77777777" w:rsidTr="00724399">
        <w:trPr>
          <w:trHeight w:val="270"/>
        </w:trPr>
        <w:tc>
          <w:tcPr>
            <w:tcW w:w="995" w:type="pct"/>
            <w:vAlign w:val="center"/>
            <w:hideMark/>
          </w:tcPr>
          <w:p w14:paraId="3C5675A6"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400</w:t>
            </w:r>
          </w:p>
        </w:tc>
        <w:tc>
          <w:tcPr>
            <w:tcW w:w="3101" w:type="pct"/>
            <w:vAlign w:val="center"/>
            <w:hideMark/>
          </w:tcPr>
          <w:p w14:paraId="5BEC3838"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Homoharringtonine + Cytarabine</w:t>
            </w:r>
          </w:p>
        </w:tc>
        <w:tc>
          <w:tcPr>
            <w:tcW w:w="904" w:type="pct"/>
            <w:vAlign w:val="center"/>
            <w:hideMark/>
          </w:tcPr>
          <w:p w14:paraId="1035B129"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3</w:t>
            </w:r>
          </w:p>
        </w:tc>
      </w:tr>
      <w:tr w:rsidR="001F1C46" w:rsidRPr="009F38EC" w14:paraId="518D684C" w14:textId="77777777" w:rsidTr="00724399">
        <w:trPr>
          <w:trHeight w:val="270"/>
        </w:trPr>
        <w:tc>
          <w:tcPr>
            <w:tcW w:w="995" w:type="pct"/>
            <w:vAlign w:val="center"/>
            <w:hideMark/>
          </w:tcPr>
          <w:p w14:paraId="5CD5F76E"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400</w:t>
            </w:r>
          </w:p>
        </w:tc>
        <w:tc>
          <w:tcPr>
            <w:tcW w:w="3101" w:type="pct"/>
            <w:vAlign w:val="center"/>
            <w:hideMark/>
          </w:tcPr>
          <w:p w14:paraId="17820D0E"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Methotrexate + Vindesine + Thiotepa</w:t>
            </w:r>
          </w:p>
        </w:tc>
        <w:tc>
          <w:tcPr>
            <w:tcW w:w="904" w:type="pct"/>
            <w:vAlign w:val="center"/>
            <w:hideMark/>
          </w:tcPr>
          <w:p w14:paraId="733BA09C"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w:t>
            </w:r>
          </w:p>
        </w:tc>
      </w:tr>
      <w:tr w:rsidR="001F1C46" w:rsidRPr="009F38EC" w14:paraId="73BE0D0C" w14:textId="77777777" w:rsidTr="00724399">
        <w:trPr>
          <w:trHeight w:val="270"/>
        </w:trPr>
        <w:tc>
          <w:tcPr>
            <w:tcW w:w="995" w:type="pct"/>
            <w:vAlign w:val="center"/>
            <w:hideMark/>
          </w:tcPr>
          <w:p w14:paraId="366CA304"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300</w:t>
            </w:r>
          </w:p>
        </w:tc>
        <w:tc>
          <w:tcPr>
            <w:tcW w:w="3101" w:type="pct"/>
            <w:vAlign w:val="center"/>
            <w:hideMark/>
          </w:tcPr>
          <w:p w14:paraId="00B6958B"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w:t>
            </w:r>
          </w:p>
        </w:tc>
        <w:tc>
          <w:tcPr>
            <w:tcW w:w="904" w:type="pct"/>
            <w:vAlign w:val="center"/>
            <w:hideMark/>
          </w:tcPr>
          <w:p w14:paraId="779394BD"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w:t>
            </w:r>
          </w:p>
        </w:tc>
      </w:tr>
      <w:tr w:rsidR="001F1C46" w:rsidRPr="009F38EC" w14:paraId="21B857E8" w14:textId="77777777" w:rsidTr="00724399">
        <w:trPr>
          <w:trHeight w:val="270"/>
        </w:trPr>
        <w:tc>
          <w:tcPr>
            <w:tcW w:w="995" w:type="pct"/>
            <w:vAlign w:val="center"/>
            <w:hideMark/>
          </w:tcPr>
          <w:p w14:paraId="5D076A70"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200</w:t>
            </w:r>
          </w:p>
        </w:tc>
        <w:tc>
          <w:tcPr>
            <w:tcW w:w="3101" w:type="pct"/>
            <w:vAlign w:val="center"/>
            <w:hideMark/>
          </w:tcPr>
          <w:p w14:paraId="008B25E1"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w:t>
            </w:r>
          </w:p>
        </w:tc>
        <w:tc>
          <w:tcPr>
            <w:tcW w:w="904" w:type="pct"/>
            <w:vAlign w:val="center"/>
            <w:hideMark/>
          </w:tcPr>
          <w:p w14:paraId="7538DE62" w14:textId="6A60EE1D"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6</w:t>
            </w:r>
          </w:p>
        </w:tc>
      </w:tr>
      <w:tr w:rsidR="001F1C46" w:rsidRPr="009F38EC" w14:paraId="7BE45BA3" w14:textId="77777777" w:rsidTr="00724399">
        <w:trPr>
          <w:trHeight w:val="270"/>
        </w:trPr>
        <w:tc>
          <w:tcPr>
            <w:tcW w:w="995" w:type="pct"/>
            <w:vAlign w:val="center"/>
            <w:hideMark/>
          </w:tcPr>
          <w:p w14:paraId="38111980"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200</w:t>
            </w:r>
          </w:p>
        </w:tc>
        <w:tc>
          <w:tcPr>
            <w:tcW w:w="3101" w:type="pct"/>
            <w:vAlign w:val="center"/>
            <w:hideMark/>
          </w:tcPr>
          <w:p w14:paraId="030C2283"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Homoharringtonine + Cytarabine + Decitabine</w:t>
            </w:r>
          </w:p>
        </w:tc>
        <w:tc>
          <w:tcPr>
            <w:tcW w:w="904" w:type="pct"/>
            <w:vAlign w:val="center"/>
            <w:hideMark/>
          </w:tcPr>
          <w:p w14:paraId="0394BB5C"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w:t>
            </w:r>
          </w:p>
        </w:tc>
      </w:tr>
      <w:tr w:rsidR="001F1C46" w:rsidRPr="009F38EC" w14:paraId="65F087B2" w14:textId="77777777" w:rsidTr="00724399">
        <w:trPr>
          <w:trHeight w:val="270"/>
        </w:trPr>
        <w:tc>
          <w:tcPr>
            <w:tcW w:w="995" w:type="pct"/>
            <w:vAlign w:val="center"/>
            <w:hideMark/>
          </w:tcPr>
          <w:p w14:paraId="029C7B4A"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200</w:t>
            </w:r>
          </w:p>
        </w:tc>
        <w:tc>
          <w:tcPr>
            <w:tcW w:w="3101" w:type="pct"/>
            <w:vAlign w:val="center"/>
            <w:hideMark/>
          </w:tcPr>
          <w:p w14:paraId="48326C9F"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 + Homoharringtonine</w:t>
            </w:r>
          </w:p>
        </w:tc>
        <w:tc>
          <w:tcPr>
            <w:tcW w:w="904" w:type="pct"/>
            <w:vAlign w:val="center"/>
            <w:hideMark/>
          </w:tcPr>
          <w:p w14:paraId="517DE615" w14:textId="22375395"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5</w:t>
            </w:r>
          </w:p>
        </w:tc>
      </w:tr>
      <w:tr w:rsidR="001F1C46" w:rsidRPr="009F38EC" w14:paraId="4F424E41" w14:textId="77777777" w:rsidTr="00724399">
        <w:trPr>
          <w:trHeight w:val="270"/>
        </w:trPr>
        <w:tc>
          <w:tcPr>
            <w:tcW w:w="995" w:type="pct"/>
            <w:vAlign w:val="center"/>
            <w:hideMark/>
          </w:tcPr>
          <w:p w14:paraId="5792B039"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200</w:t>
            </w:r>
          </w:p>
        </w:tc>
        <w:tc>
          <w:tcPr>
            <w:tcW w:w="3101" w:type="pct"/>
            <w:vAlign w:val="center"/>
            <w:hideMark/>
          </w:tcPr>
          <w:p w14:paraId="317F5E83"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Vincristine + Daunorubicin</w:t>
            </w:r>
          </w:p>
        </w:tc>
        <w:tc>
          <w:tcPr>
            <w:tcW w:w="904" w:type="pct"/>
            <w:vAlign w:val="center"/>
            <w:hideMark/>
          </w:tcPr>
          <w:p w14:paraId="7E599F54"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w:t>
            </w:r>
          </w:p>
        </w:tc>
      </w:tr>
      <w:tr w:rsidR="001F1C46" w:rsidRPr="009F38EC" w14:paraId="6B107EDD" w14:textId="77777777" w:rsidTr="00724399">
        <w:trPr>
          <w:trHeight w:val="315"/>
        </w:trPr>
        <w:tc>
          <w:tcPr>
            <w:tcW w:w="995" w:type="pct"/>
            <w:vAlign w:val="center"/>
            <w:hideMark/>
          </w:tcPr>
          <w:p w14:paraId="3DC0ED74"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100</w:t>
            </w:r>
          </w:p>
        </w:tc>
        <w:tc>
          <w:tcPr>
            <w:tcW w:w="3101" w:type="pct"/>
            <w:vAlign w:val="center"/>
            <w:hideMark/>
          </w:tcPr>
          <w:p w14:paraId="2D624CD0"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Cytarabine</w:t>
            </w:r>
          </w:p>
        </w:tc>
        <w:tc>
          <w:tcPr>
            <w:tcW w:w="904" w:type="pct"/>
            <w:vAlign w:val="center"/>
            <w:hideMark/>
          </w:tcPr>
          <w:p w14:paraId="2F29A0F4" w14:textId="32FB1A2F"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w:t>
            </w:r>
          </w:p>
        </w:tc>
      </w:tr>
      <w:tr w:rsidR="001F1C46" w:rsidRPr="009F38EC" w14:paraId="3053BDAF" w14:textId="77777777" w:rsidTr="00724399">
        <w:trPr>
          <w:trHeight w:val="315"/>
        </w:trPr>
        <w:tc>
          <w:tcPr>
            <w:tcW w:w="995" w:type="pct"/>
            <w:vAlign w:val="center"/>
            <w:hideMark/>
          </w:tcPr>
          <w:p w14:paraId="72DFD666"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100</w:t>
            </w:r>
          </w:p>
        </w:tc>
        <w:tc>
          <w:tcPr>
            <w:tcW w:w="3101" w:type="pct"/>
            <w:vAlign w:val="center"/>
            <w:hideMark/>
          </w:tcPr>
          <w:p w14:paraId="1030F979"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w:t>
            </w:r>
          </w:p>
        </w:tc>
        <w:tc>
          <w:tcPr>
            <w:tcW w:w="904" w:type="pct"/>
            <w:vAlign w:val="center"/>
            <w:hideMark/>
          </w:tcPr>
          <w:p w14:paraId="41DF5885" w14:textId="77F15E2C"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4</w:t>
            </w:r>
          </w:p>
        </w:tc>
      </w:tr>
      <w:tr w:rsidR="001F1C46" w:rsidRPr="009F38EC" w14:paraId="4548842D" w14:textId="77777777" w:rsidTr="00724399">
        <w:trPr>
          <w:trHeight w:val="315"/>
        </w:trPr>
        <w:tc>
          <w:tcPr>
            <w:tcW w:w="995" w:type="pct"/>
            <w:vAlign w:val="center"/>
            <w:hideMark/>
          </w:tcPr>
          <w:p w14:paraId="17A0B479"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100</w:t>
            </w:r>
          </w:p>
        </w:tc>
        <w:tc>
          <w:tcPr>
            <w:tcW w:w="3101" w:type="pct"/>
            <w:vAlign w:val="center"/>
            <w:hideMark/>
          </w:tcPr>
          <w:p w14:paraId="0B384DE4"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 + Homoharringtonine</w:t>
            </w:r>
          </w:p>
        </w:tc>
        <w:tc>
          <w:tcPr>
            <w:tcW w:w="904" w:type="pct"/>
            <w:vAlign w:val="center"/>
            <w:hideMark/>
          </w:tcPr>
          <w:p w14:paraId="0A10E5B2" w14:textId="4CD20D03"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w:t>
            </w:r>
          </w:p>
        </w:tc>
      </w:tr>
      <w:tr w:rsidR="001F1C46" w:rsidRPr="009F38EC" w14:paraId="2032554E" w14:textId="77777777" w:rsidTr="00724399">
        <w:trPr>
          <w:trHeight w:val="315"/>
        </w:trPr>
        <w:tc>
          <w:tcPr>
            <w:tcW w:w="995" w:type="pct"/>
            <w:vAlign w:val="center"/>
            <w:hideMark/>
          </w:tcPr>
          <w:p w14:paraId="094B63F4"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100</w:t>
            </w:r>
          </w:p>
        </w:tc>
        <w:tc>
          <w:tcPr>
            <w:tcW w:w="3101" w:type="pct"/>
            <w:vAlign w:val="center"/>
            <w:hideMark/>
          </w:tcPr>
          <w:p w14:paraId="2C4635B9" w14:textId="77777777" w:rsidR="001F1C46" w:rsidRPr="009F38EC" w:rsidRDefault="001F1C46" w:rsidP="00724399">
            <w:pPr>
              <w:spacing w:after="0"/>
              <w:ind w:firstLineChars="0" w:firstLine="0"/>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Azacitidine + Gilteritinib Fumarate</w:t>
            </w:r>
          </w:p>
        </w:tc>
        <w:tc>
          <w:tcPr>
            <w:tcW w:w="904" w:type="pct"/>
            <w:vAlign w:val="center"/>
            <w:hideMark/>
          </w:tcPr>
          <w:p w14:paraId="1C87C8E2" w14:textId="77777777" w:rsidR="001F1C46" w:rsidRPr="009F38EC" w:rsidRDefault="001F1C46" w:rsidP="00724399">
            <w:pPr>
              <w:spacing w:after="0"/>
              <w:ind w:firstLineChars="0" w:firstLine="0"/>
              <w:jc w:val="right"/>
              <w:rPr>
                <w:rFonts w:ascii="Times New Roman" w:eastAsia="SimSun" w:hAnsi="Times New Roman" w:cs="Times New Roman"/>
                <w:color w:val="000000"/>
                <w:kern w:val="0"/>
                <w:sz w:val="22"/>
                <w:szCs w:val="22"/>
                <w14:ligatures w14:val="none"/>
              </w:rPr>
            </w:pPr>
            <w:r w:rsidRPr="009F38EC">
              <w:rPr>
                <w:rFonts w:ascii="Times New Roman" w:eastAsia="SimSun" w:hAnsi="Times New Roman" w:cs="Times New Roman" w:hint="eastAsia"/>
                <w:color w:val="000000"/>
                <w:kern w:val="0"/>
                <w:sz w:val="22"/>
                <w:szCs w:val="22"/>
                <w14:ligatures w14:val="none"/>
              </w:rPr>
              <w:t>1</w:t>
            </w:r>
          </w:p>
        </w:tc>
      </w:tr>
    </w:tbl>
    <w:p w14:paraId="45FF4496" w14:textId="77777777" w:rsidR="001F1C46" w:rsidRPr="009F38EC" w:rsidRDefault="001F1C46" w:rsidP="001F1C46">
      <w:pPr>
        <w:spacing w:afterLines="100" w:after="326"/>
        <w:ind w:firstLineChars="0" w:firstLine="0"/>
        <w:jc w:val="both"/>
        <w:rPr>
          <w:rFonts w:ascii="Times New Roman" w:hAnsi="Times New Roman"/>
          <w:color w:val="000000"/>
        </w:rPr>
      </w:pPr>
    </w:p>
    <w:p w14:paraId="4C8415F6" w14:textId="77777777" w:rsidR="001F1C46" w:rsidRPr="009F38EC" w:rsidRDefault="001F1C46" w:rsidP="004022A0">
      <w:pPr>
        <w:ind w:firstLineChars="0"/>
        <w:rPr>
          <w:rFonts w:ascii="Times New Roman" w:hAnsi="Times New Roman"/>
          <w:b/>
          <w:bCs/>
          <w:color w:val="000000"/>
        </w:rPr>
      </w:pPr>
    </w:p>
    <w:p w14:paraId="5E6876DE" w14:textId="77777777" w:rsidR="001F1C46" w:rsidRPr="009F38EC" w:rsidRDefault="001F1C46">
      <w:pPr>
        <w:spacing w:line="360" w:lineRule="auto"/>
        <w:ind w:firstLineChars="0" w:firstLine="0"/>
        <w:rPr>
          <w:rFonts w:ascii="Times New Roman" w:hAnsi="Times New Roman"/>
          <w:b/>
          <w:bCs/>
          <w:color w:val="000000"/>
        </w:rPr>
      </w:pPr>
      <w:r w:rsidRPr="009F38EC">
        <w:rPr>
          <w:rFonts w:ascii="Times New Roman" w:hAnsi="Times New Roman"/>
          <w:b/>
          <w:bCs/>
          <w:color w:val="000000"/>
        </w:rPr>
        <w:br w:type="page"/>
      </w:r>
    </w:p>
    <w:p w14:paraId="40EF383C" w14:textId="07D3AB8A" w:rsidR="004022A0" w:rsidRPr="009F38EC" w:rsidRDefault="004022A0" w:rsidP="004022A0">
      <w:pPr>
        <w:ind w:firstLineChars="0"/>
        <w:rPr>
          <w:rFonts w:ascii="Times New Roman" w:hAnsi="Times New Roman"/>
          <w:color w:val="000000"/>
        </w:rPr>
      </w:pPr>
      <w:r w:rsidRPr="009F38EC">
        <w:rPr>
          <w:rFonts w:ascii="Times New Roman" w:hAnsi="Times New Roman" w:hint="eastAsia"/>
          <w:b/>
          <w:bCs/>
          <w:color w:val="000000"/>
        </w:rPr>
        <w:lastRenderedPageBreak/>
        <w:t>Table S</w:t>
      </w:r>
      <w:r w:rsidR="001F1C46" w:rsidRPr="009F38EC">
        <w:rPr>
          <w:rFonts w:ascii="Times New Roman" w:hAnsi="Times New Roman" w:hint="eastAsia"/>
          <w:b/>
          <w:bCs/>
          <w:color w:val="000000"/>
        </w:rPr>
        <w:t>2</w:t>
      </w:r>
      <w:r w:rsidRPr="009F38EC">
        <w:rPr>
          <w:rFonts w:ascii="Times New Roman" w:hAnsi="Times New Roman" w:hint="eastAsia"/>
          <w:color w:val="000000"/>
        </w:rPr>
        <w:t>. Summary of the included population pharmacokinetics model of venetoclax for external evaluation.</w:t>
      </w:r>
    </w:p>
    <w:tbl>
      <w:tblPr>
        <w:tblW w:w="5000" w:type="pct"/>
        <w:tblLook w:val="04A0" w:firstRow="1" w:lastRow="0" w:firstColumn="1" w:lastColumn="0" w:noHBand="0" w:noVBand="1"/>
      </w:tblPr>
      <w:tblGrid>
        <w:gridCol w:w="2911"/>
        <w:gridCol w:w="2410"/>
        <w:gridCol w:w="5109"/>
        <w:gridCol w:w="1566"/>
        <w:gridCol w:w="1962"/>
      </w:tblGrid>
      <w:tr w:rsidR="004022A0" w:rsidRPr="009F38EC" w14:paraId="439F1485" w14:textId="77777777" w:rsidTr="004C4117">
        <w:trPr>
          <w:trHeight w:val="750"/>
        </w:trPr>
        <w:tc>
          <w:tcPr>
            <w:tcW w:w="1043" w:type="pct"/>
            <w:tcBorders>
              <w:top w:val="single" w:sz="12" w:space="0" w:color="000000"/>
              <w:left w:val="nil"/>
              <w:bottom w:val="single" w:sz="6" w:space="0" w:color="auto"/>
              <w:right w:val="nil"/>
            </w:tcBorders>
            <w:hideMark/>
          </w:tcPr>
          <w:p w14:paraId="344D2B2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Study</w:t>
            </w:r>
            <w:r w:rsidRPr="009F38EC">
              <w:rPr>
                <w:rFonts w:ascii="Times New Roman" w:eastAsia="SimSun" w:hAnsi="Times New Roman" w:cs="Times New Roman"/>
                <w:color w:val="000000"/>
                <w:kern w:val="0"/>
                <w14:ligatures w14:val="none"/>
              </w:rPr>
              <w:br/>
              <w:t>(publication year)</w:t>
            </w:r>
          </w:p>
        </w:tc>
        <w:tc>
          <w:tcPr>
            <w:tcW w:w="863" w:type="pct"/>
            <w:tcBorders>
              <w:top w:val="single" w:sz="12" w:space="0" w:color="000000"/>
              <w:left w:val="nil"/>
              <w:bottom w:val="single" w:sz="6" w:space="0" w:color="auto"/>
              <w:right w:val="nil"/>
            </w:tcBorders>
            <w:hideMark/>
          </w:tcPr>
          <w:p w14:paraId="0F7CD9A6"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Software/</w:t>
            </w:r>
            <w:r w:rsidRPr="009F38EC">
              <w:rPr>
                <w:rFonts w:ascii="Times New Roman" w:eastAsia="SimSun" w:hAnsi="Times New Roman" w:cs="Times New Roman"/>
                <w:color w:val="000000"/>
                <w:kern w:val="0"/>
                <w14:ligatures w14:val="none"/>
              </w:rPr>
              <w:br/>
              <w:t>Algorithm</w:t>
            </w:r>
          </w:p>
        </w:tc>
        <w:tc>
          <w:tcPr>
            <w:tcW w:w="1830" w:type="pct"/>
            <w:tcBorders>
              <w:top w:val="single" w:sz="12" w:space="0" w:color="000000"/>
              <w:left w:val="nil"/>
              <w:bottom w:val="single" w:sz="6" w:space="0" w:color="auto"/>
              <w:right w:val="nil"/>
            </w:tcBorders>
            <w:vAlign w:val="center"/>
            <w:hideMark/>
          </w:tcPr>
          <w:p w14:paraId="43B6796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Fixed effect parameters and covariate models</w:t>
            </w:r>
          </w:p>
        </w:tc>
        <w:tc>
          <w:tcPr>
            <w:tcW w:w="561" w:type="pct"/>
            <w:tcBorders>
              <w:top w:val="single" w:sz="12" w:space="0" w:color="000000"/>
              <w:left w:val="nil"/>
              <w:bottom w:val="single" w:sz="6" w:space="0" w:color="auto"/>
              <w:right w:val="nil"/>
            </w:tcBorders>
            <w:hideMark/>
          </w:tcPr>
          <w:p w14:paraId="4A5CB59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Between-subject variability</w:t>
            </w:r>
          </w:p>
        </w:tc>
        <w:tc>
          <w:tcPr>
            <w:tcW w:w="703" w:type="pct"/>
            <w:tcBorders>
              <w:top w:val="single" w:sz="12" w:space="0" w:color="000000"/>
              <w:left w:val="nil"/>
              <w:bottom w:val="single" w:sz="6" w:space="0" w:color="auto"/>
              <w:right w:val="nil"/>
            </w:tcBorders>
            <w:hideMark/>
          </w:tcPr>
          <w:p w14:paraId="61B04DA1"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Residual unexplained variability</w:t>
            </w:r>
          </w:p>
        </w:tc>
      </w:tr>
      <w:tr w:rsidR="004022A0" w:rsidRPr="009F38EC" w14:paraId="43998FE0" w14:textId="77777777" w:rsidTr="004C4117">
        <w:trPr>
          <w:trHeight w:val="1169"/>
        </w:trPr>
        <w:tc>
          <w:tcPr>
            <w:tcW w:w="1043" w:type="pct"/>
            <w:vMerge w:val="restart"/>
            <w:tcBorders>
              <w:top w:val="single" w:sz="6" w:space="0" w:color="auto"/>
              <w:left w:val="nil"/>
              <w:bottom w:val="nil"/>
              <w:right w:val="nil"/>
            </w:tcBorders>
            <w:noWrap/>
            <w:vAlign w:val="center"/>
            <w:hideMark/>
          </w:tcPr>
          <w:p w14:paraId="48E315E5" w14:textId="60AA4ED9"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M1(Jones 2016)</w:t>
            </w:r>
            <w:r w:rsidR="008D38BF" w:rsidRPr="009F38EC" w:rsidDel="008D38BF">
              <w:rPr>
                <w:rFonts w:ascii="Times New Roman" w:eastAsia="SimSun" w:hAnsi="Times New Roman" w:cs="Times New Roman"/>
                <w:color w:val="000000"/>
                <w:kern w:val="0"/>
                <w14:ligatures w14:val="none"/>
              </w:rPr>
              <w:t xml:space="preserve"> </w:t>
            </w:r>
            <w:r w:rsidR="008D38BF" w:rsidRPr="009F38EC">
              <w:rPr>
                <w:rFonts w:ascii="Times New Roman" w:eastAsia="SimSun" w:hAnsi="Times New Roman" w:cs="Times New Roman"/>
                <w:color w:val="000000"/>
                <w:kern w:val="0"/>
                <w:vertAlign w:val="superscript"/>
                <w14:ligatures w14:val="none"/>
              </w:rPr>
              <w:t>36</w:t>
            </w:r>
          </w:p>
        </w:tc>
        <w:tc>
          <w:tcPr>
            <w:tcW w:w="863" w:type="pct"/>
            <w:vMerge w:val="restart"/>
            <w:tcBorders>
              <w:top w:val="single" w:sz="6" w:space="0" w:color="auto"/>
              <w:left w:val="nil"/>
              <w:bottom w:val="nil"/>
              <w:right w:val="nil"/>
            </w:tcBorders>
            <w:noWrap/>
            <w:vAlign w:val="center"/>
            <w:hideMark/>
          </w:tcPr>
          <w:p w14:paraId="4ACBDB64"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NONMEM /FOCE-I</w:t>
            </w:r>
          </w:p>
        </w:tc>
        <w:tc>
          <w:tcPr>
            <w:tcW w:w="1830" w:type="pct"/>
            <w:tcBorders>
              <w:top w:val="single" w:sz="6" w:space="0" w:color="auto"/>
              <w:left w:val="nil"/>
              <w:bottom w:val="nil"/>
              <w:right w:val="nil"/>
            </w:tcBorders>
            <w:hideMark/>
          </w:tcPr>
          <w:p w14:paraId="09AC6612"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CL=17.2  L/h</w:t>
            </w:r>
            <w:r w:rsidRPr="009F38EC">
              <w:rPr>
                <w:rFonts w:ascii="Times New Roman" w:eastAsia="SimSun" w:hAnsi="Times New Roman" w:cs="Times New Roman"/>
                <w:color w:val="000000"/>
                <w:kern w:val="0"/>
                <w14:ligatures w14:val="none"/>
              </w:rPr>
              <w:br/>
              <w:t>CL=17.2*0.807 (CYP3A moderate Inhibitor)</w:t>
            </w:r>
            <w:r w:rsidRPr="009F38EC">
              <w:rPr>
                <w:rFonts w:ascii="Times New Roman" w:eastAsia="SimSun" w:hAnsi="Times New Roman" w:cs="Times New Roman"/>
                <w:color w:val="000000"/>
                <w:kern w:val="0"/>
                <w14:ligatures w14:val="none"/>
              </w:rPr>
              <w:br/>
              <w:t>CL=17.2*0.158 (CYP3A strong  Inhibitor)</w:t>
            </w:r>
            <w:r w:rsidRPr="009F38EC">
              <w:rPr>
                <w:rFonts w:ascii="Times New Roman" w:eastAsia="SimSun" w:hAnsi="Times New Roman" w:cs="Times New Roman"/>
                <w:color w:val="000000"/>
                <w:kern w:val="0"/>
                <w14:ligatures w14:val="none"/>
              </w:rPr>
              <w:br/>
              <w:t>CL=17.2*1.21 (Rituximab )</w:t>
            </w:r>
          </w:p>
        </w:tc>
        <w:tc>
          <w:tcPr>
            <w:tcW w:w="561" w:type="pct"/>
            <w:tcBorders>
              <w:top w:val="single" w:sz="6" w:space="0" w:color="auto"/>
              <w:left w:val="nil"/>
              <w:bottom w:val="nil"/>
              <w:right w:val="nil"/>
            </w:tcBorders>
            <w:noWrap/>
            <w:hideMark/>
          </w:tcPr>
          <w:p w14:paraId="35D472B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0.148</w:t>
            </w:r>
          </w:p>
        </w:tc>
        <w:tc>
          <w:tcPr>
            <w:tcW w:w="703" w:type="pct"/>
            <w:tcBorders>
              <w:top w:val="single" w:sz="6" w:space="0" w:color="auto"/>
              <w:left w:val="nil"/>
              <w:bottom w:val="nil"/>
              <w:right w:val="nil"/>
            </w:tcBorders>
            <w:noWrap/>
            <w:hideMark/>
          </w:tcPr>
          <w:p w14:paraId="3242B15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Prop=0.224</w:t>
            </w:r>
          </w:p>
        </w:tc>
      </w:tr>
      <w:tr w:rsidR="004022A0" w:rsidRPr="009F38EC" w14:paraId="32A2E2AD" w14:textId="77777777" w:rsidTr="004C4117">
        <w:trPr>
          <w:trHeight w:val="283"/>
        </w:trPr>
        <w:tc>
          <w:tcPr>
            <w:tcW w:w="1043" w:type="pct"/>
            <w:vMerge/>
            <w:tcBorders>
              <w:top w:val="nil"/>
              <w:left w:val="nil"/>
              <w:bottom w:val="nil"/>
              <w:right w:val="nil"/>
            </w:tcBorders>
            <w:vAlign w:val="center"/>
            <w:hideMark/>
          </w:tcPr>
          <w:p w14:paraId="75314C3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7F4654B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hideMark/>
          </w:tcPr>
          <w:p w14:paraId="482BDB73"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Q=3.94 L/h</w:t>
            </w:r>
          </w:p>
        </w:tc>
        <w:tc>
          <w:tcPr>
            <w:tcW w:w="561" w:type="pct"/>
            <w:tcBorders>
              <w:top w:val="nil"/>
              <w:left w:val="nil"/>
              <w:bottom w:val="nil"/>
              <w:right w:val="nil"/>
            </w:tcBorders>
            <w:noWrap/>
            <w:hideMark/>
          </w:tcPr>
          <w:p w14:paraId="558E99D3" w14:textId="5014E411"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hideMark/>
          </w:tcPr>
          <w:p w14:paraId="5AB025B1"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Add=3.05*10</w:t>
            </w:r>
            <w:r w:rsidRPr="009F38EC">
              <w:rPr>
                <w:rFonts w:ascii="Times New Roman" w:eastAsia="SimSun" w:hAnsi="Times New Roman" w:cs="Times New Roman"/>
                <w:color w:val="000000"/>
                <w:kern w:val="0"/>
                <w:vertAlign w:val="superscript"/>
                <w14:ligatures w14:val="none"/>
              </w:rPr>
              <w:t>-07</w:t>
            </w:r>
          </w:p>
        </w:tc>
      </w:tr>
      <w:tr w:rsidR="004022A0" w:rsidRPr="009F38EC" w14:paraId="405258E8" w14:textId="77777777" w:rsidTr="004C4117">
        <w:trPr>
          <w:trHeight w:val="857"/>
        </w:trPr>
        <w:tc>
          <w:tcPr>
            <w:tcW w:w="1043" w:type="pct"/>
            <w:vMerge/>
            <w:tcBorders>
              <w:top w:val="nil"/>
              <w:left w:val="nil"/>
              <w:bottom w:val="nil"/>
              <w:right w:val="nil"/>
            </w:tcBorders>
            <w:vAlign w:val="center"/>
            <w:hideMark/>
          </w:tcPr>
          <w:p w14:paraId="2DDEC57D"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564B208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hideMark/>
          </w:tcPr>
          <w:p w14:paraId="1B2CC0C1"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V2=113 L</w:t>
            </w:r>
            <w:r w:rsidRPr="009F38EC">
              <w:rPr>
                <w:rFonts w:ascii="Times New Roman" w:eastAsia="SimSun" w:hAnsi="Times New Roman" w:cs="Times New Roman"/>
                <w:color w:val="000000"/>
                <w:kern w:val="0"/>
                <w14:ligatures w14:val="none"/>
              </w:rPr>
              <w:br/>
              <w:t>V2=113*0.683 L (If female)</w:t>
            </w:r>
            <w:r w:rsidRPr="009F38EC">
              <w:rPr>
                <w:rFonts w:ascii="Times New Roman" w:eastAsia="SimSun" w:hAnsi="Times New Roman" w:cs="Times New Roman"/>
                <w:color w:val="000000"/>
                <w:kern w:val="0"/>
                <w14:ligatures w14:val="none"/>
              </w:rPr>
              <w:br/>
              <w:t>V2=113*1.79 (If  diagnosis as CLL/SLL/NHL)</w:t>
            </w:r>
          </w:p>
        </w:tc>
        <w:tc>
          <w:tcPr>
            <w:tcW w:w="561" w:type="pct"/>
            <w:tcBorders>
              <w:top w:val="nil"/>
              <w:left w:val="nil"/>
              <w:bottom w:val="nil"/>
              <w:right w:val="nil"/>
            </w:tcBorders>
            <w:noWrap/>
            <w:hideMark/>
          </w:tcPr>
          <w:p w14:paraId="1EEB657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0.208</w:t>
            </w:r>
          </w:p>
        </w:tc>
        <w:tc>
          <w:tcPr>
            <w:tcW w:w="703" w:type="pct"/>
            <w:tcBorders>
              <w:top w:val="nil"/>
              <w:left w:val="nil"/>
              <w:bottom w:val="nil"/>
              <w:right w:val="nil"/>
            </w:tcBorders>
            <w:noWrap/>
            <w:hideMark/>
          </w:tcPr>
          <w:p w14:paraId="479F2B71"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69864EC4" w14:textId="77777777" w:rsidTr="004C4117">
        <w:trPr>
          <w:trHeight w:val="360"/>
        </w:trPr>
        <w:tc>
          <w:tcPr>
            <w:tcW w:w="1043" w:type="pct"/>
            <w:vMerge/>
            <w:tcBorders>
              <w:top w:val="nil"/>
              <w:left w:val="nil"/>
              <w:bottom w:val="nil"/>
              <w:right w:val="nil"/>
            </w:tcBorders>
            <w:vAlign w:val="center"/>
            <w:hideMark/>
          </w:tcPr>
          <w:p w14:paraId="3229815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7D54B8C1"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hideMark/>
          </w:tcPr>
          <w:p w14:paraId="3640BA80"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V3=116 L</w:t>
            </w:r>
          </w:p>
        </w:tc>
        <w:tc>
          <w:tcPr>
            <w:tcW w:w="561" w:type="pct"/>
            <w:tcBorders>
              <w:top w:val="nil"/>
              <w:left w:val="nil"/>
              <w:bottom w:val="nil"/>
              <w:right w:val="nil"/>
            </w:tcBorders>
            <w:noWrap/>
            <w:hideMark/>
          </w:tcPr>
          <w:p w14:paraId="6C3F9A09" w14:textId="2CDA519D"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hideMark/>
          </w:tcPr>
          <w:p w14:paraId="5F054DCB"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72392641" w14:textId="77777777" w:rsidTr="004C4117">
        <w:trPr>
          <w:trHeight w:val="360"/>
        </w:trPr>
        <w:tc>
          <w:tcPr>
            <w:tcW w:w="1043" w:type="pct"/>
            <w:vMerge/>
            <w:tcBorders>
              <w:top w:val="nil"/>
              <w:left w:val="nil"/>
              <w:bottom w:val="nil"/>
              <w:right w:val="nil"/>
            </w:tcBorders>
            <w:vAlign w:val="center"/>
            <w:hideMark/>
          </w:tcPr>
          <w:p w14:paraId="6088B63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77C3C70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hideMark/>
          </w:tcPr>
          <w:p w14:paraId="2CB75054"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KA=0.16 /h</w:t>
            </w:r>
          </w:p>
        </w:tc>
        <w:tc>
          <w:tcPr>
            <w:tcW w:w="561" w:type="pct"/>
            <w:tcBorders>
              <w:top w:val="nil"/>
              <w:left w:val="nil"/>
              <w:bottom w:val="nil"/>
              <w:right w:val="nil"/>
            </w:tcBorders>
            <w:noWrap/>
            <w:hideMark/>
          </w:tcPr>
          <w:p w14:paraId="0F9178DD" w14:textId="69E4C5A4"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hideMark/>
          </w:tcPr>
          <w:p w14:paraId="5AD681A9"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1D3281E0" w14:textId="77777777" w:rsidTr="004C4117">
        <w:trPr>
          <w:trHeight w:val="1403"/>
        </w:trPr>
        <w:tc>
          <w:tcPr>
            <w:tcW w:w="1043" w:type="pct"/>
            <w:vMerge/>
            <w:tcBorders>
              <w:top w:val="nil"/>
              <w:left w:val="nil"/>
              <w:right w:val="nil"/>
            </w:tcBorders>
            <w:vAlign w:val="center"/>
            <w:hideMark/>
          </w:tcPr>
          <w:p w14:paraId="157D811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right w:val="nil"/>
            </w:tcBorders>
            <w:vAlign w:val="center"/>
            <w:hideMark/>
          </w:tcPr>
          <w:p w14:paraId="0ACE9518"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right w:val="nil"/>
            </w:tcBorders>
            <w:hideMark/>
          </w:tcPr>
          <w:p w14:paraId="323A7A9C"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F1=1 FIX</w:t>
            </w:r>
            <w:r w:rsidRPr="009F38EC">
              <w:rPr>
                <w:rFonts w:ascii="Times New Roman" w:eastAsia="SimSun" w:hAnsi="Times New Roman" w:cs="Times New Roman"/>
                <w:color w:val="000000"/>
                <w:kern w:val="0"/>
                <w14:ligatures w14:val="none"/>
              </w:rPr>
              <w:br/>
              <w:t>F1=0.334 (Fasting state)</w:t>
            </w:r>
            <w:r w:rsidRPr="009F38EC">
              <w:rPr>
                <w:rFonts w:ascii="Times New Roman" w:eastAsia="SimSun" w:hAnsi="Times New Roman" w:cs="Times New Roman"/>
                <w:color w:val="000000"/>
                <w:kern w:val="0"/>
                <w14:ligatures w14:val="none"/>
              </w:rPr>
              <w:br/>
              <w:t>F1=1.24 (Fed state)</w:t>
            </w:r>
            <w:r w:rsidRPr="009F38EC">
              <w:rPr>
                <w:rFonts w:ascii="Times New Roman" w:eastAsia="SimSun" w:hAnsi="Times New Roman" w:cs="Times New Roman"/>
                <w:color w:val="000000"/>
                <w:kern w:val="0"/>
                <w14:ligatures w14:val="none"/>
              </w:rPr>
              <w:br/>
              <w:t>F1=1.26 (Moderate fat)</w:t>
            </w:r>
            <w:r w:rsidRPr="009F38EC">
              <w:rPr>
                <w:rFonts w:ascii="Times New Roman" w:eastAsia="SimSun" w:hAnsi="Times New Roman" w:cs="Times New Roman"/>
                <w:color w:val="000000"/>
                <w:kern w:val="0"/>
                <w14:ligatures w14:val="none"/>
              </w:rPr>
              <w:br/>
              <w:t>F1=1.42 (High fat)</w:t>
            </w:r>
          </w:p>
        </w:tc>
        <w:tc>
          <w:tcPr>
            <w:tcW w:w="561" w:type="pct"/>
            <w:tcBorders>
              <w:top w:val="nil"/>
              <w:left w:val="nil"/>
              <w:right w:val="nil"/>
            </w:tcBorders>
            <w:noWrap/>
            <w:hideMark/>
          </w:tcPr>
          <w:p w14:paraId="087E71B1"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0.097</w:t>
            </w:r>
          </w:p>
        </w:tc>
        <w:tc>
          <w:tcPr>
            <w:tcW w:w="703" w:type="pct"/>
            <w:tcBorders>
              <w:top w:val="nil"/>
              <w:left w:val="nil"/>
              <w:right w:val="nil"/>
            </w:tcBorders>
            <w:noWrap/>
            <w:hideMark/>
          </w:tcPr>
          <w:p w14:paraId="75DC3D8F"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79379217" w14:textId="77777777" w:rsidTr="004C4117">
        <w:trPr>
          <w:trHeight w:val="360"/>
        </w:trPr>
        <w:tc>
          <w:tcPr>
            <w:tcW w:w="1043" w:type="pct"/>
            <w:vMerge w:val="restart"/>
            <w:tcBorders>
              <w:top w:val="nil"/>
              <w:left w:val="nil"/>
              <w:bottom w:val="nil"/>
              <w:right w:val="nil"/>
            </w:tcBorders>
            <w:noWrap/>
            <w:vAlign w:val="center"/>
            <w:hideMark/>
          </w:tcPr>
          <w:p w14:paraId="35AD29A5" w14:textId="009FD053"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M2(Minocha 2018)</w:t>
            </w:r>
            <w:r w:rsidR="008D38BF" w:rsidRPr="009F38EC">
              <w:rPr>
                <w:rFonts w:ascii="Times New Roman" w:eastAsia="SimSun" w:hAnsi="Times New Roman" w:cs="Times New Roman"/>
                <w:color w:val="000000"/>
                <w:kern w:val="0"/>
                <w:vertAlign w:val="superscript"/>
                <w14:ligatures w14:val="none"/>
              </w:rPr>
              <w:t>37</w:t>
            </w:r>
          </w:p>
        </w:tc>
        <w:tc>
          <w:tcPr>
            <w:tcW w:w="863" w:type="pct"/>
            <w:vMerge w:val="restart"/>
            <w:tcBorders>
              <w:top w:val="nil"/>
              <w:left w:val="nil"/>
              <w:bottom w:val="nil"/>
              <w:right w:val="nil"/>
            </w:tcBorders>
            <w:noWrap/>
            <w:vAlign w:val="center"/>
            <w:hideMark/>
          </w:tcPr>
          <w:p w14:paraId="4F236C6B"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NONMEM/FOCE-I</w:t>
            </w:r>
          </w:p>
        </w:tc>
        <w:tc>
          <w:tcPr>
            <w:tcW w:w="1830" w:type="pct"/>
            <w:tcBorders>
              <w:top w:val="nil"/>
              <w:left w:val="nil"/>
              <w:bottom w:val="nil"/>
              <w:right w:val="nil"/>
            </w:tcBorders>
            <w:noWrap/>
            <w:vAlign w:val="center"/>
            <w:hideMark/>
          </w:tcPr>
          <w:p w14:paraId="1D0317AB"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CL=16.3 L/h</w:t>
            </w:r>
          </w:p>
        </w:tc>
        <w:tc>
          <w:tcPr>
            <w:tcW w:w="561" w:type="pct"/>
            <w:tcBorders>
              <w:top w:val="nil"/>
              <w:left w:val="nil"/>
              <w:bottom w:val="nil"/>
              <w:right w:val="nil"/>
            </w:tcBorders>
            <w:noWrap/>
            <w:vAlign w:val="center"/>
            <w:hideMark/>
          </w:tcPr>
          <w:p w14:paraId="1AAFC9F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0.1444</w:t>
            </w:r>
          </w:p>
        </w:tc>
        <w:tc>
          <w:tcPr>
            <w:tcW w:w="703" w:type="pct"/>
            <w:tcBorders>
              <w:top w:val="nil"/>
              <w:left w:val="nil"/>
              <w:bottom w:val="nil"/>
              <w:right w:val="nil"/>
            </w:tcBorders>
            <w:noWrap/>
            <w:vAlign w:val="center"/>
            <w:hideMark/>
          </w:tcPr>
          <w:p w14:paraId="64E3260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Prop=0.4</w:t>
            </w:r>
          </w:p>
        </w:tc>
      </w:tr>
      <w:tr w:rsidR="004022A0" w:rsidRPr="009F38EC" w14:paraId="6F1E2639" w14:textId="77777777" w:rsidTr="004C4117">
        <w:trPr>
          <w:trHeight w:val="360"/>
        </w:trPr>
        <w:tc>
          <w:tcPr>
            <w:tcW w:w="1043" w:type="pct"/>
            <w:vMerge/>
            <w:tcBorders>
              <w:top w:val="nil"/>
              <w:left w:val="nil"/>
              <w:bottom w:val="nil"/>
              <w:right w:val="nil"/>
            </w:tcBorders>
            <w:vAlign w:val="center"/>
            <w:hideMark/>
          </w:tcPr>
          <w:p w14:paraId="63EC869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03F47A5F"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5507395F"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V2=37 L (only female)</w:t>
            </w:r>
          </w:p>
        </w:tc>
        <w:tc>
          <w:tcPr>
            <w:tcW w:w="561" w:type="pct"/>
            <w:tcBorders>
              <w:top w:val="nil"/>
              <w:left w:val="nil"/>
              <w:bottom w:val="nil"/>
              <w:right w:val="nil"/>
            </w:tcBorders>
            <w:noWrap/>
            <w:vAlign w:val="center"/>
            <w:hideMark/>
          </w:tcPr>
          <w:p w14:paraId="1130C775"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0.4624</w:t>
            </w:r>
          </w:p>
        </w:tc>
        <w:tc>
          <w:tcPr>
            <w:tcW w:w="703" w:type="pct"/>
            <w:tcBorders>
              <w:top w:val="nil"/>
              <w:left w:val="nil"/>
              <w:bottom w:val="nil"/>
              <w:right w:val="nil"/>
            </w:tcBorders>
            <w:noWrap/>
            <w:vAlign w:val="center"/>
            <w:hideMark/>
          </w:tcPr>
          <w:p w14:paraId="17609418"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004F8482" w14:textId="77777777" w:rsidTr="004C4117">
        <w:trPr>
          <w:trHeight w:val="360"/>
        </w:trPr>
        <w:tc>
          <w:tcPr>
            <w:tcW w:w="1043" w:type="pct"/>
            <w:vMerge/>
            <w:tcBorders>
              <w:top w:val="nil"/>
              <w:left w:val="nil"/>
              <w:bottom w:val="nil"/>
              <w:right w:val="nil"/>
            </w:tcBorders>
            <w:vAlign w:val="center"/>
            <w:hideMark/>
          </w:tcPr>
          <w:p w14:paraId="72AD39D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7A8FC9F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7944B843"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Q=3.7 L/h</w:t>
            </w:r>
          </w:p>
        </w:tc>
        <w:tc>
          <w:tcPr>
            <w:tcW w:w="561" w:type="pct"/>
            <w:tcBorders>
              <w:top w:val="nil"/>
              <w:left w:val="nil"/>
              <w:bottom w:val="nil"/>
              <w:right w:val="nil"/>
            </w:tcBorders>
            <w:noWrap/>
            <w:vAlign w:val="center"/>
            <w:hideMark/>
          </w:tcPr>
          <w:p w14:paraId="5C5DDBF2" w14:textId="6DF062BF"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17CBCBA0"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786A15C3" w14:textId="77777777" w:rsidTr="004C4117">
        <w:trPr>
          <w:trHeight w:val="360"/>
        </w:trPr>
        <w:tc>
          <w:tcPr>
            <w:tcW w:w="1043" w:type="pct"/>
            <w:vMerge/>
            <w:tcBorders>
              <w:top w:val="nil"/>
              <w:left w:val="nil"/>
              <w:bottom w:val="nil"/>
              <w:right w:val="nil"/>
            </w:tcBorders>
            <w:vAlign w:val="center"/>
            <w:hideMark/>
          </w:tcPr>
          <w:p w14:paraId="059B185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2A0276E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3B98A9AA"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V3=122 L</w:t>
            </w:r>
          </w:p>
        </w:tc>
        <w:tc>
          <w:tcPr>
            <w:tcW w:w="561" w:type="pct"/>
            <w:tcBorders>
              <w:top w:val="nil"/>
              <w:left w:val="nil"/>
              <w:bottom w:val="nil"/>
              <w:right w:val="nil"/>
            </w:tcBorders>
            <w:noWrap/>
            <w:vAlign w:val="center"/>
            <w:hideMark/>
          </w:tcPr>
          <w:p w14:paraId="6AB1AA52" w14:textId="0339037B"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3CDFFFEE"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7428CA9F" w14:textId="77777777" w:rsidTr="004C4117">
        <w:trPr>
          <w:trHeight w:val="360"/>
        </w:trPr>
        <w:tc>
          <w:tcPr>
            <w:tcW w:w="1043" w:type="pct"/>
            <w:vMerge/>
            <w:tcBorders>
              <w:top w:val="nil"/>
              <w:left w:val="nil"/>
              <w:bottom w:val="nil"/>
              <w:right w:val="nil"/>
            </w:tcBorders>
            <w:vAlign w:val="center"/>
            <w:hideMark/>
          </w:tcPr>
          <w:p w14:paraId="18D1E4E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474776E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1BA9D8A9"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KA=0.13/h</w:t>
            </w:r>
          </w:p>
        </w:tc>
        <w:tc>
          <w:tcPr>
            <w:tcW w:w="561" w:type="pct"/>
            <w:tcBorders>
              <w:top w:val="nil"/>
              <w:left w:val="nil"/>
              <w:bottom w:val="nil"/>
              <w:right w:val="nil"/>
            </w:tcBorders>
            <w:noWrap/>
            <w:vAlign w:val="center"/>
            <w:hideMark/>
          </w:tcPr>
          <w:p w14:paraId="5DE9833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0.0361</w:t>
            </w:r>
          </w:p>
        </w:tc>
        <w:tc>
          <w:tcPr>
            <w:tcW w:w="703" w:type="pct"/>
            <w:tcBorders>
              <w:top w:val="nil"/>
              <w:left w:val="nil"/>
              <w:bottom w:val="nil"/>
              <w:right w:val="nil"/>
            </w:tcBorders>
            <w:noWrap/>
            <w:vAlign w:val="center"/>
            <w:hideMark/>
          </w:tcPr>
          <w:p w14:paraId="625BBB2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0C51499E" w14:textId="77777777" w:rsidTr="003B5CFD">
        <w:trPr>
          <w:trHeight w:val="360"/>
        </w:trPr>
        <w:tc>
          <w:tcPr>
            <w:tcW w:w="1043" w:type="pct"/>
            <w:vMerge/>
            <w:tcBorders>
              <w:top w:val="nil"/>
              <w:left w:val="nil"/>
              <w:right w:val="nil"/>
            </w:tcBorders>
            <w:vAlign w:val="center"/>
            <w:hideMark/>
          </w:tcPr>
          <w:p w14:paraId="5BF219B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right w:val="nil"/>
            </w:tcBorders>
            <w:vAlign w:val="center"/>
            <w:hideMark/>
          </w:tcPr>
          <w:p w14:paraId="71D1674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right w:val="nil"/>
            </w:tcBorders>
            <w:noWrap/>
            <w:vAlign w:val="center"/>
            <w:hideMark/>
          </w:tcPr>
          <w:p w14:paraId="097515C6"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Tlag=1.6h</w:t>
            </w:r>
          </w:p>
        </w:tc>
        <w:tc>
          <w:tcPr>
            <w:tcW w:w="561" w:type="pct"/>
            <w:tcBorders>
              <w:top w:val="nil"/>
              <w:left w:val="nil"/>
              <w:right w:val="nil"/>
            </w:tcBorders>
            <w:noWrap/>
            <w:vAlign w:val="center"/>
            <w:hideMark/>
          </w:tcPr>
          <w:p w14:paraId="6BD0F8E9" w14:textId="678A3676"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right w:val="nil"/>
            </w:tcBorders>
            <w:noWrap/>
            <w:vAlign w:val="center"/>
            <w:hideMark/>
          </w:tcPr>
          <w:p w14:paraId="4AE9F463"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03D82E7D" w14:textId="77777777" w:rsidTr="003B5CFD">
        <w:trPr>
          <w:trHeight w:val="360"/>
        </w:trPr>
        <w:tc>
          <w:tcPr>
            <w:tcW w:w="5000" w:type="pct"/>
            <w:gridSpan w:val="5"/>
            <w:tcBorders>
              <w:left w:val="nil"/>
              <w:bottom w:val="single" w:sz="12" w:space="0" w:color="auto"/>
              <w:right w:val="nil"/>
            </w:tcBorders>
            <w:vAlign w:val="center"/>
          </w:tcPr>
          <w:p w14:paraId="2581E919" w14:textId="000EBF06" w:rsidR="004022A0" w:rsidRPr="009F38EC" w:rsidRDefault="004022A0" w:rsidP="004C4117">
            <w:pPr>
              <w:ind w:firstLineChars="0"/>
              <w:rPr>
                <w:rFonts w:ascii="Times New Roman" w:hAnsi="Times New Roman"/>
                <w:color w:val="000000"/>
              </w:rPr>
            </w:pPr>
            <w:r w:rsidRPr="009F38EC">
              <w:rPr>
                <w:rFonts w:ascii="Times New Roman" w:hAnsi="Times New Roman" w:hint="eastAsia"/>
                <w:b/>
                <w:bCs/>
                <w:color w:val="000000"/>
              </w:rPr>
              <w:lastRenderedPageBreak/>
              <w:t>Table S</w:t>
            </w:r>
            <w:r w:rsidR="001F1C46" w:rsidRPr="009F38EC">
              <w:rPr>
                <w:rFonts w:ascii="Times New Roman" w:hAnsi="Times New Roman" w:hint="eastAsia"/>
                <w:b/>
                <w:bCs/>
                <w:color w:val="000000"/>
              </w:rPr>
              <w:t>2</w:t>
            </w:r>
            <w:r w:rsidRPr="009F38EC">
              <w:rPr>
                <w:rFonts w:ascii="Times New Roman" w:hAnsi="Times New Roman" w:hint="eastAsia"/>
                <w:color w:val="000000"/>
              </w:rPr>
              <w:t>. Summary of the included population pharmacokinetics model of venetoclax for external evaluation. (Continued)</w:t>
            </w:r>
          </w:p>
        </w:tc>
      </w:tr>
      <w:tr w:rsidR="004022A0" w:rsidRPr="009F38EC" w14:paraId="6F2A3479" w14:textId="77777777" w:rsidTr="004C4117">
        <w:trPr>
          <w:trHeight w:val="2133"/>
        </w:trPr>
        <w:tc>
          <w:tcPr>
            <w:tcW w:w="1043" w:type="pct"/>
            <w:vMerge w:val="restart"/>
            <w:tcBorders>
              <w:top w:val="single" w:sz="12" w:space="0" w:color="auto"/>
              <w:left w:val="nil"/>
              <w:bottom w:val="nil"/>
              <w:right w:val="nil"/>
            </w:tcBorders>
            <w:noWrap/>
            <w:vAlign w:val="center"/>
            <w:hideMark/>
          </w:tcPr>
          <w:p w14:paraId="177C330D" w14:textId="0E07AC70"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M3(Deng 2019)</w:t>
            </w:r>
            <w:r w:rsidR="008D38BF" w:rsidRPr="009F38EC">
              <w:rPr>
                <w:rFonts w:ascii="Times New Roman" w:eastAsia="SimSun" w:hAnsi="Times New Roman" w:cs="Times New Roman"/>
                <w:color w:val="000000"/>
                <w:kern w:val="0"/>
                <w:vertAlign w:val="superscript"/>
                <w14:ligatures w14:val="none"/>
              </w:rPr>
              <w:t>40</w:t>
            </w:r>
          </w:p>
        </w:tc>
        <w:tc>
          <w:tcPr>
            <w:tcW w:w="863" w:type="pct"/>
            <w:vMerge w:val="restart"/>
            <w:tcBorders>
              <w:top w:val="single" w:sz="12" w:space="0" w:color="auto"/>
              <w:left w:val="nil"/>
              <w:bottom w:val="nil"/>
              <w:right w:val="nil"/>
            </w:tcBorders>
            <w:noWrap/>
            <w:vAlign w:val="center"/>
            <w:hideMark/>
          </w:tcPr>
          <w:p w14:paraId="12BF31B2"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NONMEM /FOCE-I</w:t>
            </w:r>
          </w:p>
        </w:tc>
        <w:tc>
          <w:tcPr>
            <w:tcW w:w="1830" w:type="pct"/>
            <w:tcBorders>
              <w:top w:val="single" w:sz="12" w:space="0" w:color="auto"/>
              <w:left w:val="nil"/>
              <w:bottom w:val="nil"/>
              <w:right w:val="nil"/>
            </w:tcBorders>
            <w:vAlign w:val="center"/>
            <w:hideMark/>
          </w:tcPr>
          <w:p w14:paraId="4BE24770"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CL=19.54 L/h</w:t>
            </w:r>
            <w:r w:rsidRPr="009F38EC">
              <w:rPr>
                <w:rFonts w:ascii="Times New Roman" w:eastAsia="SimSun" w:hAnsi="Times New Roman" w:cs="Times New Roman"/>
                <w:color w:val="000000"/>
                <w:kern w:val="0"/>
                <w14:ligatures w14:val="none"/>
              </w:rPr>
              <w:br/>
              <w:t>CL=19.54*0.859 (CYP3A moderate Inhibitor)</w:t>
            </w:r>
            <w:r w:rsidRPr="009F38EC">
              <w:rPr>
                <w:rFonts w:ascii="Times New Roman" w:eastAsia="SimSun" w:hAnsi="Times New Roman" w:cs="Times New Roman"/>
                <w:color w:val="000000"/>
                <w:kern w:val="0"/>
                <w14:ligatures w14:val="none"/>
              </w:rPr>
              <w:br/>
              <w:t>CL=19.54*0.182 (CYP3A strong  Inhibitor)</w:t>
            </w:r>
            <w:r w:rsidRPr="009F38EC">
              <w:rPr>
                <w:rFonts w:ascii="Times New Roman" w:eastAsia="SimSun" w:hAnsi="Times New Roman" w:cs="Times New Roman"/>
                <w:color w:val="000000"/>
                <w:kern w:val="0"/>
                <w14:ligatures w14:val="none"/>
              </w:rPr>
              <w:br/>
              <w:t>CL=19.54*1.07 (Rituximab )</w:t>
            </w:r>
            <w:r w:rsidRPr="009F38EC">
              <w:rPr>
                <w:rFonts w:ascii="Times New Roman" w:eastAsia="SimSun" w:hAnsi="Times New Roman" w:cs="Times New Roman"/>
                <w:color w:val="000000"/>
                <w:kern w:val="0"/>
                <w14:ligatures w14:val="none"/>
              </w:rPr>
              <w:br/>
              <w:t>CL=19.54*0.853 (OATP1B3 inhibitor)</w:t>
            </w:r>
            <w:r w:rsidRPr="009F38EC">
              <w:rPr>
                <w:rFonts w:ascii="Times New Roman" w:eastAsia="SimSun" w:hAnsi="Times New Roman" w:cs="Times New Roman"/>
                <w:color w:val="000000"/>
                <w:kern w:val="0"/>
                <w14:ligatures w14:val="none"/>
              </w:rPr>
              <w:br/>
              <w:t>CL=19.54*0.696 (Central and Eastern Europe/Asia population)</w:t>
            </w:r>
          </w:p>
        </w:tc>
        <w:tc>
          <w:tcPr>
            <w:tcW w:w="561" w:type="pct"/>
            <w:tcBorders>
              <w:top w:val="single" w:sz="12" w:space="0" w:color="auto"/>
              <w:left w:val="nil"/>
              <w:bottom w:val="nil"/>
              <w:right w:val="nil"/>
            </w:tcBorders>
            <w:noWrap/>
            <w:vAlign w:val="center"/>
            <w:hideMark/>
          </w:tcPr>
          <w:p w14:paraId="42DB825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0.139</w:t>
            </w:r>
          </w:p>
        </w:tc>
        <w:tc>
          <w:tcPr>
            <w:tcW w:w="703" w:type="pct"/>
            <w:tcBorders>
              <w:top w:val="single" w:sz="12" w:space="0" w:color="auto"/>
              <w:left w:val="nil"/>
              <w:bottom w:val="nil"/>
              <w:right w:val="nil"/>
            </w:tcBorders>
            <w:noWrap/>
            <w:vAlign w:val="center"/>
            <w:hideMark/>
          </w:tcPr>
          <w:p w14:paraId="7A24C1C2"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Prop=0.219</w:t>
            </w:r>
          </w:p>
        </w:tc>
      </w:tr>
      <w:tr w:rsidR="004022A0" w:rsidRPr="009F38EC" w14:paraId="4F4C3466" w14:textId="77777777" w:rsidTr="004C4117">
        <w:trPr>
          <w:trHeight w:val="1080"/>
        </w:trPr>
        <w:tc>
          <w:tcPr>
            <w:tcW w:w="1043" w:type="pct"/>
            <w:vMerge/>
            <w:tcBorders>
              <w:top w:val="nil"/>
              <w:left w:val="nil"/>
              <w:bottom w:val="nil"/>
              <w:right w:val="nil"/>
            </w:tcBorders>
            <w:vAlign w:val="center"/>
            <w:hideMark/>
          </w:tcPr>
          <w:p w14:paraId="412BEFA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4D96CB7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vAlign w:val="center"/>
            <w:hideMark/>
          </w:tcPr>
          <w:p w14:paraId="2D0770BD"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V2=118 L</w:t>
            </w:r>
            <w:r w:rsidRPr="009F38EC">
              <w:rPr>
                <w:rFonts w:ascii="Times New Roman" w:eastAsia="SimSun" w:hAnsi="Times New Roman" w:cs="Times New Roman"/>
                <w:color w:val="000000"/>
                <w:kern w:val="0"/>
                <w14:ligatures w14:val="none"/>
              </w:rPr>
              <w:br/>
              <w:t>V2=118*0.7 L (If female)</w:t>
            </w:r>
            <w:r w:rsidRPr="009F38EC">
              <w:rPr>
                <w:rFonts w:ascii="Times New Roman" w:eastAsia="SimSun" w:hAnsi="Times New Roman" w:cs="Times New Roman"/>
                <w:color w:val="000000"/>
                <w:kern w:val="0"/>
                <w14:ligatures w14:val="none"/>
              </w:rPr>
              <w:br/>
              <w:t>V2=118*1.7 (If  diagnosis as CLL/SLL/NHL)</w:t>
            </w:r>
          </w:p>
        </w:tc>
        <w:tc>
          <w:tcPr>
            <w:tcW w:w="561" w:type="pct"/>
            <w:tcBorders>
              <w:top w:val="nil"/>
              <w:left w:val="nil"/>
              <w:bottom w:val="nil"/>
              <w:right w:val="nil"/>
            </w:tcBorders>
            <w:noWrap/>
            <w:vAlign w:val="center"/>
            <w:hideMark/>
          </w:tcPr>
          <w:p w14:paraId="117CCF7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0.179</w:t>
            </w:r>
          </w:p>
        </w:tc>
        <w:tc>
          <w:tcPr>
            <w:tcW w:w="703" w:type="pct"/>
            <w:tcBorders>
              <w:top w:val="nil"/>
              <w:left w:val="nil"/>
              <w:bottom w:val="nil"/>
              <w:right w:val="nil"/>
            </w:tcBorders>
            <w:noWrap/>
            <w:vAlign w:val="center"/>
            <w:hideMark/>
          </w:tcPr>
          <w:p w14:paraId="7C2FC2A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Add=3.03*10</w:t>
            </w:r>
            <w:r w:rsidRPr="009F38EC">
              <w:rPr>
                <w:rFonts w:ascii="Times New Roman" w:eastAsia="SimSun" w:hAnsi="Times New Roman" w:cs="Times New Roman"/>
                <w:color w:val="000000"/>
                <w:kern w:val="0"/>
                <w:vertAlign w:val="superscript"/>
                <w14:ligatures w14:val="none"/>
              </w:rPr>
              <w:t>-07</w:t>
            </w:r>
          </w:p>
        </w:tc>
      </w:tr>
      <w:tr w:rsidR="004022A0" w:rsidRPr="009F38EC" w14:paraId="17A5ECE7" w14:textId="77777777" w:rsidTr="004C4117">
        <w:trPr>
          <w:trHeight w:val="360"/>
        </w:trPr>
        <w:tc>
          <w:tcPr>
            <w:tcW w:w="1043" w:type="pct"/>
            <w:vMerge/>
            <w:tcBorders>
              <w:top w:val="nil"/>
              <w:left w:val="nil"/>
              <w:bottom w:val="nil"/>
              <w:right w:val="nil"/>
            </w:tcBorders>
            <w:vAlign w:val="center"/>
            <w:hideMark/>
          </w:tcPr>
          <w:p w14:paraId="398306E5"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72AC50D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57A707AC"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Q=4.17 L/h</w:t>
            </w:r>
          </w:p>
        </w:tc>
        <w:tc>
          <w:tcPr>
            <w:tcW w:w="561" w:type="pct"/>
            <w:tcBorders>
              <w:top w:val="nil"/>
              <w:left w:val="nil"/>
              <w:bottom w:val="nil"/>
              <w:right w:val="nil"/>
            </w:tcBorders>
            <w:noWrap/>
            <w:vAlign w:val="center"/>
            <w:hideMark/>
          </w:tcPr>
          <w:p w14:paraId="3DDE4626" w14:textId="52FE4138"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1335F287"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7A166765" w14:textId="77777777" w:rsidTr="004C4117">
        <w:trPr>
          <w:trHeight w:val="360"/>
        </w:trPr>
        <w:tc>
          <w:tcPr>
            <w:tcW w:w="1043" w:type="pct"/>
            <w:vMerge/>
            <w:tcBorders>
              <w:top w:val="nil"/>
              <w:left w:val="nil"/>
              <w:bottom w:val="nil"/>
              <w:right w:val="nil"/>
            </w:tcBorders>
            <w:vAlign w:val="center"/>
            <w:hideMark/>
          </w:tcPr>
          <w:p w14:paraId="537E14D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26F1409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1046955A"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V3=123 L</w:t>
            </w:r>
          </w:p>
        </w:tc>
        <w:tc>
          <w:tcPr>
            <w:tcW w:w="561" w:type="pct"/>
            <w:tcBorders>
              <w:top w:val="nil"/>
              <w:left w:val="nil"/>
              <w:bottom w:val="nil"/>
              <w:right w:val="nil"/>
            </w:tcBorders>
            <w:noWrap/>
            <w:vAlign w:val="center"/>
            <w:hideMark/>
          </w:tcPr>
          <w:p w14:paraId="7EDC6AA5" w14:textId="1351D9C2"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68F42AAF"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062F5369" w14:textId="77777777" w:rsidTr="004C4117">
        <w:trPr>
          <w:trHeight w:val="1800"/>
        </w:trPr>
        <w:tc>
          <w:tcPr>
            <w:tcW w:w="1043" w:type="pct"/>
            <w:vMerge/>
            <w:tcBorders>
              <w:top w:val="nil"/>
              <w:left w:val="nil"/>
              <w:bottom w:val="nil"/>
              <w:right w:val="nil"/>
            </w:tcBorders>
            <w:vAlign w:val="center"/>
            <w:hideMark/>
          </w:tcPr>
          <w:p w14:paraId="4889762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5C862502"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vAlign w:val="center"/>
            <w:hideMark/>
          </w:tcPr>
          <w:p w14:paraId="2146A714"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KA=0.15 /h</w:t>
            </w:r>
            <w:r w:rsidRPr="009F38EC">
              <w:rPr>
                <w:rFonts w:ascii="Times New Roman" w:eastAsia="SimSun" w:hAnsi="Times New Roman" w:cs="Times New Roman"/>
                <w:color w:val="000000"/>
                <w:kern w:val="0"/>
                <w14:ligatures w14:val="none"/>
              </w:rPr>
              <w:br/>
              <w:t>KA=0.15*0.335 (Fasting state)</w:t>
            </w:r>
            <w:r w:rsidRPr="009F38EC">
              <w:rPr>
                <w:rFonts w:ascii="Times New Roman" w:eastAsia="SimSun" w:hAnsi="Times New Roman" w:cs="Times New Roman"/>
                <w:color w:val="000000"/>
                <w:kern w:val="0"/>
                <w14:ligatures w14:val="none"/>
              </w:rPr>
              <w:br/>
              <w:t>KA=0.15*1.27 (Fed state)</w:t>
            </w:r>
            <w:r w:rsidRPr="009F38EC">
              <w:rPr>
                <w:rFonts w:ascii="Times New Roman" w:eastAsia="SimSun" w:hAnsi="Times New Roman" w:cs="Times New Roman"/>
                <w:color w:val="000000"/>
                <w:kern w:val="0"/>
                <w14:ligatures w14:val="none"/>
              </w:rPr>
              <w:br/>
              <w:t>KA=0.15*1.36 (Moderate fat)</w:t>
            </w:r>
            <w:r w:rsidRPr="009F38EC">
              <w:rPr>
                <w:rFonts w:ascii="Times New Roman" w:eastAsia="SimSun" w:hAnsi="Times New Roman" w:cs="Times New Roman"/>
                <w:color w:val="000000"/>
                <w:kern w:val="0"/>
                <w14:ligatures w14:val="none"/>
              </w:rPr>
              <w:br/>
              <w:t>KA=0.15*1.43 (High fat)</w:t>
            </w:r>
          </w:p>
        </w:tc>
        <w:tc>
          <w:tcPr>
            <w:tcW w:w="561" w:type="pct"/>
            <w:tcBorders>
              <w:top w:val="nil"/>
              <w:left w:val="nil"/>
              <w:bottom w:val="nil"/>
              <w:right w:val="nil"/>
            </w:tcBorders>
            <w:noWrap/>
            <w:vAlign w:val="center"/>
            <w:hideMark/>
          </w:tcPr>
          <w:p w14:paraId="2E846C94" w14:textId="2815ACDA"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29463A17"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4F49C4E3" w14:textId="77777777" w:rsidTr="004C4117">
        <w:trPr>
          <w:trHeight w:val="720"/>
        </w:trPr>
        <w:tc>
          <w:tcPr>
            <w:tcW w:w="1043" w:type="pct"/>
            <w:vMerge/>
            <w:tcBorders>
              <w:top w:val="nil"/>
              <w:left w:val="nil"/>
              <w:bottom w:val="single" w:sz="12" w:space="0" w:color="auto"/>
              <w:right w:val="nil"/>
            </w:tcBorders>
            <w:vAlign w:val="center"/>
            <w:hideMark/>
          </w:tcPr>
          <w:p w14:paraId="609F8875"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12" w:space="0" w:color="auto"/>
              <w:right w:val="nil"/>
            </w:tcBorders>
            <w:vAlign w:val="center"/>
            <w:hideMark/>
          </w:tcPr>
          <w:p w14:paraId="6342DBE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single" w:sz="12" w:space="0" w:color="auto"/>
              <w:right w:val="nil"/>
            </w:tcBorders>
            <w:vAlign w:val="center"/>
            <w:hideMark/>
          </w:tcPr>
          <w:p w14:paraId="16FA0562"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F1=1 FIX</w:t>
            </w:r>
            <w:r w:rsidRPr="009F38EC">
              <w:rPr>
                <w:rFonts w:ascii="Times New Roman" w:eastAsia="SimSun" w:hAnsi="Times New Roman" w:cs="Times New Roman"/>
                <w:color w:val="000000"/>
                <w:kern w:val="0"/>
                <w14:ligatures w14:val="none"/>
              </w:rPr>
              <w:br/>
              <w:t>F1=0.67 (Fasting state)</w:t>
            </w:r>
          </w:p>
        </w:tc>
        <w:tc>
          <w:tcPr>
            <w:tcW w:w="561" w:type="pct"/>
            <w:tcBorders>
              <w:top w:val="nil"/>
              <w:left w:val="nil"/>
              <w:bottom w:val="single" w:sz="12" w:space="0" w:color="auto"/>
              <w:right w:val="nil"/>
            </w:tcBorders>
            <w:noWrap/>
            <w:vAlign w:val="center"/>
            <w:hideMark/>
          </w:tcPr>
          <w:p w14:paraId="10AD2E6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0.101</w:t>
            </w:r>
          </w:p>
        </w:tc>
        <w:tc>
          <w:tcPr>
            <w:tcW w:w="703" w:type="pct"/>
            <w:tcBorders>
              <w:top w:val="nil"/>
              <w:left w:val="nil"/>
              <w:bottom w:val="single" w:sz="12" w:space="0" w:color="auto"/>
              <w:right w:val="nil"/>
            </w:tcBorders>
            <w:noWrap/>
            <w:vAlign w:val="center"/>
            <w:hideMark/>
          </w:tcPr>
          <w:p w14:paraId="5ED93EC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626FEEFB" w14:textId="77777777" w:rsidTr="004C4117">
        <w:trPr>
          <w:trHeight w:val="567"/>
        </w:trPr>
        <w:tc>
          <w:tcPr>
            <w:tcW w:w="5000" w:type="pct"/>
            <w:gridSpan w:val="5"/>
            <w:tcBorders>
              <w:top w:val="single" w:sz="12" w:space="0" w:color="auto"/>
              <w:left w:val="nil"/>
              <w:bottom w:val="nil"/>
              <w:right w:val="nil"/>
            </w:tcBorders>
            <w:noWrap/>
            <w:vAlign w:val="center"/>
          </w:tcPr>
          <w:p w14:paraId="5C131094" w14:textId="77777777" w:rsidR="004022A0" w:rsidRPr="009F38EC" w:rsidRDefault="004022A0" w:rsidP="004C4117">
            <w:pPr>
              <w:spacing w:after="0"/>
              <w:ind w:firstLineChars="0"/>
              <w:rPr>
                <w:rFonts w:ascii="Times New Roman" w:hAnsi="Times New Roman"/>
                <w:b/>
                <w:bCs/>
                <w:color w:val="000000"/>
              </w:rPr>
            </w:pPr>
          </w:p>
        </w:tc>
      </w:tr>
      <w:tr w:rsidR="004022A0" w:rsidRPr="009F38EC" w14:paraId="7B485275" w14:textId="77777777" w:rsidTr="004C4117">
        <w:trPr>
          <w:trHeight w:val="567"/>
        </w:trPr>
        <w:tc>
          <w:tcPr>
            <w:tcW w:w="5000" w:type="pct"/>
            <w:gridSpan w:val="5"/>
            <w:tcBorders>
              <w:top w:val="nil"/>
              <w:left w:val="nil"/>
              <w:bottom w:val="nil"/>
              <w:right w:val="nil"/>
            </w:tcBorders>
            <w:noWrap/>
            <w:vAlign w:val="center"/>
          </w:tcPr>
          <w:p w14:paraId="7B2FFEA1" w14:textId="77777777" w:rsidR="004022A0" w:rsidRPr="009F38EC" w:rsidRDefault="004022A0" w:rsidP="004C4117">
            <w:pPr>
              <w:spacing w:after="0"/>
              <w:ind w:firstLineChars="0"/>
              <w:rPr>
                <w:rFonts w:ascii="Times New Roman" w:hAnsi="Times New Roman"/>
                <w:b/>
                <w:bCs/>
                <w:color w:val="000000"/>
              </w:rPr>
            </w:pPr>
          </w:p>
        </w:tc>
      </w:tr>
      <w:tr w:rsidR="004022A0" w:rsidRPr="009F38EC" w14:paraId="5A4C0C50" w14:textId="77777777" w:rsidTr="004C4117">
        <w:trPr>
          <w:trHeight w:val="567"/>
        </w:trPr>
        <w:tc>
          <w:tcPr>
            <w:tcW w:w="5000" w:type="pct"/>
            <w:gridSpan w:val="5"/>
            <w:tcBorders>
              <w:top w:val="nil"/>
              <w:left w:val="nil"/>
              <w:bottom w:val="single" w:sz="12" w:space="0" w:color="auto"/>
              <w:right w:val="nil"/>
            </w:tcBorders>
            <w:noWrap/>
            <w:vAlign w:val="center"/>
          </w:tcPr>
          <w:p w14:paraId="209048F8" w14:textId="66FA8ACD"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hAnsi="Times New Roman" w:hint="eastAsia"/>
                <w:b/>
                <w:bCs/>
                <w:color w:val="000000"/>
              </w:rPr>
              <w:lastRenderedPageBreak/>
              <w:t>Table S</w:t>
            </w:r>
            <w:r w:rsidR="001F1C46" w:rsidRPr="009F38EC">
              <w:rPr>
                <w:rFonts w:ascii="Times New Roman" w:hAnsi="Times New Roman" w:hint="eastAsia"/>
                <w:b/>
                <w:bCs/>
                <w:color w:val="000000"/>
              </w:rPr>
              <w:t>2</w:t>
            </w:r>
            <w:r w:rsidRPr="009F38EC">
              <w:rPr>
                <w:rFonts w:ascii="Times New Roman" w:hAnsi="Times New Roman" w:hint="eastAsia"/>
                <w:color w:val="000000"/>
              </w:rPr>
              <w:t>. Summary of the included population pharmacokinetics model of venetoclax for external evaluation. (Continued)</w:t>
            </w:r>
          </w:p>
        </w:tc>
      </w:tr>
      <w:tr w:rsidR="004022A0" w:rsidRPr="009F38EC" w14:paraId="43EBC168" w14:textId="77777777" w:rsidTr="004C4117">
        <w:trPr>
          <w:trHeight w:val="1800"/>
        </w:trPr>
        <w:tc>
          <w:tcPr>
            <w:tcW w:w="1043" w:type="pct"/>
            <w:vMerge w:val="restart"/>
            <w:tcBorders>
              <w:top w:val="single" w:sz="12" w:space="0" w:color="auto"/>
              <w:left w:val="nil"/>
              <w:bottom w:val="nil"/>
              <w:right w:val="nil"/>
            </w:tcBorders>
            <w:noWrap/>
            <w:vAlign w:val="center"/>
            <w:hideMark/>
          </w:tcPr>
          <w:p w14:paraId="32813813" w14:textId="576F0593"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M4(Samineni 2022)</w:t>
            </w:r>
            <w:r w:rsidR="008D38BF" w:rsidRPr="009F38EC">
              <w:rPr>
                <w:rFonts w:ascii="Times New Roman" w:eastAsia="SimSun" w:hAnsi="Times New Roman" w:cs="Times New Roman"/>
                <w:color w:val="000000"/>
                <w:kern w:val="0"/>
                <w:vertAlign w:val="superscript"/>
                <w14:ligatures w14:val="none"/>
              </w:rPr>
              <w:t>38</w:t>
            </w:r>
          </w:p>
        </w:tc>
        <w:tc>
          <w:tcPr>
            <w:tcW w:w="863" w:type="pct"/>
            <w:vMerge w:val="restart"/>
            <w:tcBorders>
              <w:top w:val="single" w:sz="12" w:space="0" w:color="auto"/>
              <w:left w:val="nil"/>
              <w:bottom w:val="nil"/>
              <w:right w:val="nil"/>
            </w:tcBorders>
            <w:noWrap/>
            <w:vAlign w:val="center"/>
            <w:hideMark/>
          </w:tcPr>
          <w:p w14:paraId="2250F0AB"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NONMEM /FOCE-I</w:t>
            </w:r>
          </w:p>
        </w:tc>
        <w:tc>
          <w:tcPr>
            <w:tcW w:w="1830" w:type="pct"/>
            <w:tcBorders>
              <w:top w:val="single" w:sz="12" w:space="0" w:color="auto"/>
              <w:left w:val="nil"/>
              <w:bottom w:val="nil"/>
              <w:right w:val="nil"/>
            </w:tcBorders>
            <w:vAlign w:val="center"/>
            <w:hideMark/>
          </w:tcPr>
          <w:p w14:paraId="162D99B4"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CL=18.58 L/h</w:t>
            </w:r>
            <w:r w:rsidRPr="009F38EC">
              <w:rPr>
                <w:rFonts w:ascii="Times New Roman" w:eastAsia="SimSun" w:hAnsi="Times New Roman" w:cs="Times New Roman"/>
                <w:color w:val="000000"/>
                <w:kern w:val="0"/>
                <w14:ligatures w14:val="none"/>
              </w:rPr>
              <w:br/>
              <w:t>CL=18.58*0.86 (CYP3A moderate Inhibitor)</w:t>
            </w:r>
            <w:r w:rsidRPr="009F38EC">
              <w:rPr>
                <w:rFonts w:ascii="Times New Roman" w:eastAsia="SimSun" w:hAnsi="Times New Roman" w:cs="Times New Roman"/>
                <w:color w:val="000000"/>
                <w:kern w:val="0"/>
                <w14:ligatures w14:val="none"/>
              </w:rPr>
              <w:br/>
              <w:t>CL=18.58*0.18 (CYP3A strong  Inhibitor)</w:t>
            </w:r>
            <w:r w:rsidRPr="009F38EC">
              <w:rPr>
                <w:rFonts w:ascii="Times New Roman" w:eastAsia="SimSun" w:hAnsi="Times New Roman" w:cs="Times New Roman"/>
                <w:color w:val="000000"/>
                <w:kern w:val="0"/>
                <w14:ligatures w14:val="none"/>
              </w:rPr>
              <w:br/>
              <w:t>CL=18.58*0.86 (OATP1B3 inhibitor)</w:t>
            </w:r>
            <w:r w:rsidRPr="009F38EC">
              <w:rPr>
                <w:rFonts w:ascii="Times New Roman" w:eastAsia="SimSun" w:hAnsi="Times New Roman" w:cs="Times New Roman"/>
                <w:color w:val="000000"/>
                <w:kern w:val="0"/>
                <w14:ligatures w14:val="none"/>
              </w:rPr>
              <w:br/>
              <w:t>CL=18.58*1.21 (Rituximab )</w:t>
            </w:r>
          </w:p>
        </w:tc>
        <w:tc>
          <w:tcPr>
            <w:tcW w:w="561" w:type="pct"/>
            <w:tcBorders>
              <w:top w:val="single" w:sz="12" w:space="0" w:color="auto"/>
              <w:left w:val="nil"/>
              <w:bottom w:val="nil"/>
              <w:right w:val="nil"/>
            </w:tcBorders>
            <w:noWrap/>
            <w:vAlign w:val="center"/>
            <w:hideMark/>
          </w:tcPr>
          <w:p w14:paraId="6E6E501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w:t>
            </w:r>
          </w:p>
        </w:tc>
        <w:tc>
          <w:tcPr>
            <w:tcW w:w="703" w:type="pct"/>
            <w:tcBorders>
              <w:top w:val="single" w:sz="12" w:space="0" w:color="auto"/>
              <w:left w:val="nil"/>
              <w:bottom w:val="nil"/>
              <w:right w:val="nil"/>
            </w:tcBorders>
            <w:noWrap/>
            <w:vAlign w:val="center"/>
            <w:hideMark/>
          </w:tcPr>
          <w:p w14:paraId="1903DAC0" w14:textId="5935C948"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4618EE80" w14:textId="77777777" w:rsidTr="004C4117">
        <w:trPr>
          <w:trHeight w:val="1080"/>
        </w:trPr>
        <w:tc>
          <w:tcPr>
            <w:tcW w:w="1043" w:type="pct"/>
            <w:vMerge/>
            <w:tcBorders>
              <w:top w:val="nil"/>
              <w:left w:val="nil"/>
              <w:bottom w:val="nil"/>
              <w:right w:val="nil"/>
            </w:tcBorders>
            <w:vAlign w:val="center"/>
            <w:hideMark/>
          </w:tcPr>
          <w:p w14:paraId="46677B76"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0AF83F0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vAlign w:val="center"/>
            <w:hideMark/>
          </w:tcPr>
          <w:p w14:paraId="70979FC0"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V2=116 L</w:t>
            </w:r>
            <w:r w:rsidRPr="009F38EC">
              <w:rPr>
                <w:rFonts w:ascii="Times New Roman" w:eastAsia="SimSun" w:hAnsi="Times New Roman" w:cs="Times New Roman"/>
                <w:color w:val="000000"/>
                <w:kern w:val="0"/>
                <w14:ligatures w14:val="none"/>
              </w:rPr>
              <w:br/>
              <w:t>V2=116*0.7 L (If female)</w:t>
            </w:r>
            <w:r w:rsidRPr="009F38EC">
              <w:rPr>
                <w:rFonts w:ascii="Times New Roman" w:eastAsia="SimSun" w:hAnsi="Times New Roman" w:cs="Times New Roman"/>
                <w:color w:val="000000"/>
                <w:kern w:val="0"/>
                <w14:ligatures w14:val="none"/>
              </w:rPr>
              <w:br/>
              <w:t>V2=116*1.73 (If  diagnosis as CLL/SLL/NHL)</w:t>
            </w:r>
          </w:p>
        </w:tc>
        <w:tc>
          <w:tcPr>
            <w:tcW w:w="561" w:type="pct"/>
            <w:tcBorders>
              <w:top w:val="nil"/>
              <w:left w:val="nil"/>
              <w:bottom w:val="nil"/>
              <w:right w:val="nil"/>
            </w:tcBorders>
            <w:noWrap/>
            <w:vAlign w:val="center"/>
            <w:hideMark/>
          </w:tcPr>
          <w:p w14:paraId="03D8744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w:t>
            </w:r>
          </w:p>
        </w:tc>
        <w:tc>
          <w:tcPr>
            <w:tcW w:w="703" w:type="pct"/>
            <w:tcBorders>
              <w:top w:val="nil"/>
              <w:left w:val="nil"/>
              <w:bottom w:val="nil"/>
              <w:right w:val="nil"/>
            </w:tcBorders>
            <w:noWrap/>
            <w:vAlign w:val="center"/>
            <w:hideMark/>
          </w:tcPr>
          <w:p w14:paraId="21F16E15" w14:textId="7F77AE76"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3C887257" w14:textId="77777777" w:rsidTr="004C4117">
        <w:trPr>
          <w:trHeight w:val="360"/>
        </w:trPr>
        <w:tc>
          <w:tcPr>
            <w:tcW w:w="1043" w:type="pct"/>
            <w:vMerge/>
            <w:tcBorders>
              <w:top w:val="nil"/>
              <w:left w:val="nil"/>
              <w:bottom w:val="nil"/>
              <w:right w:val="nil"/>
            </w:tcBorders>
            <w:vAlign w:val="center"/>
            <w:hideMark/>
          </w:tcPr>
          <w:p w14:paraId="45827A4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399A684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739EA415"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Q=4.12 L/h</w:t>
            </w:r>
          </w:p>
        </w:tc>
        <w:tc>
          <w:tcPr>
            <w:tcW w:w="561" w:type="pct"/>
            <w:tcBorders>
              <w:top w:val="nil"/>
              <w:left w:val="nil"/>
              <w:bottom w:val="nil"/>
              <w:right w:val="nil"/>
            </w:tcBorders>
            <w:noWrap/>
            <w:vAlign w:val="center"/>
            <w:hideMark/>
          </w:tcPr>
          <w:p w14:paraId="2809C05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w:t>
            </w:r>
          </w:p>
        </w:tc>
        <w:tc>
          <w:tcPr>
            <w:tcW w:w="703" w:type="pct"/>
            <w:tcBorders>
              <w:top w:val="nil"/>
              <w:left w:val="nil"/>
              <w:bottom w:val="nil"/>
              <w:right w:val="nil"/>
            </w:tcBorders>
            <w:noWrap/>
            <w:vAlign w:val="center"/>
            <w:hideMark/>
          </w:tcPr>
          <w:p w14:paraId="192506F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14B2CDA4" w14:textId="77777777" w:rsidTr="004C4117">
        <w:trPr>
          <w:trHeight w:val="360"/>
        </w:trPr>
        <w:tc>
          <w:tcPr>
            <w:tcW w:w="1043" w:type="pct"/>
            <w:vMerge/>
            <w:tcBorders>
              <w:top w:val="nil"/>
              <w:left w:val="nil"/>
              <w:bottom w:val="nil"/>
              <w:right w:val="nil"/>
            </w:tcBorders>
            <w:vAlign w:val="center"/>
            <w:hideMark/>
          </w:tcPr>
          <w:p w14:paraId="59975A2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1E6B8A1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1E9DD6CC"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V3=121 L</w:t>
            </w:r>
          </w:p>
        </w:tc>
        <w:tc>
          <w:tcPr>
            <w:tcW w:w="561" w:type="pct"/>
            <w:tcBorders>
              <w:top w:val="nil"/>
              <w:left w:val="nil"/>
              <w:bottom w:val="nil"/>
              <w:right w:val="nil"/>
            </w:tcBorders>
            <w:noWrap/>
            <w:vAlign w:val="center"/>
            <w:hideMark/>
          </w:tcPr>
          <w:p w14:paraId="2846114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w:t>
            </w:r>
          </w:p>
        </w:tc>
        <w:tc>
          <w:tcPr>
            <w:tcW w:w="703" w:type="pct"/>
            <w:tcBorders>
              <w:top w:val="nil"/>
              <w:left w:val="nil"/>
              <w:bottom w:val="nil"/>
              <w:right w:val="nil"/>
            </w:tcBorders>
            <w:noWrap/>
            <w:vAlign w:val="center"/>
            <w:hideMark/>
          </w:tcPr>
          <w:p w14:paraId="23126B8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28A7DAC4" w14:textId="77777777" w:rsidTr="004C4117">
        <w:trPr>
          <w:trHeight w:val="360"/>
        </w:trPr>
        <w:tc>
          <w:tcPr>
            <w:tcW w:w="1043" w:type="pct"/>
            <w:vMerge/>
            <w:tcBorders>
              <w:top w:val="nil"/>
              <w:left w:val="nil"/>
              <w:bottom w:val="nil"/>
              <w:right w:val="nil"/>
            </w:tcBorders>
            <w:vAlign w:val="center"/>
            <w:hideMark/>
          </w:tcPr>
          <w:p w14:paraId="2A87D2A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37A88AB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57DD42C0"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KA=0.16 /h</w:t>
            </w:r>
          </w:p>
        </w:tc>
        <w:tc>
          <w:tcPr>
            <w:tcW w:w="561" w:type="pct"/>
            <w:tcBorders>
              <w:top w:val="nil"/>
              <w:left w:val="nil"/>
              <w:bottom w:val="nil"/>
              <w:right w:val="nil"/>
            </w:tcBorders>
            <w:noWrap/>
            <w:vAlign w:val="center"/>
            <w:hideMark/>
          </w:tcPr>
          <w:p w14:paraId="5E569E28"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w:t>
            </w:r>
          </w:p>
        </w:tc>
        <w:tc>
          <w:tcPr>
            <w:tcW w:w="703" w:type="pct"/>
            <w:tcBorders>
              <w:top w:val="nil"/>
              <w:left w:val="nil"/>
              <w:bottom w:val="nil"/>
              <w:right w:val="nil"/>
            </w:tcBorders>
            <w:noWrap/>
            <w:vAlign w:val="center"/>
            <w:hideMark/>
          </w:tcPr>
          <w:p w14:paraId="3BFE5FA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50BA860E" w14:textId="77777777" w:rsidTr="004C4117">
        <w:trPr>
          <w:trHeight w:val="2160"/>
        </w:trPr>
        <w:tc>
          <w:tcPr>
            <w:tcW w:w="1043" w:type="pct"/>
            <w:vMerge/>
            <w:tcBorders>
              <w:top w:val="nil"/>
              <w:left w:val="nil"/>
              <w:bottom w:val="single" w:sz="12" w:space="0" w:color="auto"/>
              <w:right w:val="nil"/>
            </w:tcBorders>
            <w:vAlign w:val="center"/>
            <w:hideMark/>
          </w:tcPr>
          <w:p w14:paraId="4A804FE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12" w:space="0" w:color="auto"/>
              <w:right w:val="nil"/>
            </w:tcBorders>
            <w:vAlign w:val="center"/>
            <w:hideMark/>
          </w:tcPr>
          <w:p w14:paraId="3786C57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single" w:sz="12" w:space="0" w:color="auto"/>
              <w:right w:val="nil"/>
            </w:tcBorders>
            <w:vAlign w:val="center"/>
            <w:hideMark/>
          </w:tcPr>
          <w:p w14:paraId="4852FB17"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F1=1 FIX</w:t>
            </w:r>
            <w:r w:rsidRPr="009F38EC">
              <w:rPr>
                <w:rFonts w:ascii="Times New Roman" w:eastAsia="SimSun" w:hAnsi="Times New Roman" w:cs="Times New Roman"/>
                <w:color w:val="000000"/>
                <w:kern w:val="0"/>
                <w14:ligatures w14:val="none"/>
              </w:rPr>
              <w:br/>
              <w:t>F1=0.34 (Fasting state)</w:t>
            </w:r>
            <w:r w:rsidRPr="009F38EC">
              <w:rPr>
                <w:rFonts w:ascii="Times New Roman" w:eastAsia="SimSun" w:hAnsi="Times New Roman" w:cs="Times New Roman"/>
                <w:color w:val="000000"/>
                <w:kern w:val="0"/>
                <w14:ligatures w14:val="none"/>
              </w:rPr>
              <w:br/>
              <w:t>F1=1.3 (Fed state)</w:t>
            </w:r>
            <w:r w:rsidRPr="009F38EC">
              <w:rPr>
                <w:rFonts w:ascii="Times New Roman" w:eastAsia="SimSun" w:hAnsi="Times New Roman" w:cs="Times New Roman"/>
                <w:color w:val="000000"/>
                <w:kern w:val="0"/>
                <w14:ligatures w14:val="none"/>
              </w:rPr>
              <w:br/>
              <w:t>F1=1.4 (Moderate fat)</w:t>
            </w:r>
            <w:r w:rsidRPr="009F38EC">
              <w:rPr>
                <w:rFonts w:ascii="Times New Roman" w:eastAsia="SimSun" w:hAnsi="Times New Roman" w:cs="Times New Roman"/>
                <w:color w:val="000000"/>
                <w:kern w:val="0"/>
                <w14:ligatures w14:val="none"/>
              </w:rPr>
              <w:br/>
              <w:t>F1=1.4 (High fat)</w:t>
            </w:r>
            <w:r w:rsidRPr="009F38EC">
              <w:rPr>
                <w:rFonts w:ascii="Times New Roman" w:eastAsia="SimSun" w:hAnsi="Times New Roman" w:cs="Times New Roman"/>
                <w:color w:val="000000"/>
                <w:kern w:val="0"/>
                <w14:ligatures w14:val="none"/>
              </w:rPr>
              <w:br/>
              <w:t>F1=(DOSE/400)^(-0.15)</w:t>
            </w:r>
          </w:p>
        </w:tc>
        <w:tc>
          <w:tcPr>
            <w:tcW w:w="561" w:type="pct"/>
            <w:tcBorders>
              <w:top w:val="nil"/>
              <w:left w:val="nil"/>
              <w:bottom w:val="single" w:sz="12" w:space="0" w:color="auto"/>
              <w:right w:val="nil"/>
            </w:tcBorders>
            <w:noWrap/>
            <w:vAlign w:val="center"/>
            <w:hideMark/>
          </w:tcPr>
          <w:p w14:paraId="3277816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w:t>
            </w:r>
          </w:p>
        </w:tc>
        <w:tc>
          <w:tcPr>
            <w:tcW w:w="703" w:type="pct"/>
            <w:tcBorders>
              <w:top w:val="nil"/>
              <w:left w:val="nil"/>
              <w:bottom w:val="single" w:sz="12" w:space="0" w:color="auto"/>
              <w:right w:val="nil"/>
            </w:tcBorders>
            <w:noWrap/>
            <w:vAlign w:val="center"/>
            <w:hideMark/>
          </w:tcPr>
          <w:p w14:paraId="2DAC941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43A1F02A" w14:textId="77777777" w:rsidTr="004C4117">
        <w:trPr>
          <w:trHeight w:val="685"/>
        </w:trPr>
        <w:tc>
          <w:tcPr>
            <w:tcW w:w="1043" w:type="pct"/>
            <w:tcBorders>
              <w:top w:val="single" w:sz="12" w:space="0" w:color="auto"/>
              <w:left w:val="nil"/>
              <w:right w:val="nil"/>
            </w:tcBorders>
            <w:noWrap/>
            <w:vAlign w:val="center"/>
          </w:tcPr>
          <w:p w14:paraId="1EB5B469"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p>
        </w:tc>
        <w:tc>
          <w:tcPr>
            <w:tcW w:w="863" w:type="pct"/>
            <w:tcBorders>
              <w:top w:val="single" w:sz="12" w:space="0" w:color="auto"/>
              <w:left w:val="nil"/>
              <w:right w:val="nil"/>
            </w:tcBorders>
            <w:noWrap/>
            <w:vAlign w:val="center"/>
          </w:tcPr>
          <w:p w14:paraId="3BD6D425"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p>
        </w:tc>
        <w:tc>
          <w:tcPr>
            <w:tcW w:w="1830" w:type="pct"/>
            <w:tcBorders>
              <w:top w:val="single" w:sz="12" w:space="0" w:color="auto"/>
              <w:left w:val="nil"/>
              <w:right w:val="nil"/>
            </w:tcBorders>
            <w:vAlign w:val="center"/>
          </w:tcPr>
          <w:p w14:paraId="3B956B87"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p>
        </w:tc>
        <w:tc>
          <w:tcPr>
            <w:tcW w:w="561" w:type="pct"/>
            <w:tcBorders>
              <w:top w:val="single" w:sz="12" w:space="0" w:color="auto"/>
              <w:left w:val="nil"/>
              <w:right w:val="nil"/>
            </w:tcBorders>
            <w:noWrap/>
            <w:vAlign w:val="center"/>
          </w:tcPr>
          <w:p w14:paraId="6E4AFCF2"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703" w:type="pct"/>
            <w:tcBorders>
              <w:top w:val="single" w:sz="12" w:space="0" w:color="auto"/>
              <w:left w:val="nil"/>
              <w:right w:val="nil"/>
            </w:tcBorders>
            <w:noWrap/>
            <w:vAlign w:val="center"/>
          </w:tcPr>
          <w:p w14:paraId="4DD6C72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313BFF77" w14:textId="77777777" w:rsidTr="004C4117">
        <w:trPr>
          <w:trHeight w:val="685"/>
        </w:trPr>
        <w:tc>
          <w:tcPr>
            <w:tcW w:w="1043" w:type="pct"/>
            <w:tcBorders>
              <w:left w:val="nil"/>
              <w:right w:val="nil"/>
            </w:tcBorders>
            <w:noWrap/>
            <w:vAlign w:val="center"/>
          </w:tcPr>
          <w:p w14:paraId="3687576C"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p>
        </w:tc>
        <w:tc>
          <w:tcPr>
            <w:tcW w:w="863" w:type="pct"/>
            <w:tcBorders>
              <w:left w:val="nil"/>
              <w:right w:val="nil"/>
            </w:tcBorders>
            <w:noWrap/>
            <w:vAlign w:val="center"/>
          </w:tcPr>
          <w:p w14:paraId="01318DC0"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p>
        </w:tc>
        <w:tc>
          <w:tcPr>
            <w:tcW w:w="1830" w:type="pct"/>
            <w:tcBorders>
              <w:left w:val="nil"/>
              <w:right w:val="nil"/>
            </w:tcBorders>
            <w:vAlign w:val="center"/>
          </w:tcPr>
          <w:p w14:paraId="6517A51D"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p>
        </w:tc>
        <w:tc>
          <w:tcPr>
            <w:tcW w:w="561" w:type="pct"/>
            <w:tcBorders>
              <w:left w:val="nil"/>
              <w:right w:val="nil"/>
            </w:tcBorders>
            <w:noWrap/>
            <w:vAlign w:val="center"/>
          </w:tcPr>
          <w:p w14:paraId="5726236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703" w:type="pct"/>
            <w:tcBorders>
              <w:left w:val="nil"/>
              <w:right w:val="nil"/>
            </w:tcBorders>
            <w:noWrap/>
            <w:vAlign w:val="center"/>
          </w:tcPr>
          <w:p w14:paraId="6D27F702"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33547ED7" w14:textId="77777777" w:rsidTr="004C4117">
        <w:trPr>
          <w:trHeight w:val="573"/>
        </w:trPr>
        <w:tc>
          <w:tcPr>
            <w:tcW w:w="5000" w:type="pct"/>
            <w:gridSpan w:val="5"/>
            <w:tcBorders>
              <w:left w:val="nil"/>
              <w:bottom w:val="single" w:sz="12" w:space="0" w:color="auto"/>
              <w:right w:val="nil"/>
            </w:tcBorders>
            <w:noWrap/>
            <w:vAlign w:val="center"/>
          </w:tcPr>
          <w:p w14:paraId="65C435E5" w14:textId="2A80112D"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hAnsi="Times New Roman" w:hint="eastAsia"/>
                <w:b/>
                <w:bCs/>
                <w:color w:val="000000"/>
              </w:rPr>
              <w:lastRenderedPageBreak/>
              <w:t>Table S</w:t>
            </w:r>
            <w:r w:rsidR="001F1C46" w:rsidRPr="009F38EC">
              <w:rPr>
                <w:rFonts w:ascii="Times New Roman" w:hAnsi="Times New Roman" w:hint="eastAsia"/>
                <w:b/>
                <w:bCs/>
                <w:color w:val="000000"/>
              </w:rPr>
              <w:t>2</w:t>
            </w:r>
            <w:r w:rsidRPr="009F38EC">
              <w:rPr>
                <w:rFonts w:ascii="Times New Roman" w:hAnsi="Times New Roman" w:hint="eastAsia"/>
                <w:color w:val="000000"/>
              </w:rPr>
              <w:t>. Summary of the included population pharmacokinetics model of venetoclax for external evaluation. (Continued)</w:t>
            </w:r>
          </w:p>
        </w:tc>
      </w:tr>
      <w:tr w:rsidR="004022A0" w:rsidRPr="009F38EC" w14:paraId="745E3B89" w14:textId="77777777" w:rsidTr="004C4117">
        <w:trPr>
          <w:trHeight w:val="1800"/>
        </w:trPr>
        <w:tc>
          <w:tcPr>
            <w:tcW w:w="1043" w:type="pct"/>
            <w:vMerge w:val="restart"/>
            <w:tcBorders>
              <w:top w:val="single" w:sz="12" w:space="0" w:color="auto"/>
              <w:left w:val="nil"/>
              <w:bottom w:val="nil"/>
              <w:right w:val="nil"/>
            </w:tcBorders>
            <w:noWrap/>
            <w:vAlign w:val="center"/>
            <w:hideMark/>
          </w:tcPr>
          <w:p w14:paraId="4B92C01E" w14:textId="2D6CE6DF"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M5(Samineni 2022)</w:t>
            </w:r>
            <w:r w:rsidR="008D38BF" w:rsidRPr="009F38EC">
              <w:rPr>
                <w:rFonts w:ascii="Times New Roman" w:eastAsia="SimSun" w:hAnsi="Times New Roman" w:cs="Times New Roman" w:hint="eastAsia"/>
                <w:color w:val="000000"/>
                <w:kern w:val="0"/>
                <w:vertAlign w:val="superscript"/>
                <w14:ligatures w14:val="none"/>
              </w:rPr>
              <w:t xml:space="preserve"> 39</w:t>
            </w:r>
            <w:r w:rsidR="008D38BF" w:rsidRPr="009F38EC" w:rsidDel="008D38BF">
              <w:rPr>
                <w:rFonts w:ascii="Times New Roman" w:eastAsia="SimSun" w:hAnsi="Times New Roman" w:cs="Times New Roman"/>
                <w:color w:val="000000"/>
                <w:kern w:val="0"/>
                <w14:ligatures w14:val="none"/>
              </w:rPr>
              <w:t xml:space="preserve"> </w:t>
            </w:r>
          </w:p>
        </w:tc>
        <w:tc>
          <w:tcPr>
            <w:tcW w:w="863" w:type="pct"/>
            <w:vMerge w:val="restart"/>
            <w:tcBorders>
              <w:top w:val="single" w:sz="12" w:space="0" w:color="auto"/>
              <w:left w:val="nil"/>
              <w:bottom w:val="nil"/>
              <w:right w:val="nil"/>
            </w:tcBorders>
            <w:noWrap/>
            <w:vAlign w:val="center"/>
            <w:hideMark/>
          </w:tcPr>
          <w:p w14:paraId="57E119B6"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NONMEM /FOCE-I</w:t>
            </w:r>
          </w:p>
        </w:tc>
        <w:tc>
          <w:tcPr>
            <w:tcW w:w="1830" w:type="pct"/>
            <w:tcBorders>
              <w:top w:val="single" w:sz="12" w:space="0" w:color="auto"/>
              <w:left w:val="nil"/>
              <w:bottom w:val="nil"/>
              <w:right w:val="nil"/>
            </w:tcBorders>
            <w:vAlign w:val="center"/>
            <w:hideMark/>
          </w:tcPr>
          <w:p w14:paraId="71A43AA6"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CL=18.63 L/h</w:t>
            </w:r>
            <w:r w:rsidRPr="009F38EC">
              <w:rPr>
                <w:rFonts w:ascii="Times New Roman" w:eastAsia="SimSun" w:hAnsi="Times New Roman" w:cs="Times New Roman"/>
                <w:color w:val="000000"/>
                <w:kern w:val="0"/>
                <w14:ligatures w14:val="none"/>
              </w:rPr>
              <w:br/>
              <w:t>CL=18.63*0.84 (CYP3A moderate Inhibitor)</w:t>
            </w:r>
            <w:r w:rsidRPr="009F38EC">
              <w:rPr>
                <w:rFonts w:ascii="Times New Roman" w:eastAsia="SimSun" w:hAnsi="Times New Roman" w:cs="Times New Roman"/>
                <w:color w:val="000000"/>
                <w:kern w:val="0"/>
                <w14:ligatures w14:val="none"/>
              </w:rPr>
              <w:br/>
              <w:t>CL=18.63*0.18 (CYP3A strong  Inhibitor)</w:t>
            </w:r>
            <w:r w:rsidRPr="009F38EC">
              <w:rPr>
                <w:rFonts w:ascii="Times New Roman" w:eastAsia="SimSun" w:hAnsi="Times New Roman" w:cs="Times New Roman"/>
                <w:color w:val="000000"/>
                <w:kern w:val="0"/>
                <w14:ligatures w14:val="none"/>
              </w:rPr>
              <w:br/>
              <w:t>CL=18.63*0.85 (OATP1B3 inhibitor)</w:t>
            </w:r>
            <w:r w:rsidRPr="009F38EC">
              <w:rPr>
                <w:rFonts w:ascii="Times New Roman" w:eastAsia="SimSun" w:hAnsi="Times New Roman" w:cs="Times New Roman"/>
                <w:color w:val="000000"/>
                <w:kern w:val="0"/>
                <w14:ligatures w14:val="none"/>
              </w:rPr>
              <w:br/>
              <w:t>CL=18.63*1.63 (If the data was from GO27878 study)</w:t>
            </w:r>
          </w:p>
        </w:tc>
        <w:tc>
          <w:tcPr>
            <w:tcW w:w="561" w:type="pct"/>
            <w:tcBorders>
              <w:top w:val="single" w:sz="12" w:space="0" w:color="auto"/>
              <w:left w:val="nil"/>
              <w:bottom w:val="nil"/>
              <w:right w:val="nil"/>
            </w:tcBorders>
            <w:noWrap/>
            <w:vAlign w:val="center"/>
            <w:hideMark/>
          </w:tcPr>
          <w:p w14:paraId="446AE2D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0.15</w:t>
            </w:r>
          </w:p>
        </w:tc>
        <w:tc>
          <w:tcPr>
            <w:tcW w:w="703" w:type="pct"/>
            <w:tcBorders>
              <w:top w:val="single" w:sz="12" w:space="0" w:color="auto"/>
              <w:left w:val="nil"/>
              <w:bottom w:val="nil"/>
              <w:right w:val="nil"/>
            </w:tcBorders>
            <w:noWrap/>
            <w:vAlign w:val="center"/>
            <w:hideMark/>
          </w:tcPr>
          <w:p w14:paraId="538D721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Prop=0.22</w:t>
            </w:r>
          </w:p>
        </w:tc>
      </w:tr>
      <w:tr w:rsidR="004022A0" w:rsidRPr="009F38EC" w14:paraId="78058DA6" w14:textId="77777777" w:rsidTr="004C4117">
        <w:trPr>
          <w:trHeight w:val="1440"/>
        </w:trPr>
        <w:tc>
          <w:tcPr>
            <w:tcW w:w="1043" w:type="pct"/>
            <w:vMerge/>
            <w:tcBorders>
              <w:top w:val="nil"/>
              <w:left w:val="nil"/>
              <w:bottom w:val="nil"/>
              <w:right w:val="nil"/>
            </w:tcBorders>
            <w:vAlign w:val="center"/>
            <w:hideMark/>
          </w:tcPr>
          <w:p w14:paraId="5E1EE18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61BF653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vAlign w:val="center"/>
            <w:hideMark/>
          </w:tcPr>
          <w:p w14:paraId="0699DE86"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V2=118 L</w:t>
            </w:r>
            <w:r w:rsidRPr="009F38EC">
              <w:rPr>
                <w:rFonts w:ascii="Times New Roman" w:eastAsia="SimSun" w:hAnsi="Times New Roman" w:cs="Times New Roman"/>
                <w:color w:val="000000"/>
                <w:kern w:val="0"/>
                <w14:ligatures w14:val="none"/>
              </w:rPr>
              <w:br/>
              <w:t>V2=118*0.7 L (If female)</w:t>
            </w:r>
            <w:r w:rsidRPr="009F38EC">
              <w:rPr>
                <w:rFonts w:ascii="Times New Roman" w:eastAsia="SimSun" w:hAnsi="Times New Roman" w:cs="Times New Roman"/>
                <w:color w:val="000000"/>
                <w:kern w:val="0"/>
                <w14:ligatures w14:val="none"/>
              </w:rPr>
              <w:br/>
              <w:t>V2=118*1.73 (If  diagnosis as CLL/SLL/NHL)</w:t>
            </w:r>
            <w:r w:rsidRPr="009F38EC">
              <w:rPr>
                <w:rFonts w:ascii="Times New Roman" w:eastAsia="SimSun" w:hAnsi="Times New Roman" w:cs="Times New Roman"/>
                <w:color w:val="000000"/>
                <w:kern w:val="0"/>
                <w14:ligatures w14:val="none"/>
              </w:rPr>
              <w:br/>
              <w:t>V2=118*2.33  (If the data was from GO27878 study)</w:t>
            </w:r>
          </w:p>
        </w:tc>
        <w:tc>
          <w:tcPr>
            <w:tcW w:w="561" w:type="pct"/>
            <w:tcBorders>
              <w:top w:val="nil"/>
              <w:left w:val="nil"/>
              <w:bottom w:val="nil"/>
              <w:right w:val="nil"/>
            </w:tcBorders>
            <w:noWrap/>
            <w:vAlign w:val="center"/>
            <w:hideMark/>
          </w:tcPr>
          <w:p w14:paraId="57FA665D"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0.21</w:t>
            </w:r>
          </w:p>
        </w:tc>
        <w:tc>
          <w:tcPr>
            <w:tcW w:w="703" w:type="pct"/>
            <w:tcBorders>
              <w:top w:val="nil"/>
              <w:left w:val="nil"/>
              <w:bottom w:val="nil"/>
              <w:right w:val="nil"/>
            </w:tcBorders>
            <w:noWrap/>
            <w:vAlign w:val="center"/>
            <w:hideMark/>
          </w:tcPr>
          <w:p w14:paraId="3C35D3A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Add=3.07*10</w:t>
            </w:r>
            <w:r w:rsidRPr="009F38EC">
              <w:rPr>
                <w:rFonts w:ascii="Times New Roman" w:eastAsia="SimSun" w:hAnsi="Times New Roman" w:cs="Times New Roman"/>
                <w:color w:val="000000"/>
                <w:kern w:val="0"/>
                <w:vertAlign w:val="superscript"/>
                <w14:ligatures w14:val="none"/>
              </w:rPr>
              <w:t>-07</w:t>
            </w:r>
          </w:p>
        </w:tc>
      </w:tr>
      <w:tr w:rsidR="004022A0" w:rsidRPr="009F38EC" w14:paraId="4DA6709B" w14:textId="77777777" w:rsidTr="004C4117">
        <w:trPr>
          <w:trHeight w:val="360"/>
        </w:trPr>
        <w:tc>
          <w:tcPr>
            <w:tcW w:w="1043" w:type="pct"/>
            <w:vMerge/>
            <w:tcBorders>
              <w:top w:val="nil"/>
              <w:left w:val="nil"/>
              <w:bottom w:val="nil"/>
              <w:right w:val="nil"/>
            </w:tcBorders>
            <w:vAlign w:val="center"/>
            <w:hideMark/>
          </w:tcPr>
          <w:p w14:paraId="08180D4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1DC2D6F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56BE21C4"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Q=4.05 L/h</w:t>
            </w:r>
          </w:p>
        </w:tc>
        <w:tc>
          <w:tcPr>
            <w:tcW w:w="561" w:type="pct"/>
            <w:tcBorders>
              <w:top w:val="nil"/>
              <w:left w:val="nil"/>
              <w:bottom w:val="nil"/>
              <w:right w:val="nil"/>
            </w:tcBorders>
            <w:noWrap/>
            <w:vAlign w:val="center"/>
            <w:hideMark/>
          </w:tcPr>
          <w:p w14:paraId="57223A16" w14:textId="4C9042B5"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571B4EAF"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5A96624B" w14:textId="77777777" w:rsidTr="004C4117">
        <w:trPr>
          <w:trHeight w:val="360"/>
        </w:trPr>
        <w:tc>
          <w:tcPr>
            <w:tcW w:w="1043" w:type="pct"/>
            <w:vMerge/>
            <w:tcBorders>
              <w:top w:val="nil"/>
              <w:left w:val="nil"/>
              <w:bottom w:val="nil"/>
              <w:right w:val="nil"/>
            </w:tcBorders>
            <w:vAlign w:val="center"/>
            <w:hideMark/>
          </w:tcPr>
          <w:p w14:paraId="053ACCC5"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3BCE489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73C42E22"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V3=119 L</w:t>
            </w:r>
          </w:p>
        </w:tc>
        <w:tc>
          <w:tcPr>
            <w:tcW w:w="561" w:type="pct"/>
            <w:tcBorders>
              <w:top w:val="nil"/>
              <w:left w:val="nil"/>
              <w:bottom w:val="nil"/>
              <w:right w:val="nil"/>
            </w:tcBorders>
            <w:noWrap/>
            <w:vAlign w:val="center"/>
            <w:hideMark/>
          </w:tcPr>
          <w:p w14:paraId="482AC7A9" w14:textId="37552EC8"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2C3A7B3B"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7A499340" w14:textId="77777777" w:rsidTr="004C4117">
        <w:trPr>
          <w:trHeight w:val="360"/>
        </w:trPr>
        <w:tc>
          <w:tcPr>
            <w:tcW w:w="1043" w:type="pct"/>
            <w:vMerge/>
            <w:tcBorders>
              <w:top w:val="nil"/>
              <w:left w:val="nil"/>
              <w:bottom w:val="nil"/>
              <w:right w:val="nil"/>
            </w:tcBorders>
            <w:vAlign w:val="center"/>
            <w:hideMark/>
          </w:tcPr>
          <w:p w14:paraId="5645CB9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nil"/>
              <w:right w:val="nil"/>
            </w:tcBorders>
            <w:vAlign w:val="center"/>
            <w:hideMark/>
          </w:tcPr>
          <w:p w14:paraId="4EA0FCE2"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11124272"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KA=0.155 /h</w:t>
            </w:r>
          </w:p>
        </w:tc>
        <w:tc>
          <w:tcPr>
            <w:tcW w:w="561" w:type="pct"/>
            <w:tcBorders>
              <w:top w:val="nil"/>
              <w:left w:val="nil"/>
              <w:bottom w:val="nil"/>
              <w:right w:val="nil"/>
            </w:tcBorders>
            <w:noWrap/>
            <w:vAlign w:val="center"/>
            <w:hideMark/>
          </w:tcPr>
          <w:p w14:paraId="048BC8D0" w14:textId="1778E01F"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01A38C4A"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1EFE563E" w14:textId="77777777" w:rsidTr="004C4117">
        <w:trPr>
          <w:trHeight w:val="2160"/>
        </w:trPr>
        <w:tc>
          <w:tcPr>
            <w:tcW w:w="1043" w:type="pct"/>
            <w:vMerge/>
            <w:tcBorders>
              <w:top w:val="nil"/>
              <w:left w:val="nil"/>
              <w:bottom w:val="single" w:sz="12" w:space="0" w:color="auto"/>
              <w:right w:val="nil"/>
            </w:tcBorders>
            <w:vAlign w:val="center"/>
            <w:hideMark/>
          </w:tcPr>
          <w:p w14:paraId="73A2EA12"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12" w:space="0" w:color="auto"/>
              <w:right w:val="nil"/>
            </w:tcBorders>
            <w:vAlign w:val="center"/>
            <w:hideMark/>
          </w:tcPr>
          <w:p w14:paraId="4BFAA89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single" w:sz="12" w:space="0" w:color="auto"/>
              <w:right w:val="nil"/>
            </w:tcBorders>
            <w:vAlign w:val="center"/>
            <w:hideMark/>
          </w:tcPr>
          <w:p w14:paraId="6A2303B8"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F1=1 FIX</w:t>
            </w:r>
            <w:r w:rsidRPr="009F38EC">
              <w:rPr>
                <w:rFonts w:ascii="Times New Roman" w:eastAsia="SimSun" w:hAnsi="Times New Roman" w:cs="Times New Roman"/>
                <w:color w:val="000000"/>
                <w:kern w:val="0"/>
                <w14:ligatures w14:val="none"/>
              </w:rPr>
              <w:br/>
              <w:t>F1=0.34 (Fasting state)</w:t>
            </w:r>
            <w:r w:rsidRPr="009F38EC">
              <w:rPr>
                <w:rFonts w:ascii="Times New Roman" w:eastAsia="SimSun" w:hAnsi="Times New Roman" w:cs="Times New Roman"/>
                <w:color w:val="000000"/>
                <w:kern w:val="0"/>
                <w14:ligatures w14:val="none"/>
              </w:rPr>
              <w:br/>
              <w:t>F1=1.23 (Fed state)</w:t>
            </w:r>
            <w:r w:rsidRPr="009F38EC">
              <w:rPr>
                <w:rFonts w:ascii="Times New Roman" w:eastAsia="SimSun" w:hAnsi="Times New Roman" w:cs="Times New Roman"/>
                <w:color w:val="000000"/>
                <w:kern w:val="0"/>
                <w14:ligatures w14:val="none"/>
              </w:rPr>
              <w:br/>
              <w:t>F1=1.31 (Moderate fat)</w:t>
            </w:r>
            <w:r w:rsidRPr="009F38EC">
              <w:rPr>
                <w:rFonts w:ascii="Times New Roman" w:eastAsia="SimSun" w:hAnsi="Times New Roman" w:cs="Times New Roman"/>
                <w:color w:val="000000"/>
                <w:kern w:val="0"/>
                <w14:ligatures w14:val="none"/>
              </w:rPr>
              <w:br/>
              <w:t>F1=1.43 (High fat)</w:t>
            </w:r>
            <w:r w:rsidRPr="009F38EC">
              <w:rPr>
                <w:rFonts w:ascii="Times New Roman" w:eastAsia="SimSun" w:hAnsi="Times New Roman" w:cs="Times New Roman"/>
                <w:color w:val="000000"/>
                <w:kern w:val="0"/>
                <w14:ligatures w14:val="none"/>
              </w:rPr>
              <w:br/>
              <w:t>F1=(DOSE/400)^(-0.18)</w:t>
            </w:r>
          </w:p>
        </w:tc>
        <w:tc>
          <w:tcPr>
            <w:tcW w:w="561" w:type="pct"/>
            <w:tcBorders>
              <w:top w:val="nil"/>
              <w:left w:val="nil"/>
              <w:bottom w:val="single" w:sz="12" w:space="0" w:color="auto"/>
              <w:right w:val="nil"/>
            </w:tcBorders>
            <w:noWrap/>
            <w:vAlign w:val="center"/>
            <w:hideMark/>
          </w:tcPr>
          <w:p w14:paraId="5C5299A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w:t>
            </w:r>
          </w:p>
        </w:tc>
        <w:tc>
          <w:tcPr>
            <w:tcW w:w="703" w:type="pct"/>
            <w:tcBorders>
              <w:top w:val="nil"/>
              <w:left w:val="nil"/>
              <w:bottom w:val="single" w:sz="12" w:space="0" w:color="auto"/>
              <w:right w:val="nil"/>
            </w:tcBorders>
            <w:noWrap/>
            <w:vAlign w:val="center"/>
            <w:hideMark/>
          </w:tcPr>
          <w:p w14:paraId="67DCDC5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667BAA49" w14:textId="77777777" w:rsidTr="004C4117">
        <w:trPr>
          <w:trHeight w:val="715"/>
        </w:trPr>
        <w:tc>
          <w:tcPr>
            <w:tcW w:w="1043" w:type="pct"/>
            <w:tcBorders>
              <w:top w:val="single" w:sz="12" w:space="0" w:color="auto"/>
              <w:left w:val="nil"/>
              <w:right w:val="nil"/>
            </w:tcBorders>
            <w:noWrap/>
            <w:vAlign w:val="center"/>
          </w:tcPr>
          <w:p w14:paraId="1E3F516E"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p>
        </w:tc>
        <w:tc>
          <w:tcPr>
            <w:tcW w:w="863" w:type="pct"/>
            <w:tcBorders>
              <w:top w:val="single" w:sz="12" w:space="0" w:color="auto"/>
              <w:left w:val="nil"/>
              <w:right w:val="nil"/>
            </w:tcBorders>
            <w:noWrap/>
            <w:vAlign w:val="center"/>
          </w:tcPr>
          <w:p w14:paraId="7E23B8AE"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p>
        </w:tc>
        <w:tc>
          <w:tcPr>
            <w:tcW w:w="1830" w:type="pct"/>
            <w:tcBorders>
              <w:top w:val="single" w:sz="12" w:space="0" w:color="auto"/>
              <w:left w:val="nil"/>
              <w:right w:val="nil"/>
            </w:tcBorders>
            <w:vAlign w:val="center"/>
          </w:tcPr>
          <w:p w14:paraId="3B70F59B"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p>
        </w:tc>
        <w:tc>
          <w:tcPr>
            <w:tcW w:w="561" w:type="pct"/>
            <w:tcBorders>
              <w:top w:val="single" w:sz="12" w:space="0" w:color="auto"/>
              <w:left w:val="nil"/>
              <w:right w:val="nil"/>
            </w:tcBorders>
            <w:noWrap/>
            <w:vAlign w:val="center"/>
          </w:tcPr>
          <w:p w14:paraId="778B01A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703" w:type="pct"/>
            <w:tcBorders>
              <w:top w:val="single" w:sz="12" w:space="0" w:color="auto"/>
              <w:left w:val="nil"/>
              <w:right w:val="nil"/>
            </w:tcBorders>
            <w:noWrap/>
            <w:vAlign w:val="center"/>
          </w:tcPr>
          <w:p w14:paraId="2ACBC61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1754F491" w14:textId="77777777" w:rsidTr="004C4117">
        <w:trPr>
          <w:trHeight w:val="553"/>
        </w:trPr>
        <w:tc>
          <w:tcPr>
            <w:tcW w:w="5000" w:type="pct"/>
            <w:gridSpan w:val="5"/>
            <w:tcBorders>
              <w:left w:val="nil"/>
              <w:bottom w:val="single" w:sz="8" w:space="0" w:color="000000"/>
              <w:right w:val="nil"/>
            </w:tcBorders>
            <w:noWrap/>
            <w:vAlign w:val="center"/>
          </w:tcPr>
          <w:p w14:paraId="3140A05E" w14:textId="1F67CD6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hAnsi="Times New Roman" w:hint="eastAsia"/>
                <w:b/>
                <w:bCs/>
                <w:color w:val="000000"/>
              </w:rPr>
              <w:lastRenderedPageBreak/>
              <w:t>Table S</w:t>
            </w:r>
            <w:r w:rsidR="001F1C46" w:rsidRPr="009F38EC">
              <w:rPr>
                <w:rFonts w:ascii="Times New Roman" w:hAnsi="Times New Roman" w:hint="eastAsia"/>
                <w:b/>
                <w:bCs/>
                <w:color w:val="000000"/>
              </w:rPr>
              <w:t>2</w:t>
            </w:r>
            <w:r w:rsidRPr="009F38EC">
              <w:rPr>
                <w:rFonts w:ascii="Times New Roman" w:hAnsi="Times New Roman" w:hint="eastAsia"/>
                <w:color w:val="000000"/>
              </w:rPr>
              <w:t>. Summary of the included population pharmacokinetics model of venetoclax for external evaluation. (Continued)</w:t>
            </w:r>
          </w:p>
        </w:tc>
      </w:tr>
      <w:tr w:rsidR="004022A0" w:rsidRPr="009F38EC" w14:paraId="02E56F6D" w14:textId="77777777" w:rsidTr="004C4117">
        <w:trPr>
          <w:trHeight w:val="2160"/>
        </w:trPr>
        <w:tc>
          <w:tcPr>
            <w:tcW w:w="1043" w:type="pct"/>
            <w:vMerge w:val="restart"/>
            <w:tcBorders>
              <w:top w:val="nil"/>
              <w:left w:val="nil"/>
              <w:bottom w:val="single" w:sz="8" w:space="0" w:color="000000"/>
              <w:right w:val="nil"/>
            </w:tcBorders>
            <w:noWrap/>
            <w:vAlign w:val="center"/>
            <w:hideMark/>
          </w:tcPr>
          <w:p w14:paraId="31371DEB" w14:textId="45E1B22F"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M6(Gong 2023)</w:t>
            </w:r>
            <w:r w:rsidR="008D38BF" w:rsidRPr="009F38EC">
              <w:rPr>
                <w:rFonts w:ascii="Times New Roman" w:eastAsia="SimSun" w:hAnsi="Times New Roman" w:cs="Times New Roman" w:hint="eastAsia"/>
                <w:color w:val="000000"/>
                <w:kern w:val="0"/>
                <w:vertAlign w:val="superscript"/>
                <w14:ligatures w14:val="none"/>
              </w:rPr>
              <w:t xml:space="preserve"> 35</w:t>
            </w:r>
          </w:p>
        </w:tc>
        <w:tc>
          <w:tcPr>
            <w:tcW w:w="863" w:type="pct"/>
            <w:vMerge w:val="restart"/>
            <w:tcBorders>
              <w:top w:val="nil"/>
              <w:left w:val="nil"/>
              <w:bottom w:val="single" w:sz="8" w:space="0" w:color="000000"/>
              <w:right w:val="nil"/>
            </w:tcBorders>
            <w:noWrap/>
            <w:vAlign w:val="center"/>
            <w:hideMark/>
          </w:tcPr>
          <w:p w14:paraId="2A837F8A" w14:textId="77777777" w:rsidR="004022A0" w:rsidRPr="009F38EC" w:rsidRDefault="004022A0" w:rsidP="004C4117">
            <w:pPr>
              <w:spacing w:after="0"/>
              <w:ind w:firstLineChars="0"/>
              <w:jc w:val="center"/>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NONMEM /FOCE-I</w:t>
            </w:r>
          </w:p>
        </w:tc>
        <w:tc>
          <w:tcPr>
            <w:tcW w:w="1830" w:type="pct"/>
            <w:tcBorders>
              <w:top w:val="nil"/>
              <w:left w:val="nil"/>
              <w:bottom w:val="nil"/>
              <w:right w:val="nil"/>
            </w:tcBorders>
            <w:vAlign w:val="center"/>
            <w:hideMark/>
          </w:tcPr>
          <w:p w14:paraId="11C08955"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CL=15 L/h</w:t>
            </w:r>
            <w:r w:rsidRPr="009F38EC">
              <w:rPr>
                <w:rFonts w:ascii="Times New Roman" w:eastAsia="SimSun" w:hAnsi="Times New Roman" w:cs="Times New Roman"/>
                <w:color w:val="000000"/>
                <w:kern w:val="0"/>
                <w14:ligatures w14:val="none"/>
              </w:rPr>
              <w:br/>
              <w:t>CL=15*0.783 (CYP3A moderate Inhibitor)</w:t>
            </w:r>
            <w:r w:rsidRPr="009F38EC">
              <w:rPr>
                <w:rFonts w:ascii="Times New Roman" w:eastAsia="SimSun" w:hAnsi="Times New Roman" w:cs="Times New Roman"/>
                <w:color w:val="000000"/>
                <w:kern w:val="0"/>
                <w14:ligatures w14:val="none"/>
              </w:rPr>
              <w:br/>
              <w:t>CL=15*0.149 (CYP3A strong  Inhibitor)</w:t>
            </w:r>
            <w:r w:rsidRPr="009F38EC">
              <w:rPr>
                <w:rFonts w:ascii="Times New Roman" w:eastAsia="SimSun" w:hAnsi="Times New Roman" w:cs="Times New Roman"/>
                <w:color w:val="000000"/>
                <w:kern w:val="0"/>
                <w14:ligatures w14:val="none"/>
              </w:rPr>
              <w:br/>
              <w:t>CL=15*0.834 (OATP1B3 inhibitor)</w:t>
            </w:r>
            <w:r w:rsidRPr="009F38EC">
              <w:rPr>
                <w:rFonts w:ascii="Times New Roman" w:eastAsia="SimSun" w:hAnsi="Times New Roman" w:cs="Times New Roman"/>
                <w:color w:val="000000"/>
                <w:kern w:val="0"/>
                <w14:ligatures w14:val="none"/>
              </w:rPr>
              <w:br/>
              <w:t>CL=15*1.35 (If the data was from healthy/non-hemopathy population)</w:t>
            </w:r>
          </w:p>
        </w:tc>
        <w:tc>
          <w:tcPr>
            <w:tcW w:w="561" w:type="pct"/>
            <w:tcBorders>
              <w:top w:val="nil"/>
              <w:left w:val="nil"/>
              <w:bottom w:val="nil"/>
              <w:right w:val="nil"/>
            </w:tcBorders>
            <w:noWrap/>
            <w:vAlign w:val="center"/>
            <w:hideMark/>
          </w:tcPr>
          <w:p w14:paraId="22613E3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0.189</w:t>
            </w:r>
          </w:p>
        </w:tc>
        <w:tc>
          <w:tcPr>
            <w:tcW w:w="703" w:type="pct"/>
            <w:tcBorders>
              <w:top w:val="nil"/>
              <w:left w:val="nil"/>
              <w:bottom w:val="nil"/>
              <w:right w:val="nil"/>
            </w:tcBorders>
            <w:noWrap/>
            <w:vAlign w:val="center"/>
            <w:hideMark/>
          </w:tcPr>
          <w:p w14:paraId="079BE67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Prop=0.189</w:t>
            </w:r>
          </w:p>
        </w:tc>
      </w:tr>
      <w:tr w:rsidR="004022A0" w:rsidRPr="009F38EC" w14:paraId="532B351F" w14:textId="77777777" w:rsidTr="004C4117">
        <w:trPr>
          <w:trHeight w:val="1080"/>
        </w:trPr>
        <w:tc>
          <w:tcPr>
            <w:tcW w:w="1043" w:type="pct"/>
            <w:vMerge/>
            <w:tcBorders>
              <w:top w:val="nil"/>
              <w:left w:val="nil"/>
              <w:bottom w:val="single" w:sz="8" w:space="0" w:color="000000"/>
              <w:right w:val="nil"/>
            </w:tcBorders>
            <w:vAlign w:val="center"/>
            <w:hideMark/>
          </w:tcPr>
          <w:p w14:paraId="36F0564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8" w:space="0" w:color="000000"/>
              <w:right w:val="nil"/>
            </w:tcBorders>
            <w:vAlign w:val="center"/>
            <w:hideMark/>
          </w:tcPr>
          <w:p w14:paraId="3D2BC08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vAlign w:val="center"/>
            <w:hideMark/>
          </w:tcPr>
          <w:p w14:paraId="52861C37"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V2=107 L</w:t>
            </w:r>
            <w:r w:rsidRPr="009F38EC">
              <w:rPr>
                <w:rFonts w:ascii="Times New Roman" w:eastAsia="SimSun" w:hAnsi="Times New Roman" w:cs="Times New Roman"/>
                <w:color w:val="000000"/>
                <w:kern w:val="0"/>
                <w14:ligatures w14:val="none"/>
              </w:rPr>
              <w:br/>
              <w:t>V2=107*0.721 L (If female)</w:t>
            </w:r>
            <w:r w:rsidRPr="009F38EC">
              <w:rPr>
                <w:rFonts w:ascii="Times New Roman" w:eastAsia="SimSun" w:hAnsi="Times New Roman" w:cs="Times New Roman"/>
                <w:color w:val="000000"/>
                <w:kern w:val="0"/>
                <w14:ligatures w14:val="none"/>
              </w:rPr>
              <w:br/>
              <w:t>V2=107*0.536 L (If healthy/non-hemopathy population)</w:t>
            </w:r>
          </w:p>
        </w:tc>
        <w:tc>
          <w:tcPr>
            <w:tcW w:w="561" w:type="pct"/>
            <w:tcBorders>
              <w:top w:val="nil"/>
              <w:left w:val="nil"/>
              <w:bottom w:val="nil"/>
              <w:right w:val="nil"/>
            </w:tcBorders>
            <w:noWrap/>
            <w:vAlign w:val="center"/>
            <w:hideMark/>
          </w:tcPr>
          <w:p w14:paraId="7DF538A7"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0.283</w:t>
            </w:r>
          </w:p>
        </w:tc>
        <w:tc>
          <w:tcPr>
            <w:tcW w:w="703" w:type="pct"/>
            <w:tcBorders>
              <w:top w:val="nil"/>
              <w:left w:val="nil"/>
              <w:bottom w:val="nil"/>
              <w:right w:val="nil"/>
            </w:tcBorders>
            <w:noWrap/>
            <w:vAlign w:val="center"/>
            <w:hideMark/>
          </w:tcPr>
          <w:p w14:paraId="438B543B"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65889BC5" w14:textId="77777777" w:rsidTr="004C4117">
        <w:trPr>
          <w:trHeight w:val="360"/>
        </w:trPr>
        <w:tc>
          <w:tcPr>
            <w:tcW w:w="1043" w:type="pct"/>
            <w:vMerge/>
            <w:tcBorders>
              <w:top w:val="nil"/>
              <w:left w:val="nil"/>
              <w:bottom w:val="single" w:sz="8" w:space="0" w:color="000000"/>
              <w:right w:val="nil"/>
            </w:tcBorders>
            <w:vAlign w:val="center"/>
            <w:hideMark/>
          </w:tcPr>
          <w:p w14:paraId="3BA1D05C"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8" w:space="0" w:color="000000"/>
              <w:right w:val="nil"/>
            </w:tcBorders>
            <w:vAlign w:val="center"/>
            <w:hideMark/>
          </w:tcPr>
          <w:p w14:paraId="49C33B0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61BD558F"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Q=6.58 L/h</w:t>
            </w:r>
          </w:p>
        </w:tc>
        <w:tc>
          <w:tcPr>
            <w:tcW w:w="561" w:type="pct"/>
            <w:tcBorders>
              <w:top w:val="nil"/>
              <w:left w:val="nil"/>
              <w:bottom w:val="nil"/>
              <w:right w:val="nil"/>
            </w:tcBorders>
            <w:noWrap/>
            <w:vAlign w:val="center"/>
            <w:hideMark/>
          </w:tcPr>
          <w:p w14:paraId="3788481C" w14:textId="6F5C58BC"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02432900"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0A28DA22" w14:textId="77777777" w:rsidTr="004C4117">
        <w:trPr>
          <w:trHeight w:val="360"/>
        </w:trPr>
        <w:tc>
          <w:tcPr>
            <w:tcW w:w="1043" w:type="pct"/>
            <w:vMerge/>
            <w:tcBorders>
              <w:top w:val="nil"/>
              <w:left w:val="nil"/>
              <w:bottom w:val="single" w:sz="8" w:space="0" w:color="000000"/>
              <w:right w:val="nil"/>
            </w:tcBorders>
            <w:vAlign w:val="center"/>
            <w:hideMark/>
          </w:tcPr>
          <w:p w14:paraId="44CCCC4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8" w:space="0" w:color="000000"/>
              <w:right w:val="nil"/>
            </w:tcBorders>
            <w:vAlign w:val="center"/>
            <w:hideMark/>
          </w:tcPr>
          <w:p w14:paraId="7FC6A0D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0215C735"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V3=217 L</w:t>
            </w:r>
          </w:p>
        </w:tc>
        <w:tc>
          <w:tcPr>
            <w:tcW w:w="561" w:type="pct"/>
            <w:tcBorders>
              <w:top w:val="nil"/>
              <w:left w:val="nil"/>
              <w:bottom w:val="nil"/>
              <w:right w:val="nil"/>
            </w:tcBorders>
            <w:noWrap/>
            <w:vAlign w:val="center"/>
            <w:hideMark/>
          </w:tcPr>
          <w:p w14:paraId="1887E10C" w14:textId="3D139691"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2FD143F5"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7D93D012" w14:textId="77777777" w:rsidTr="004C4117">
        <w:trPr>
          <w:trHeight w:val="360"/>
        </w:trPr>
        <w:tc>
          <w:tcPr>
            <w:tcW w:w="1043" w:type="pct"/>
            <w:vMerge/>
            <w:tcBorders>
              <w:top w:val="nil"/>
              <w:left w:val="nil"/>
              <w:bottom w:val="single" w:sz="8" w:space="0" w:color="000000"/>
              <w:right w:val="nil"/>
            </w:tcBorders>
            <w:vAlign w:val="center"/>
            <w:hideMark/>
          </w:tcPr>
          <w:p w14:paraId="5C4512CE"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8" w:space="0" w:color="000000"/>
              <w:right w:val="nil"/>
            </w:tcBorders>
            <w:vAlign w:val="center"/>
            <w:hideMark/>
          </w:tcPr>
          <w:p w14:paraId="60EF5B7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59952DB6"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KA=0.17 /h</w:t>
            </w:r>
          </w:p>
        </w:tc>
        <w:tc>
          <w:tcPr>
            <w:tcW w:w="561" w:type="pct"/>
            <w:tcBorders>
              <w:top w:val="nil"/>
              <w:left w:val="nil"/>
              <w:bottom w:val="nil"/>
              <w:right w:val="nil"/>
            </w:tcBorders>
            <w:noWrap/>
            <w:vAlign w:val="center"/>
            <w:hideMark/>
          </w:tcPr>
          <w:p w14:paraId="4B078984" w14:textId="12697E3F" w:rsidR="004022A0" w:rsidRPr="009F38EC" w:rsidRDefault="00F45207"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hint="eastAsia"/>
                <w:color w:val="000000"/>
                <w:kern w:val="0"/>
                <w14:ligatures w14:val="none"/>
              </w:rPr>
              <w:t>/</w:t>
            </w:r>
          </w:p>
        </w:tc>
        <w:tc>
          <w:tcPr>
            <w:tcW w:w="703" w:type="pct"/>
            <w:tcBorders>
              <w:top w:val="nil"/>
              <w:left w:val="nil"/>
              <w:bottom w:val="nil"/>
              <w:right w:val="nil"/>
            </w:tcBorders>
            <w:noWrap/>
            <w:vAlign w:val="center"/>
            <w:hideMark/>
          </w:tcPr>
          <w:p w14:paraId="7B336417" w14:textId="77777777" w:rsidR="004022A0" w:rsidRPr="009F38EC" w:rsidRDefault="004022A0" w:rsidP="004C4117">
            <w:pPr>
              <w:spacing w:after="0"/>
              <w:ind w:firstLineChars="0"/>
              <w:rPr>
                <w:rFonts w:ascii="Times New Roman" w:eastAsia="Times New Roman" w:hAnsi="Times New Roman" w:cs="Times New Roman"/>
                <w:color w:val="000000"/>
                <w:kern w:val="0"/>
                <w14:ligatures w14:val="none"/>
              </w:rPr>
            </w:pPr>
          </w:p>
        </w:tc>
      </w:tr>
      <w:tr w:rsidR="004022A0" w:rsidRPr="009F38EC" w14:paraId="43994D02" w14:textId="77777777" w:rsidTr="004C4117">
        <w:trPr>
          <w:trHeight w:val="360"/>
        </w:trPr>
        <w:tc>
          <w:tcPr>
            <w:tcW w:w="1043" w:type="pct"/>
            <w:vMerge/>
            <w:tcBorders>
              <w:top w:val="nil"/>
              <w:left w:val="nil"/>
              <w:bottom w:val="single" w:sz="8" w:space="0" w:color="000000"/>
              <w:right w:val="nil"/>
            </w:tcBorders>
            <w:vAlign w:val="center"/>
            <w:hideMark/>
          </w:tcPr>
          <w:p w14:paraId="2AA23D59"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8" w:space="0" w:color="000000"/>
              <w:right w:val="nil"/>
            </w:tcBorders>
            <w:vAlign w:val="center"/>
            <w:hideMark/>
          </w:tcPr>
          <w:p w14:paraId="2D184E15"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nil"/>
              <w:right w:val="nil"/>
            </w:tcBorders>
            <w:noWrap/>
            <w:vAlign w:val="center"/>
            <w:hideMark/>
          </w:tcPr>
          <w:p w14:paraId="187851CD"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KTR=1.35 /h</w:t>
            </w:r>
          </w:p>
        </w:tc>
        <w:tc>
          <w:tcPr>
            <w:tcW w:w="561" w:type="pct"/>
            <w:tcBorders>
              <w:top w:val="nil"/>
              <w:left w:val="nil"/>
              <w:bottom w:val="nil"/>
              <w:right w:val="nil"/>
            </w:tcBorders>
            <w:noWrap/>
            <w:vAlign w:val="center"/>
            <w:hideMark/>
          </w:tcPr>
          <w:p w14:paraId="5AE6D49A"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0.497</w:t>
            </w:r>
          </w:p>
        </w:tc>
        <w:tc>
          <w:tcPr>
            <w:tcW w:w="703" w:type="pct"/>
            <w:tcBorders>
              <w:top w:val="nil"/>
              <w:left w:val="nil"/>
              <w:bottom w:val="nil"/>
              <w:right w:val="nil"/>
            </w:tcBorders>
            <w:noWrap/>
            <w:vAlign w:val="center"/>
            <w:hideMark/>
          </w:tcPr>
          <w:p w14:paraId="6476FB73"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r w:rsidR="004022A0" w:rsidRPr="009F38EC" w14:paraId="38017D2E" w14:textId="77777777" w:rsidTr="004C4117">
        <w:trPr>
          <w:trHeight w:val="1455"/>
        </w:trPr>
        <w:tc>
          <w:tcPr>
            <w:tcW w:w="1043" w:type="pct"/>
            <w:vMerge/>
            <w:tcBorders>
              <w:top w:val="nil"/>
              <w:left w:val="nil"/>
              <w:bottom w:val="single" w:sz="8" w:space="0" w:color="000000"/>
              <w:right w:val="nil"/>
            </w:tcBorders>
            <w:vAlign w:val="center"/>
            <w:hideMark/>
          </w:tcPr>
          <w:p w14:paraId="6B2C2495"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863" w:type="pct"/>
            <w:vMerge/>
            <w:tcBorders>
              <w:top w:val="nil"/>
              <w:left w:val="nil"/>
              <w:bottom w:val="single" w:sz="8" w:space="0" w:color="000000"/>
              <w:right w:val="nil"/>
            </w:tcBorders>
            <w:vAlign w:val="center"/>
            <w:hideMark/>
          </w:tcPr>
          <w:p w14:paraId="178466B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c>
          <w:tcPr>
            <w:tcW w:w="1830" w:type="pct"/>
            <w:tcBorders>
              <w:top w:val="nil"/>
              <w:left w:val="nil"/>
              <w:bottom w:val="single" w:sz="8" w:space="0" w:color="000000"/>
              <w:right w:val="nil"/>
            </w:tcBorders>
            <w:vAlign w:val="center"/>
            <w:hideMark/>
          </w:tcPr>
          <w:p w14:paraId="4D641978" w14:textId="77777777" w:rsidR="004022A0" w:rsidRPr="009F38EC" w:rsidRDefault="004022A0" w:rsidP="004C4117">
            <w:pPr>
              <w:spacing w:after="0"/>
              <w:ind w:firstLineChars="0" w:firstLine="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F1=1 FIX</w:t>
            </w:r>
            <w:r w:rsidRPr="009F38EC">
              <w:rPr>
                <w:rFonts w:ascii="Times New Roman" w:eastAsia="SimSun" w:hAnsi="Times New Roman" w:cs="Times New Roman"/>
                <w:color w:val="000000"/>
                <w:kern w:val="0"/>
                <w14:ligatures w14:val="none"/>
              </w:rPr>
              <w:br/>
              <w:t>F1=0.34 (Fasting state)</w:t>
            </w:r>
            <w:r w:rsidRPr="009F38EC">
              <w:rPr>
                <w:rFonts w:ascii="Times New Roman" w:eastAsia="SimSun" w:hAnsi="Times New Roman" w:cs="Times New Roman"/>
                <w:color w:val="000000"/>
                <w:kern w:val="0"/>
                <w14:ligatures w14:val="none"/>
              </w:rPr>
              <w:br/>
              <w:t>F1=1.42 (Moderate fat)</w:t>
            </w:r>
            <w:r w:rsidRPr="009F38EC">
              <w:rPr>
                <w:rFonts w:ascii="Times New Roman" w:eastAsia="SimSun" w:hAnsi="Times New Roman" w:cs="Times New Roman"/>
                <w:color w:val="000000"/>
                <w:kern w:val="0"/>
                <w14:ligatures w14:val="none"/>
              </w:rPr>
              <w:br/>
              <w:t>F1=(DOSE/400)^(-0.201)</w:t>
            </w:r>
          </w:p>
        </w:tc>
        <w:tc>
          <w:tcPr>
            <w:tcW w:w="561" w:type="pct"/>
            <w:tcBorders>
              <w:top w:val="nil"/>
              <w:left w:val="nil"/>
              <w:bottom w:val="single" w:sz="8" w:space="0" w:color="000000"/>
              <w:right w:val="nil"/>
            </w:tcBorders>
            <w:noWrap/>
            <w:vAlign w:val="center"/>
            <w:hideMark/>
          </w:tcPr>
          <w:p w14:paraId="1431FEE4"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r w:rsidRPr="009F38EC">
              <w:rPr>
                <w:rFonts w:ascii="Times New Roman" w:eastAsia="SimSun" w:hAnsi="Times New Roman" w:cs="Times New Roman"/>
                <w:color w:val="000000"/>
                <w:kern w:val="0"/>
                <w14:ligatures w14:val="none"/>
              </w:rPr>
              <w:t>0.17</w:t>
            </w:r>
          </w:p>
        </w:tc>
        <w:tc>
          <w:tcPr>
            <w:tcW w:w="703" w:type="pct"/>
            <w:tcBorders>
              <w:top w:val="nil"/>
              <w:left w:val="nil"/>
              <w:bottom w:val="single" w:sz="8" w:space="0" w:color="000000"/>
              <w:right w:val="nil"/>
            </w:tcBorders>
            <w:noWrap/>
            <w:vAlign w:val="center"/>
            <w:hideMark/>
          </w:tcPr>
          <w:p w14:paraId="5D0C32B0" w14:textId="77777777" w:rsidR="004022A0" w:rsidRPr="009F38EC" w:rsidRDefault="004022A0" w:rsidP="004C4117">
            <w:pPr>
              <w:spacing w:after="0"/>
              <w:ind w:firstLineChars="0"/>
              <w:rPr>
                <w:rFonts w:ascii="Times New Roman" w:eastAsia="SimSun" w:hAnsi="Times New Roman" w:cs="Times New Roman"/>
                <w:color w:val="000000"/>
                <w:kern w:val="0"/>
                <w14:ligatures w14:val="none"/>
              </w:rPr>
            </w:pPr>
          </w:p>
        </w:tc>
      </w:tr>
    </w:tbl>
    <w:p w14:paraId="5A0B6BAE" w14:textId="7E7D7F40" w:rsidR="004022A0" w:rsidRPr="009F38EC" w:rsidRDefault="004022A0" w:rsidP="003B5CFD">
      <w:pPr>
        <w:ind w:firstLineChars="0" w:firstLine="0"/>
        <w:rPr>
          <w:rFonts w:ascii="Times New Roman" w:hAnsi="Times New Roman"/>
          <w:color w:val="000000"/>
        </w:rPr>
      </w:pPr>
      <w:r w:rsidRPr="009F38EC">
        <w:rPr>
          <w:rFonts w:ascii="Times New Roman" w:hAnsi="Times New Roman" w:hint="eastAsia"/>
          <w:color w:val="000000"/>
        </w:rPr>
        <w:t xml:space="preserve">Notes: CL/F: The apparent plasma clearance; F1: the </w:t>
      </w:r>
      <w:r w:rsidRPr="009F38EC">
        <w:rPr>
          <w:rFonts w:ascii="Times New Roman" w:hAnsi="Times New Roman"/>
          <w:color w:val="000000"/>
        </w:rPr>
        <w:t>relative</w:t>
      </w:r>
      <w:r w:rsidRPr="009F38EC">
        <w:rPr>
          <w:rFonts w:ascii="Times New Roman" w:hAnsi="Times New Roman" w:hint="eastAsia"/>
          <w:color w:val="000000"/>
        </w:rPr>
        <w:t xml:space="preserve"> </w:t>
      </w:r>
      <w:r w:rsidRPr="009F38EC">
        <w:rPr>
          <w:rFonts w:ascii="Times New Roman" w:hAnsi="Times New Roman"/>
          <w:color w:val="000000"/>
        </w:rPr>
        <w:t>bioavailability</w:t>
      </w:r>
      <w:r w:rsidRPr="009F38EC">
        <w:rPr>
          <w:rFonts w:ascii="Times New Roman" w:hAnsi="Times New Roman" w:hint="eastAsia"/>
          <w:color w:val="000000"/>
        </w:rPr>
        <w:t>; V2: The apparent volume distribution in central compartment; V3: The apparent volume distribution in peripheric compartment; KA: The absorption rate constant; KTR: the transfer rate constant; Q: the inter-compartment clearance</w:t>
      </w:r>
      <w:r w:rsidR="00F45207" w:rsidRPr="009F38EC">
        <w:rPr>
          <w:rFonts w:ascii="Times New Roman" w:hAnsi="Times New Roman" w:hint="eastAsia"/>
          <w:color w:val="000000"/>
        </w:rPr>
        <w:t>; /, represents data not reported</w:t>
      </w:r>
      <w:r w:rsidR="009C400A" w:rsidRPr="009F38EC">
        <w:rPr>
          <w:rFonts w:ascii="Times New Roman" w:hAnsi="Times New Roman" w:hint="eastAsia"/>
          <w:color w:val="000000"/>
        </w:rPr>
        <w:t>; Prop, proportional error; Add, additive error</w:t>
      </w:r>
      <w:r w:rsidR="00F45207" w:rsidRPr="009F38EC">
        <w:rPr>
          <w:rFonts w:ascii="Times New Roman" w:hAnsi="Times New Roman" w:hint="eastAsia"/>
          <w:color w:val="000000"/>
        </w:rPr>
        <w:t>.</w:t>
      </w:r>
    </w:p>
    <w:sectPr w:rsidR="004022A0" w:rsidRPr="009F38EC" w:rsidSect="003B5CFD">
      <w:pgSz w:w="16838" w:h="11906" w:orient="landscape"/>
      <w:pgMar w:top="1797" w:right="1440" w:bottom="1797" w:left="144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FEEF7" w14:textId="77777777" w:rsidR="009A024E" w:rsidRDefault="009A024E" w:rsidP="00E9075B">
      <w:pPr>
        <w:spacing w:after="0"/>
        <w:ind w:firstLine="480"/>
      </w:pPr>
      <w:r>
        <w:separator/>
      </w:r>
    </w:p>
  </w:endnote>
  <w:endnote w:type="continuationSeparator" w:id="0">
    <w:p w14:paraId="56699D88" w14:textId="77777777" w:rsidR="009A024E" w:rsidRDefault="009A024E" w:rsidP="00E9075B">
      <w:pPr>
        <w:spacing w:after="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A0F9" w14:textId="2DC536C3" w:rsidR="00897B5D" w:rsidRDefault="009F38EC">
    <w:pPr>
      <w:pStyle w:val="Footer"/>
      <w:ind w:firstLine="480"/>
    </w:pPr>
    <w:r>
      <w:rPr>
        <w:noProof/>
      </w:rPr>
      <mc:AlternateContent>
        <mc:Choice Requires="wps">
          <w:drawing>
            <wp:anchor distT="0" distB="0" distL="0" distR="0" simplePos="0" relativeHeight="251659264" behindDoc="0" locked="0" layoutInCell="1" allowOverlap="1" wp14:anchorId="01D2A6CB" wp14:editId="03159D82">
              <wp:simplePos x="635" y="635"/>
              <wp:positionH relativeFrom="page">
                <wp:align>left</wp:align>
              </wp:positionH>
              <wp:positionV relativeFrom="page">
                <wp:align>bottom</wp:align>
              </wp:positionV>
              <wp:extent cx="2314575" cy="324485"/>
              <wp:effectExtent l="0" t="0" r="9525" b="0"/>
              <wp:wrapNone/>
              <wp:docPr id="204964718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14575" cy="324485"/>
                      </a:xfrm>
                      <a:prstGeom prst="rect">
                        <a:avLst/>
                      </a:prstGeom>
                      <a:noFill/>
                      <a:ln>
                        <a:noFill/>
                      </a:ln>
                    </wps:spPr>
                    <wps:txbx>
                      <w:txbxContent>
                        <w:p w14:paraId="0D635B3B" w14:textId="37AF9E5E" w:rsidR="009F38EC" w:rsidRPr="009F38EC" w:rsidRDefault="009F38EC" w:rsidP="009F38EC">
                          <w:pPr>
                            <w:spacing w:after="0"/>
                            <w:ind w:firstLine="360"/>
                            <w:rPr>
                              <w:rFonts w:ascii="Rockwell" w:eastAsia="Rockwell" w:hAnsi="Rockwell" w:cs="Rockwell"/>
                              <w:noProof/>
                              <w:color w:val="0078D7"/>
                              <w:sz w:val="18"/>
                              <w:szCs w:val="18"/>
                            </w:rPr>
                          </w:pPr>
                          <w:r w:rsidRPr="009F38E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D2A6CB" id="_x0000_t202" coordsize="21600,21600" o:spt="202" path="m,l,21600r21600,l21600,xe">
              <v:stroke joinstyle="miter"/>
              <v:path gradientshapeok="t" o:connecttype="rect"/>
            </v:shapetype>
            <v:shape id="Text Box 2" o:spid="_x0000_s1027" type="#_x0000_t202" alt="Information Classification: General" style="position:absolute;left:0;text-align:left;margin-left:0;margin-top:0;width:182.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" filled="f" stroked="f">
              <v:fill o:detectmouseclick="t"/>
              <v:textbox style="mso-fit-shape-to-text:t" inset="20pt,0,0,15pt">
                <w:txbxContent>
                  <w:p w14:paraId="0D635B3B" w14:textId="37AF9E5E" w:rsidR="009F38EC" w:rsidRPr="009F38EC" w:rsidRDefault="009F38EC" w:rsidP="009F38EC">
                    <w:pPr>
                      <w:spacing w:after="0"/>
                      <w:ind w:firstLine="360"/>
                      <w:rPr>
                        <w:rFonts w:ascii="Rockwell" w:eastAsia="Rockwell" w:hAnsi="Rockwell" w:cs="Rockwell"/>
                        <w:noProof/>
                        <w:color w:val="0078D7"/>
                        <w:sz w:val="18"/>
                        <w:szCs w:val="18"/>
                      </w:rPr>
                    </w:pPr>
                    <w:r w:rsidRPr="009F38E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02B21" w14:textId="426530DB" w:rsidR="00897B5D" w:rsidRDefault="009F38EC">
    <w:pPr>
      <w:pStyle w:val="Footer"/>
      <w:ind w:firstLine="480"/>
    </w:pPr>
    <w:r>
      <w:rPr>
        <w:noProof/>
      </w:rPr>
      <mc:AlternateContent>
        <mc:Choice Requires="wps">
          <w:drawing>
            <wp:anchor distT="0" distB="0" distL="0" distR="0" simplePos="0" relativeHeight="251660288" behindDoc="0" locked="0" layoutInCell="1" allowOverlap="1" wp14:anchorId="3F101A59" wp14:editId="0E045B76">
              <wp:simplePos x="914400" y="6600825"/>
              <wp:positionH relativeFrom="page">
                <wp:align>left</wp:align>
              </wp:positionH>
              <wp:positionV relativeFrom="page">
                <wp:align>bottom</wp:align>
              </wp:positionV>
              <wp:extent cx="2314575" cy="324485"/>
              <wp:effectExtent l="0" t="0" r="9525" b="0"/>
              <wp:wrapNone/>
              <wp:docPr id="60234931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14575" cy="324485"/>
                      </a:xfrm>
                      <a:prstGeom prst="rect">
                        <a:avLst/>
                      </a:prstGeom>
                      <a:noFill/>
                      <a:ln>
                        <a:noFill/>
                      </a:ln>
                    </wps:spPr>
                    <wps:txbx>
                      <w:txbxContent>
                        <w:p w14:paraId="55CB11C1" w14:textId="6A74EFCE" w:rsidR="009F38EC" w:rsidRPr="009F38EC" w:rsidRDefault="009F38EC" w:rsidP="009F38EC">
                          <w:pPr>
                            <w:spacing w:after="0"/>
                            <w:ind w:firstLine="360"/>
                            <w:rPr>
                              <w:rFonts w:ascii="Rockwell" w:eastAsia="Rockwell" w:hAnsi="Rockwell" w:cs="Rockwell"/>
                              <w:noProof/>
                              <w:color w:val="0078D7"/>
                              <w:sz w:val="18"/>
                              <w:szCs w:val="18"/>
                            </w:rPr>
                          </w:pPr>
                          <w:r w:rsidRPr="009F38E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101A59" id="_x0000_t202" coordsize="21600,21600" o:spt="202" path="m,l,21600r21600,l21600,xe">
              <v:stroke joinstyle="miter"/>
              <v:path gradientshapeok="t" o:connecttype="rect"/>
            </v:shapetype>
            <v:shape id="Text Box 3" o:spid="_x0000_s1028" type="#_x0000_t202" alt="Information Classification: General" style="position:absolute;left:0;text-align:left;margin-left:0;margin-top:0;width:182.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" filled="f" stroked="f">
              <v:fill o:detectmouseclick="t"/>
              <v:textbox style="mso-fit-shape-to-text:t" inset="20pt,0,0,15pt">
                <w:txbxContent>
                  <w:p w14:paraId="55CB11C1" w14:textId="6A74EFCE" w:rsidR="009F38EC" w:rsidRPr="009F38EC" w:rsidRDefault="009F38EC" w:rsidP="009F38EC">
                    <w:pPr>
                      <w:spacing w:after="0"/>
                      <w:ind w:firstLine="360"/>
                      <w:rPr>
                        <w:rFonts w:ascii="Rockwell" w:eastAsia="Rockwell" w:hAnsi="Rockwell" w:cs="Rockwell"/>
                        <w:noProof/>
                        <w:color w:val="0078D7"/>
                        <w:sz w:val="18"/>
                        <w:szCs w:val="18"/>
                      </w:rPr>
                    </w:pPr>
                    <w:r w:rsidRPr="009F38E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D16F0" w14:textId="77DB3BA9" w:rsidR="00897B5D" w:rsidRDefault="009F38EC">
    <w:pPr>
      <w:pStyle w:val="Footer"/>
      <w:ind w:firstLine="480"/>
    </w:pPr>
    <w:r>
      <w:rPr>
        <w:noProof/>
      </w:rPr>
      <mc:AlternateContent>
        <mc:Choice Requires="wps">
          <w:drawing>
            <wp:anchor distT="0" distB="0" distL="0" distR="0" simplePos="0" relativeHeight="251658240" behindDoc="0" locked="0" layoutInCell="1" allowOverlap="1" wp14:anchorId="308CB782" wp14:editId="3BF9B874">
              <wp:simplePos x="635" y="635"/>
              <wp:positionH relativeFrom="page">
                <wp:align>left</wp:align>
              </wp:positionH>
              <wp:positionV relativeFrom="page">
                <wp:align>bottom</wp:align>
              </wp:positionV>
              <wp:extent cx="2314575" cy="324485"/>
              <wp:effectExtent l="0" t="0" r="9525" b="0"/>
              <wp:wrapNone/>
              <wp:docPr id="176962963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14575" cy="324485"/>
                      </a:xfrm>
                      <a:prstGeom prst="rect">
                        <a:avLst/>
                      </a:prstGeom>
                      <a:noFill/>
                      <a:ln>
                        <a:noFill/>
                      </a:ln>
                    </wps:spPr>
                    <wps:txbx>
                      <w:txbxContent>
                        <w:p w14:paraId="57379C78" w14:textId="0B7A8A34" w:rsidR="009F38EC" w:rsidRPr="009F38EC" w:rsidRDefault="009F38EC" w:rsidP="009F38EC">
                          <w:pPr>
                            <w:spacing w:after="0"/>
                            <w:ind w:firstLine="360"/>
                            <w:rPr>
                              <w:rFonts w:ascii="Rockwell" w:eastAsia="Rockwell" w:hAnsi="Rockwell" w:cs="Rockwell"/>
                              <w:noProof/>
                              <w:color w:val="0078D7"/>
                              <w:sz w:val="18"/>
                              <w:szCs w:val="18"/>
                            </w:rPr>
                          </w:pPr>
                          <w:r w:rsidRPr="009F38E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8CB782" id="_x0000_t202" coordsize="21600,21600" o:spt="202" path="m,l,21600r21600,l21600,xe">
              <v:stroke joinstyle="miter"/>
              <v:path gradientshapeok="t" o:connecttype="rect"/>
            </v:shapetype>
            <v:shape id="Text Box 1" o:spid="_x0000_s1029" type="#_x0000_t202" alt="Information Classification: General" style="position:absolute;left:0;text-align:left;margin-left:0;margin-top:0;width:182.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" filled="f" stroked="f">
              <v:fill o:detectmouseclick="t"/>
              <v:textbox style="mso-fit-shape-to-text:t" inset="20pt,0,0,15pt">
                <w:txbxContent>
                  <w:p w14:paraId="57379C78" w14:textId="0B7A8A34" w:rsidR="009F38EC" w:rsidRPr="009F38EC" w:rsidRDefault="009F38EC" w:rsidP="009F38EC">
                    <w:pPr>
                      <w:spacing w:after="0"/>
                      <w:ind w:firstLine="360"/>
                      <w:rPr>
                        <w:rFonts w:ascii="Rockwell" w:eastAsia="Rockwell" w:hAnsi="Rockwell" w:cs="Rockwell"/>
                        <w:noProof/>
                        <w:color w:val="0078D7"/>
                        <w:sz w:val="18"/>
                        <w:szCs w:val="18"/>
                      </w:rPr>
                    </w:pPr>
                    <w:r w:rsidRPr="009F38E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0A9D7" w14:textId="77777777" w:rsidR="009A024E" w:rsidRDefault="009A024E" w:rsidP="00E9075B">
      <w:pPr>
        <w:spacing w:after="0"/>
        <w:ind w:firstLine="480"/>
      </w:pPr>
      <w:r>
        <w:separator/>
      </w:r>
    </w:p>
  </w:footnote>
  <w:footnote w:type="continuationSeparator" w:id="0">
    <w:p w14:paraId="3DA32686" w14:textId="77777777" w:rsidR="009A024E" w:rsidRDefault="009A024E" w:rsidP="00E9075B">
      <w:pPr>
        <w:spacing w:after="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25AB" w14:textId="77777777" w:rsidR="00897B5D" w:rsidRDefault="00897B5D">
    <w:pPr>
      <w:pStyle w:val="Heade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7B20" w14:textId="77777777" w:rsidR="00897B5D" w:rsidRDefault="00897B5D">
    <w:pPr>
      <w:pStyle w:val="Heade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47E32" w14:textId="77777777" w:rsidR="00897B5D" w:rsidRDefault="00897B5D">
    <w:pPr>
      <w:pStyle w:val="Heade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Formatting/>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zMLI0NjM1MDQ2MTZV0lEKTi0uzszPAykwNK0FAJEDKbItAAAA"/>
  </w:docVars>
  <w:rsids>
    <w:rsidRoot w:val="00227429"/>
    <w:rsid w:val="0007526C"/>
    <w:rsid w:val="00085A96"/>
    <w:rsid w:val="000A7D8A"/>
    <w:rsid w:val="0011336E"/>
    <w:rsid w:val="00130C36"/>
    <w:rsid w:val="001A5AE4"/>
    <w:rsid w:val="001A78F1"/>
    <w:rsid w:val="001D318B"/>
    <w:rsid w:val="001F1C46"/>
    <w:rsid w:val="00221101"/>
    <w:rsid w:val="00227429"/>
    <w:rsid w:val="00233DB3"/>
    <w:rsid w:val="00237D69"/>
    <w:rsid w:val="0025594D"/>
    <w:rsid w:val="002B03D6"/>
    <w:rsid w:val="00312059"/>
    <w:rsid w:val="00327B97"/>
    <w:rsid w:val="00347E69"/>
    <w:rsid w:val="003979F7"/>
    <w:rsid w:val="003A534E"/>
    <w:rsid w:val="003B56D6"/>
    <w:rsid w:val="003B5CFD"/>
    <w:rsid w:val="004022A0"/>
    <w:rsid w:val="00403847"/>
    <w:rsid w:val="004166F5"/>
    <w:rsid w:val="00457418"/>
    <w:rsid w:val="00471179"/>
    <w:rsid w:val="00477158"/>
    <w:rsid w:val="0049656D"/>
    <w:rsid w:val="004A389E"/>
    <w:rsid w:val="004B50E2"/>
    <w:rsid w:val="004D63AA"/>
    <w:rsid w:val="004F239A"/>
    <w:rsid w:val="005012E7"/>
    <w:rsid w:val="005053AF"/>
    <w:rsid w:val="00515EF7"/>
    <w:rsid w:val="00564AD3"/>
    <w:rsid w:val="00573F9F"/>
    <w:rsid w:val="005868D5"/>
    <w:rsid w:val="00593347"/>
    <w:rsid w:val="005E45B7"/>
    <w:rsid w:val="00635D4D"/>
    <w:rsid w:val="00637BA5"/>
    <w:rsid w:val="00663A9C"/>
    <w:rsid w:val="006929F9"/>
    <w:rsid w:val="006B5E98"/>
    <w:rsid w:val="00701E48"/>
    <w:rsid w:val="00754B9C"/>
    <w:rsid w:val="007559CA"/>
    <w:rsid w:val="00757EBC"/>
    <w:rsid w:val="00767B53"/>
    <w:rsid w:val="007919B0"/>
    <w:rsid w:val="007A2A26"/>
    <w:rsid w:val="007C52DA"/>
    <w:rsid w:val="007F3291"/>
    <w:rsid w:val="00837C69"/>
    <w:rsid w:val="00894E86"/>
    <w:rsid w:val="00897B5D"/>
    <w:rsid w:val="008A2E55"/>
    <w:rsid w:val="008C0ACD"/>
    <w:rsid w:val="008C0B9B"/>
    <w:rsid w:val="008D38BF"/>
    <w:rsid w:val="008F2A3D"/>
    <w:rsid w:val="00922B51"/>
    <w:rsid w:val="009312EC"/>
    <w:rsid w:val="009A024E"/>
    <w:rsid w:val="009B123B"/>
    <w:rsid w:val="009C400A"/>
    <w:rsid w:val="009F38EC"/>
    <w:rsid w:val="00A05E03"/>
    <w:rsid w:val="00A15645"/>
    <w:rsid w:val="00A40E5E"/>
    <w:rsid w:val="00A5626B"/>
    <w:rsid w:val="00A847CA"/>
    <w:rsid w:val="00AA24DB"/>
    <w:rsid w:val="00AB434F"/>
    <w:rsid w:val="00AE27B0"/>
    <w:rsid w:val="00AF600C"/>
    <w:rsid w:val="00B43567"/>
    <w:rsid w:val="00B46EC8"/>
    <w:rsid w:val="00B76FFF"/>
    <w:rsid w:val="00B94FEB"/>
    <w:rsid w:val="00B97E88"/>
    <w:rsid w:val="00BB43F7"/>
    <w:rsid w:val="00BC4579"/>
    <w:rsid w:val="00BE3DAD"/>
    <w:rsid w:val="00BF3AFD"/>
    <w:rsid w:val="00C25352"/>
    <w:rsid w:val="00C351AE"/>
    <w:rsid w:val="00C5458F"/>
    <w:rsid w:val="00C64739"/>
    <w:rsid w:val="00C67FBC"/>
    <w:rsid w:val="00CA578F"/>
    <w:rsid w:val="00CC18CB"/>
    <w:rsid w:val="00CD1E5B"/>
    <w:rsid w:val="00CD7314"/>
    <w:rsid w:val="00CE2A46"/>
    <w:rsid w:val="00CF3809"/>
    <w:rsid w:val="00D2136E"/>
    <w:rsid w:val="00D30381"/>
    <w:rsid w:val="00D32AE1"/>
    <w:rsid w:val="00D401E6"/>
    <w:rsid w:val="00D43F68"/>
    <w:rsid w:val="00D46F93"/>
    <w:rsid w:val="00D51B85"/>
    <w:rsid w:val="00DE0DFB"/>
    <w:rsid w:val="00DE2BC1"/>
    <w:rsid w:val="00DF5692"/>
    <w:rsid w:val="00DF6261"/>
    <w:rsid w:val="00DF7C2E"/>
    <w:rsid w:val="00E073D3"/>
    <w:rsid w:val="00E26236"/>
    <w:rsid w:val="00E3285C"/>
    <w:rsid w:val="00E44B3D"/>
    <w:rsid w:val="00E73802"/>
    <w:rsid w:val="00E9075B"/>
    <w:rsid w:val="00F23656"/>
    <w:rsid w:val="00F36F0D"/>
    <w:rsid w:val="00F45207"/>
    <w:rsid w:val="00F56714"/>
    <w:rsid w:val="00F815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B9789"/>
  <w14:defaultImageDpi w14:val="32767"/>
  <w15:chartTrackingRefBased/>
  <w15:docId w15:val="{5F77D11E-B057-4A0E-BFF7-03E346BE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heme="minorBidi"/>
        <w:kern w:val="2"/>
        <w:sz w:val="24"/>
        <w:szCs w:val="24"/>
        <w:lang w:val="en-US" w:eastAsia="zh-CN" w:bidi="ar-SA"/>
        <w14:ligatures w14:val="standardContextual"/>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75B"/>
    <w:pPr>
      <w:spacing w:line="240" w:lineRule="auto"/>
      <w:ind w:firstLineChars="200" w:firstLine="200"/>
    </w:pPr>
    <w:rPr>
      <w:rFonts w:asciiTheme="minorHAnsi" w:eastAsiaTheme="minorEastAsia" w:hAnsiTheme="minorHAnsi"/>
    </w:rPr>
  </w:style>
  <w:style w:type="paragraph" w:styleId="Heading1">
    <w:name w:val="heading 1"/>
    <w:basedOn w:val="Normal"/>
    <w:next w:val="Normal"/>
    <w:link w:val="Heading1Char"/>
    <w:uiPriority w:val="9"/>
    <w:qFormat/>
    <w:rsid w:val="0022742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22742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unhideWhenUsed/>
    <w:qFormat/>
    <w:rsid w:val="0022742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27429"/>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227429"/>
    <w:pPr>
      <w:keepNext/>
      <w:keepLines/>
      <w:spacing w:before="80" w:after="40"/>
      <w:outlineLvl w:val="4"/>
    </w:pPr>
    <w:rPr>
      <w:rFonts w:cstheme="majorBidi"/>
      <w:color w:val="2F5496" w:themeColor="accent1" w:themeShade="BF"/>
    </w:rPr>
  </w:style>
  <w:style w:type="paragraph" w:styleId="Heading6">
    <w:name w:val="heading 6"/>
    <w:basedOn w:val="Normal"/>
    <w:next w:val="Normal"/>
    <w:link w:val="Heading6Char"/>
    <w:uiPriority w:val="9"/>
    <w:semiHidden/>
    <w:unhideWhenUsed/>
    <w:qFormat/>
    <w:rsid w:val="00227429"/>
    <w:pPr>
      <w:keepNext/>
      <w:keepLines/>
      <w:spacing w:before="40" w:after="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227429"/>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227429"/>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227429"/>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link w:val="TitleChar"/>
    <w:autoRedefine/>
    <w:qFormat/>
    <w:rsid w:val="007919B0"/>
    <w:pPr>
      <w:keepNext/>
      <w:keepLines/>
      <w:spacing w:after="0" w:line="480" w:lineRule="auto"/>
      <w:ind w:leftChars="100" w:left="240" w:rightChars="100" w:right="240"/>
      <w:jc w:val="center"/>
    </w:pPr>
    <w:rPr>
      <w:rFonts w:asciiTheme="majorHAnsi" w:eastAsiaTheme="majorEastAsia" w:hAnsiTheme="majorHAnsi" w:cstheme="majorBidi"/>
      <w:b/>
      <w:bCs/>
      <w:color w:val="4472C4" w:themeColor="accent1"/>
      <w:kern w:val="0"/>
      <w:sz w:val="36"/>
      <w:szCs w:val="36"/>
      <w:lang w:eastAsia="en-US"/>
    </w:rPr>
  </w:style>
  <w:style w:type="character" w:customStyle="1" w:styleId="TitleChar">
    <w:name w:val="Title Char"/>
    <w:basedOn w:val="DefaultParagraphFont"/>
    <w:link w:val="Title"/>
    <w:rsid w:val="007919B0"/>
    <w:rPr>
      <w:rFonts w:asciiTheme="majorHAnsi" w:eastAsiaTheme="majorEastAsia" w:hAnsiTheme="majorHAnsi" w:cstheme="majorBidi"/>
      <w:b/>
      <w:bCs/>
      <w:color w:val="4472C4" w:themeColor="accent1"/>
      <w:kern w:val="0"/>
      <w:sz w:val="36"/>
      <w:szCs w:val="36"/>
      <w:lang w:eastAsia="en-US"/>
    </w:rPr>
  </w:style>
  <w:style w:type="paragraph" w:styleId="BodyText">
    <w:name w:val="Body Text"/>
    <w:basedOn w:val="Normal"/>
    <w:link w:val="BodyTextChar"/>
    <w:uiPriority w:val="99"/>
    <w:semiHidden/>
    <w:unhideWhenUsed/>
    <w:rsid w:val="0025594D"/>
    <w:pPr>
      <w:spacing w:after="120"/>
    </w:pPr>
  </w:style>
  <w:style w:type="character" w:customStyle="1" w:styleId="BodyTextChar">
    <w:name w:val="Body Text Char"/>
    <w:basedOn w:val="DefaultParagraphFont"/>
    <w:link w:val="BodyText"/>
    <w:uiPriority w:val="99"/>
    <w:semiHidden/>
    <w:rsid w:val="0025594D"/>
  </w:style>
  <w:style w:type="paragraph" w:customStyle="1" w:styleId="Author">
    <w:name w:val="Author"/>
    <w:next w:val="BodyText"/>
    <w:autoRedefine/>
    <w:qFormat/>
    <w:rsid w:val="00F56714"/>
    <w:pPr>
      <w:keepNext/>
      <w:keepLines/>
      <w:spacing w:before="600" w:after="800" w:line="480" w:lineRule="auto"/>
      <w:jc w:val="center"/>
    </w:pPr>
    <w:rPr>
      <w:b/>
      <w:kern w:val="0"/>
      <w:lang w:eastAsia="en-US"/>
    </w:rPr>
  </w:style>
  <w:style w:type="paragraph" w:styleId="Footer">
    <w:name w:val="footer"/>
    <w:basedOn w:val="Normal"/>
    <w:link w:val="FooterChar"/>
    <w:autoRedefine/>
    <w:uiPriority w:val="99"/>
    <w:unhideWhenUsed/>
    <w:qFormat/>
    <w:rsid w:val="0025594D"/>
    <w:pPr>
      <w:tabs>
        <w:tab w:val="center" w:pos="4536"/>
        <w:tab w:val="right" w:pos="9072"/>
      </w:tabs>
    </w:pPr>
  </w:style>
  <w:style w:type="character" w:customStyle="1" w:styleId="FooterChar">
    <w:name w:val="Footer Char"/>
    <w:basedOn w:val="DefaultParagraphFont"/>
    <w:link w:val="Footer"/>
    <w:uiPriority w:val="99"/>
    <w:rsid w:val="0025594D"/>
  </w:style>
  <w:style w:type="paragraph" w:styleId="Header">
    <w:name w:val="header"/>
    <w:basedOn w:val="Normal"/>
    <w:link w:val="HeaderChar"/>
    <w:autoRedefine/>
    <w:unhideWhenUsed/>
    <w:qFormat/>
    <w:rsid w:val="00F56714"/>
    <w:pPr>
      <w:tabs>
        <w:tab w:val="center" w:pos="4536"/>
        <w:tab w:val="right" w:pos="9072"/>
      </w:tabs>
      <w:spacing w:after="0"/>
    </w:pPr>
  </w:style>
  <w:style w:type="character" w:customStyle="1" w:styleId="HeaderChar">
    <w:name w:val="Header Char"/>
    <w:basedOn w:val="DefaultParagraphFont"/>
    <w:link w:val="Header"/>
    <w:rsid w:val="00F56714"/>
  </w:style>
  <w:style w:type="paragraph" w:styleId="Date">
    <w:name w:val="Date"/>
    <w:next w:val="BodyText"/>
    <w:link w:val="DateChar"/>
    <w:autoRedefine/>
    <w:qFormat/>
    <w:rsid w:val="007919B0"/>
    <w:pPr>
      <w:keepNext/>
      <w:keepLines/>
      <w:jc w:val="center"/>
    </w:pPr>
    <w:rPr>
      <w:b/>
      <w:kern w:val="0"/>
      <w:lang w:eastAsia="en-US"/>
    </w:rPr>
  </w:style>
  <w:style w:type="character" w:customStyle="1" w:styleId="DateChar">
    <w:name w:val="Date Char"/>
    <w:basedOn w:val="DefaultParagraphFont"/>
    <w:link w:val="Date"/>
    <w:rsid w:val="007919B0"/>
    <w:rPr>
      <w:b/>
      <w:kern w:val="0"/>
      <w:lang w:eastAsia="en-US"/>
    </w:rPr>
  </w:style>
  <w:style w:type="character" w:customStyle="1" w:styleId="Heading1Char">
    <w:name w:val="Heading 1 Char"/>
    <w:basedOn w:val="DefaultParagraphFont"/>
    <w:link w:val="Heading1"/>
    <w:uiPriority w:val="9"/>
    <w:rsid w:val="00227429"/>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227429"/>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rsid w:val="00227429"/>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27429"/>
    <w:rPr>
      <w:rFonts w:asciiTheme="minorHAnsi" w:eastAsiaTheme="minorEastAsia" w:hAnsiTheme="minorHAnsi"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227429"/>
    <w:rPr>
      <w:rFonts w:asciiTheme="minorHAnsi" w:eastAsiaTheme="min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27429"/>
    <w:rPr>
      <w:rFonts w:asciiTheme="minorHAnsi" w:eastAsiaTheme="minorEastAsia" w:hAnsiTheme="minorHAnsi" w:cstheme="majorBidi"/>
      <w:b/>
      <w:bCs/>
      <w:color w:val="2F5496" w:themeColor="accent1" w:themeShade="BF"/>
    </w:rPr>
  </w:style>
  <w:style w:type="character" w:customStyle="1" w:styleId="Heading7Char">
    <w:name w:val="Heading 7 Char"/>
    <w:basedOn w:val="DefaultParagraphFont"/>
    <w:link w:val="Heading7"/>
    <w:uiPriority w:val="9"/>
    <w:semiHidden/>
    <w:rsid w:val="00227429"/>
    <w:rPr>
      <w:rFonts w:asciiTheme="minorHAnsi" w:eastAsiaTheme="minorEastAsia" w:hAnsiTheme="minorHAnsi" w:cstheme="majorBidi"/>
      <w:b/>
      <w:bCs/>
      <w:color w:val="595959" w:themeColor="text1" w:themeTint="A6"/>
    </w:rPr>
  </w:style>
  <w:style w:type="character" w:customStyle="1" w:styleId="Heading8Char">
    <w:name w:val="Heading 8 Char"/>
    <w:basedOn w:val="DefaultParagraphFont"/>
    <w:link w:val="Heading8"/>
    <w:uiPriority w:val="9"/>
    <w:semiHidden/>
    <w:rsid w:val="00227429"/>
    <w:rPr>
      <w:rFonts w:asciiTheme="minorHAnsi" w:eastAsiaTheme="minorEastAsia" w:hAnsiTheme="minorHAnsi" w:cstheme="majorBidi"/>
      <w:color w:val="595959" w:themeColor="text1" w:themeTint="A6"/>
    </w:rPr>
  </w:style>
  <w:style w:type="character" w:customStyle="1" w:styleId="Heading9Char">
    <w:name w:val="Heading 9 Char"/>
    <w:basedOn w:val="DefaultParagraphFont"/>
    <w:link w:val="Heading9"/>
    <w:uiPriority w:val="9"/>
    <w:semiHidden/>
    <w:rsid w:val="00227429"/>
    <w:rPr>
      <w:rFonts w:asciiTheme="minorHAnsi" w:eastAsiaTheme="majorEastAsia" w:hAnsiTheme="minorHAnsi" w:cstheme="majorBidi"/>
      <w:color w:val="595959" w:themeColor="text1" w:themeTint="A6"/>
    </w:rPr>
  </w:style>
  <w:style w:type="paragraph" w:styleId="Subtitle">
    <w:name w:val="Subtitle"/>
    <w:basedOn w:val="Normal"/>
    <w:next w:val="Normal"/>
    <w:link w:val="SubtitleChar"/>
    <w:uiPriority w:val="11"/>
    <w:qFormat/>
    <w:rsid w:val="00227429"/>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429"/>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2274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7429"/>
    <w:rPr>
      <w:i/>
      <w:iCs/>
      <w:color w:val="404040" w:themeColor="text1" w:themeTint="BF"/>
    </w:rPr>
  </w:style>
  <w:style w:type="paragraph" w:styleId="ListParagraph">
    <w:name w:val="List Paragraph"/>
    <w:basedOn w:val="Normal"/>
    <w:uiPriority w:val="34"/>
    <w:qFormat/>
    <w:rsid w:val="00227429"/>
    <w:pPr>
      <w:ind w:left="720"/>
      <w:contextualSpacing/>
    </w:pPr>
  </w:style>
  <w:style w:type="character" w:styleId="IntenseEmphasis">
    <w:name w:val="Intense Emphasis"/>
    <w:basedOn w:val="DefaultParagraphFont"/>
    <w:uiPriority w:val="21"/>
    <w:qFormat/>
    <w:rsid w:val="00227429"/>
    <w:rPr>
      <w:i/>
      <w:iCs/>
      <w:color w:val="2F5496" w:themeColor="accent1" w:themeShade="BF"/>
    </w:rPr>
  </w:style>
  <w:style w:type="paragraph" w:styleId="IntenseQuote">
    <w:name w:val="Intense Quote"/>
    <w:basedOn w:val="Normal"/>
    <w:next w:val="Normal"/>
    <w:link w:val="IntenseQuoteChar"/>
    <w:uiPriority w:val="30"/>
    <w:qFormat/>
    <w:rsid w:val="002274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7429"/>
    <w:rPr>
      <w:i/>
      <w:iCs/>
      <w:color w:val="2F5496" w:themeColor="accent1" w:themeShade="BF"/>
    </w:rPr>
  </w:style>
  <w:style w:type="character" w:styleId="IntenseReference">
    <w:name w:val="Intense Reference"/>
    <w:basedOn w:val="DefaultParagraphFont"/>
    <w:uiPriority w:val="32"/>
    <w:qFormat/>
    <w:rsid w:val="00227429"/>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E9075B"/>
    <w:rPr>
      <w:sz w:val="21"/>
      <w:szCs w:val="21"/>
    </w:rPr>
  </w:style>
  <w:style w:type="paragraph" w:styleId="CommentText">
    <w:name w:val="annotation text"/>
    <w:basedOn w:val="Normal"/>
    <w:link w:val="CommentTextChar"/>
    <w:uiPriority w:val="99"/>
    <w:unhideWhenUsed/>
    <w:qFormat/>
    <w:rsid w:val="00E9075B"/>
  </w:style>
  <w:style w:type="character" w:customStyle="1" w:styleId="CommentTextChar">
    <w:name w:val="Comment Text Char"/>
    <w:basedOn w:val="DefaultParagraphFont"/>
    <w:link w:val="CommentText"/>
    <w:uiPriority w:val="99"/>
    <w:qFormat/>
    <w:rsid w:val="00E9075B"/>
    <w:rPr>
      <w:rFonts w:asciiTheme="minorHAnsi" w:eastAsiaTheme="minorEastAsia" w:hAnsiTheme="minorHAnsi"/>
    </w:rPr>
  </w:style>
  <w:style w:type="character" w:customStyle="1" w:styleId="font11">
    <w:name w:val="font11"/>
    <w:basedOn w:val="DefaultParagraphFont"/>
    <w:rsid w:val="00B46EC8"/>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font21">
    <w:name w:val="font21"/>
    <w:basedOn w:val="DefaultParagraphFont"/>
    <w:rsid w:val="00B46EC8"/>
    <w:rPr>
      <w:rFonts w:ascii="Times New Roman" w:hAnsi="Times New Roman" w:cs="Times New Roman" w:hint="default"/>
      <w:b w:val="0"/>
      <w:bCs w:val="0"/>
      <w:i w:val="0"/>
      <w:iCs w:val="0"/>
      <w:strike w:val="0"/>
      <w:dstrike w:val="0"/>
      <w:color w:val="000000"/>
      <w:sz w:val="28"/>
      <w:szCs w:val="28"/>
      <w:u w:val="none"/>
      <w:effect w:val="none"/>
      <w:vertAlign w:val="superscript"/>
    </w:rPr>
  </w:style>
  <w:style w:type="paragraph" w:styleId="CommentSubject">
    <w:name w:val="annotation subject"/>
    <w:basedOn w:val="CommentText"/>
    <w:next w:val="CommentText"/>
    <w:link w:val="CommentSubjectChar"/>
    <w:uiPriority w:val="99"/>
    <w:semiHidden/>
    <w:unhideWhenUsed/>
    <w:rsid w:val="003A534E"/>
    <w:rPr>
      <w:b/>
      <w:bCs/>
    </w:rPr>
  </w:style>
  <w:style w:type="character" w:customStyle="1" w:styleId="CommentSubjectChar">
    <w:name w:val="Comment Subject Char"/>
    <w:basedOn w:val="CommentTextChar"/>
    <w:link w:val="CommentSubject"/>
    <w:uiPriority w:val="99"/>
    <w:semiHidden/>
    <w:rsid w:val="003A534E"/>
    <w:rPr>
      <w:rFonts w:asciiTheme="minorHAnsi" w:eastAsiaTheme="minorEastAsia" w:hAnsiTheme="minorHAnsi"/>
      <w:b/>
      <w:bCs/>
    </w:rPr>
  </w:style>
  <w:style w:type="paragraph" w:styleId="Revision">
    <w:name w:val="Revision"/>
    <w:hidden/>
    <w:uiPriority w:val="99"/>
    <w:semiHidden/>
    <w:rsid w:val="00B97E88"/>
    <w:pPr>
      <w:spacing w:after="0" w:line="240" w:lineRule="auto"/>
    </w:pPr>
    <w:rPr>
      <w:rFonts w:asciiTheme="minorHAnsi" w:eastAsiaTheme="minorEastAsia" w:hAnsiTheme="minorHAnsi"/>
    </w:rPr>
  </w:style>
  <w:style w:type="character" w:styleId="Hyperlink">
    <w:name w:val="Hyperlink"/>
    <w:basedOn w:val="DefaultParagraphFont"/>
    <w:uiPriority w:val="99"/>
    <w:unhideWhenUsed/>
    <w:qFormat/>
    <w:rsid w:val="00894E86"/>
    <w:rPr>
      <w:color w:val="0563C1" w:themeColor="hyperlink"/>
      <w:u w:val="single"/>
    </w:rPr>
  </w:style>
  <w:style w:type="character" w:styleId="UnresolvedMention">
    <w:name w:val="Unresolved Mention"/>
    <w:basedOn w:val="DefaultParagraphFont"/>
    <w:uiPriority w:val="99"/>
    <w:semiHidden/>
    <w:unhideWhenUsed/>
    <w:rsid w:val="008C0ACD"/>
    <w:rPr>
      <w:color w:val="605E5C"/>
      <w:shd w:val="clear" w:color="auto" w:fill="E1DFDD"/>
    </w:rPr>
  </w:style>
  <w:style w:type="character" w:styleId="LineNumber">
    <w:name w:val="line number"/>
    <w:basedOn w:val="DefaultParagraphFont"/>
    <w:uiPriority w:val="99"/>
    <w:semiHidden/>
    <w:unhideWhenUsed/>
    <w:rsid w:val="00E26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5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0290B-C00D-4DD6-BEA3-359C750D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1685</Words>
  <Characters>9610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Liu</dc:creator>
  <cp:keywords/>
  <dc:description/>
  <cp:lastModifiedBy>Murphy, Alexandra</cp:lastModifiedBy>
  <cp:revision>4</cp:revision>
  <dcterms:created xsi:type="dcterms:W3CDTF">2026-01-12T22:30:00Z</dcterms:created>
  <dcterms:modified xsi:type="dcterms:W3CDTF">2026-01-12T22:31:00Z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id="9BL6jdAl"/&gt;&lt;style id="http://www.zotero.org/styles/nature" hasBibliography="1" bibliographyStyleHasBeenSet="0"/&gt;&lt;prefs&gt;&lt;pref name="fieldType" value="Field"/&gt;&lt;/prefs&gt;&lt;/data&gt;</vt:lpwstr>
  </property>
  <property fmtid="{D5CDD505-2E9C-101B-9397-08002B2CF9AE}" pid="3" name="ClassificationContentMarkingFooterShapeIds">
    <vt:lpwstr>697a67c7,7a2b2253,23e71f02</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2026-01-12T22:30:42Z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3d76d1f5-bebf-4285-b7bd-46623a3bae19</vt:lpwstr>
  </property>
  <property fmtid="{D5CDD505-2E9C-101B-9397-08002B2CF9AE}" pid="12" name="MSIP_Label_2bbab825-a111-45e4-86a1-18cee0005896_ContentBits">
    <vt:lpwstr>2</vt:lpwstr>
  </property>
  <property fmtid="{D5CDD505-2E9C-101B-9397-08002B2CF9AE}" pid="13" name="MSIP_Label_2bbab825-a111-45e4-86a1-18cee0005896_Tag">
    <vt:lpwstr>10, 3, 0, 1</vt:lpwstr>
  </property>
</Properties>
</file>