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6DD6" w14:textId="22EDCA28" w:rsidR="00CB1152" w:rsidRDefault="001F1B0D" w:rsidP="001F1B0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771361A" wp14:editId="3BD13B39">
            <wp:extent cx="5400040" cy="3260090"/>
            <wp:effectExtent l="0" t="0" r="0" b="0"/>
            <wp:docPr id="17866567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656781" name="图片 17866567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5B1B8" w14:textId="59D8BB05" w:rsidR="00CB1152" w:rsidRDefault="00CB1152" w:rsidP="00CB1152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4E7764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Pr="004E7764">
        <w:rPr>
          <w:rFonts w:ascii="Times New Roman" w:hAnsi="Times New Roman" w:cs="Times New Roman" w:hint="eastAsia"/>
          <w:sz w:val="24"/>
          <w:szCs w:val="24"/>
        </w:rPr>
        <w:t>1</w:t>
      </w:r>
      <w:r w:rsidRPr="004E7764">
        <w:rPr>
          <w:rFonts w:ascii="Times New Roman" w:hAnsi="Times New Roman" w:cs="Times New Roman"/>
          <w:sz w:val="24"/>
          <w:szCs w:val="24"/>
        </w:rPr>
        <w:t xml:space="preserve">. </w:t>
      </w:r>
      <w:r w:rsidR="00363E6B" w:rsidRPr="00363E6B">
        <w:rPr>
          <w:rFonts w:ascii="Times New Roman" w:hAnsi="Times New Roman" w:cs="Times New Roman" w:hint="eastAsia"/>
          <w:sz w:val="24"/>
          <w:szCs w:val="24"/>
        </w:rPr>
        <w:t>Bootstrap validation of predictive performance for logistic regression, random forest, and SVM.</w:t>
      </w:r>
    </w:p>
    <w:p w14:paraId="1C7FF10A" w14:textId="219B7124" w:rsidR="00CB1152" w:rsidRDefault="00FE64F0" w:rsidP="003A6606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FE64F0">
        <w:rPr>
          <w:rFonts w:ascii="Times New Roman" w:hAnsi="Times New Roman" w:cs="Times New Roman" w:hint="eastAsia"/>
          <w:sz w:val="24"/>
          <w:szCs w:val="24"/>
        </w:rPr>
        <w:t>Bar plots illustrate classification metrics for each model</w:t>
      </w:r>
      <w:r w:rsidRPr="00FE64F0">
        <w:rPr>
          <w:rFonts w:ascii="Times New Roman" w:hAnsi="Times New Roman" w:cs="Times New Roman" w:hint="eastAsia"/>
          <w:sz w:val="24"/>
          <w:szCs w:val="24"/>
        </w:rPr>
        <w:t>—</w:t>
      </w:r>
      <w:r w:rsidRPr="00FE64F0">
        <w:rPr>
          <w:rFonts w:ascii="Times New Roman" w:hAnsi="Times New Roman" w:cs="Times New Roman" w:hint="eastAsia"/>
          <w:sz w:val="24"/>
          <w:szCs w:val="24"/>
        </w:rPr>
        <w:t>accuracy, AUC, F1 score, PPV, NPV, sensitivity, and specificity</w:t>
      </w:r>
      <w:r w:rsidRPr="00FE64F0">
        <w:rPr>
          <w:rFonts w:ascii="Times New Roman" w:hAnsi="Times New Roman" w:cs="Times New Roman" w:hint="eastAsia"/>
          <w:sz w:val="24"/>
          <w:szCs w:val="24"/>
        </w:rPr>
        <w:t>—</w:t>
      </w:r>
      <w:r w:rsidRPr="00FE64F0">
        <w:rPr>
          <w:rFonts w:ascii="Times New Roman" w:hAnsi="Times New Roman" w:cs="Times New Roman" w:hint="eastAsia"/>
          <w:sz w:val="24"/>
          <w:szCs w:val="24"/>
        </w:rPr>
        <w:t>across 500 bootstrap resamples. These internally validated results evaluate the stability and generalizability of the three models.</w:t>
      </w:r>
    </w:p>
    <w:p w14:paraId="14CEC97C" w14:textId="6819BDD8" w:rsidR="00FE64F0" w:rsidRDefault="00FE64F0" w:rsidP="003A6606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FE64F0">
        <w:rPr>
          <w:rFonts w:ascii="Times New Roman" w:hAnsi="Times New Roman" w:cs="Times New Roman" w:hint="eastAsia"/>
          <w:sz w:val="24"/>
          <w:szCs w:val="24"/>
        </w:rPr>
        <w:t>AUC, area under the curve; PPV, positive predictive value; NPV, negative predictive value; RF, random forest; SVM, support vector machine.</w:t>
      </w:r>
    </w:p>
    <w:p w14:paraId="33DE4DC9" w14:textId="6AF4B4D6" w:rsidR="00CB1152" w:rsidRDefault="005D68CE" w:rsidP="00CB115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8CA6336" wp14:editId="748CF54B">
            <wp:extent cx="5400040" cy="3235960"/>
            <wp:effectExtent l="0" t="0" r="0" b="0"/>
            <wp:docPr id="81448276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482767" name="图片 8144827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CD4B9" w14:textId="230647E4" w:rsidR="00CB1152" w:rsidRPr="004E7764" w:rsidRDefault="00CB1152" w:rsidP="00CB1152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4E7764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Pr="004E7764">
        <w:rPr>
          <w:rFonts w:ascii="Times New Roman" w:hAnsi="Times New Roman" w:cs="Times New Roman" w:hint="eastAsia"/>
          <w:sz w:val="24"/>
          <w:szCs w:val="24"/>
        </w:rPr>
        <w:t>2</w:t>
      </w:r>
      <w:r w:rsidRPr="004E7764">
        <w:rPr>
          <w:rFonts w:ascii="Times New Roman" w:hAnsi="Times New Roman" w:cs="Times New Roman"/>
          <w:sz w:val="24"/>
          <w:szCs w:val="24"/>
        </w:rPr>
        <w:t xml:space="preserve">. </w:t>
      </w:r>
      <w:r w:rsidR="00215ACB" w:rsidRPr="00215ACB">
        <w:rPr>
          <w:rFonts w:ascii="Times New Roman" w:hAnsi="Times New Roman" w:cs="Times New Roman" w:hint="eastAsia"/>
          <w:sz w:val="24"/>
          <w:szCs w:val="24"/>
        </w:rPr>
        <w:t>Leave-one-out cross-validation (LOOCV) performance of logistic regression, random forest, and SVM models.</w:t>
      </w:r>
    </w:p>
    <w:p w14:paraId="7546E72A" w14:textId="5299BAD2" w:rsidR="00CB1152" w:rsidRDefault="00215ACB" w:rsidP="000A57C0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15ACB">
        <w:rPr>
          <w:rFonts w:ascii="Times New Roman" w:hAnsi="Times New Roman" w:cs="Times New Roman" w:hint="eastAsia"/>
          <w:sz w:val="24"/>
          <w:szCs w:val="24"/>
        </w:rPr>
        <w:t>Bar plots illustrate classification metrics under LOOCV for each model</w:t>
      </w:r>
      <w:r w:rsidRPr="00215ACB">
        <w:rPr>
          <w:rFonts w:ascii="Times New Roman" w:hAnsi="Times New Roman" w:cs="Times New Roman" w:hint="eastAsia"/>
          <w:sz w:val="24"/>
          <w:szCs w:val="24"/>
        </w:rPr>
        <w:t>—</w:t>
      </w:r>
      <w:r w:rsidRPr="00215ACB">
        <w:rPr>
          <w:rFonts w:ascii="Times New Roman" w:hAnsi="Times New Roman" w:cs="Times New Roman" w:hint="eastAsia"/>
          <w:sz w:val="24"/>
          <w:szCs w:val="24"/>
        </w:rPr>
        <w:t>accuracy, AUC, F1 score, PPV, NPV, sensitivity, and specificity. LOOCV was applied to assess the generalizability and robustness of the models in a small-sample setting.</w:t>
      </w:r>
    </w:p>
    <w:p w14:paraId="2FF499CA" w14:textId="32C6ED9C" w:rsidR="00215ACB" w:rsidRDefault="00215ACB" w:rsidP="000A57C0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15ACB">
        <w:rPr>
          <w:rFonts w:ascii="Times New Roman" w:hAnsi="Times New Roman" w:cs="Times New Roman" w:hint="eastAsia"/>
          <w:sz w:val="24"/>
          <w:szCs w:val="24"/>
        </w:rPr>
        <w:t>AUC, area under the curve; PPV, positive predictive value; NPV, negative predictive value; RF, random forest; SVM, support vector machine.</w:t>
      </w:r>
    </w:p>
    <w:p w14:paraId="12A1B3D4" w14:textId="77777777" w:rsidR="00CB1152" w:rsidRDefault="00CB1152" w:rsidP="003A6606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75743C55" w14:textId="77777777" w:rsidR="00CB575B" w:rsidRDefault="00CB575B" w:rsidP="003A6606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113AA57C" w14:textId="77777777" w:rsidR="00CB575B" w:rsidRDefault="00CB575B" w:rsidP="003A6606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6746F196" w14:textId="77777777" w:rsidR="00CB575B" w:rsidRDefault="00CB575B" w:rsidP="003A6606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6A18F00C" w14:textId="661E4220" w:rsidR="001720FD" w:rsidRDefault="0046363C" w:rsidP="0046363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1DBBFAF" wp14:editId="7150081C">
            <wp:extent cx="4629912" cy="2834640"/>
            <wp:effectExtent l="0" t="0" r="0" b="0"/>
            <wp:docPr id="17929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939" name="图片 17929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912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CD180" w14:textId="7A177858" w:rsidR="001720FD" w:rsidRDefault="001720FD" w:rsidP="001720FD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1720FD">
        <w:rPr>
          <w:rFonts w:ascii="Times New Roman" w:hAnsi="Times New Roman" w:cs="Times New Roman"/>
          <w:sz w:val="24"/>
          <w:szCs w:val="24"/>
        </w:rPr>
        <w:t xml:space="preserve">Supplementary Figure 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 w:rsidRPr="001720FD">
        <w:rPr>
          <w:rFonts w:ascii="Times New Roman" w:hAnsi="Times New Roman" w:cs="Times New Roman"/>
          <w:sz w:val="24"/>
          <w:szCs w:val="24"/>
        </w:rPr>
        <w:t xml:space="preserve">. </w:t>
      </w:r>
      <w:r w:rsidRPr="001720FD">
        <w:rPr>
          <w:rFonts w:ascii="Times New Roman" w:hAnsi="Times New Roman" w:cs="Times New Roman" w:hint="eastAsia"/>
          <w:sz w:val="24"/>
          <w:szCs w:val="24"/>
        </w:rPr>
        <w:t>Serum IL-23 concentrations measured by ELISA in responders and non-responders to ustekinumab.</w:t>
      </w:r>
    </w:p>
    <w:p w14:paraId="63F02059" w14:textId="1ACC677F" w:rsidR="001720FD" w:rsidRPr="001720FD" w:rsidRDefault="00C455BA" w:rsidP="005A0A5A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C455BA">
        <w:rPr>
          <w:rFonts w:ascii="Times New Roman" w:hAnsi="Times New Roman" w:cs="Times New Roman" w:hint="eastAsia"/>
          <w:sz w:val="24"/>
          <w:szCs w:val="24"/>
        </w:rPr>
        <w:t>Box plots show serum IL-23 concentrations in responders (n = 20) and non-responders (n = 20) measured using ELISA.</w:t>
      </w:r>
      <w:r w:rsidR="005A0A5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455BA">
        <w:rPr>
          <w:rFonts w:ascii="Times New Roman" w:hAnsi="Times New Roman" w:cs="Times New Roman" w:hint="eastAsia"/>
          <w:sz w:val="24"/>
          <w:szCs w:val="24"/>
        </w:rPr>
        <w:t>*</w:t>
      </w:r>
      <w:r w:rsidR="005A0A5A">
        <w:rPr>
          <w:rFonts w:ascii="Times New Roman" w:hAnsi="Times New Roman" w:cs="Times New Roman" w:hint="eastAsia"/>
          <w:sz w:val="24"/>
          <w:szCs w:val="24"/>
        </w:rPr>
        <w:t>*</w:t>
      </w:r>
      <w:r w:rsidRPr="00C455BA">
        <w:rPr>
          <w:rFonts w:ascii="Times New Roman" w:hAnsi="Times New Roman" w:cs="Times New Roman" w:hint="eastAsia"/>
          <w:sz w:val="24"/>
          <w:szCs w:val="24"/>
        </w:rPr>
        <w:t>, P &lt; 0.0</w:t>
      </w:r>
      <w:r w:rsidR="005A0A5A">
        <w:rPr>
          <w:rFonts w:ascii="Times New Roman" w:hAnsi="Times New Roman" w:cs="Times New Roman" w:hint="eastAsia"/>
          <w:sz w:val="24"/>
          <w:szCs w:val="24"/>
        </w:rPr>
        <w:t>1</w:t>
      </w:r>
      <w:r w:rsidRPr="00C455BA">
        <w:rPr>
          <w:rFonts w:ascii="Times New Roman" w:hAnsi="Times New Roman" w:cs="Times New Roman" w:hint="eastAsia"/>
          <w:sz w:val="24"/>
          <w:szCs w:val="24"/>
        </w:rPr>
        <w:t>.</w:t>
      </w:r>
    </w:p>
    <w:p w14:paraId="67781E87" w14:textId="77777777" w:rsidR="001720FD" w:rsidRPr="001720FD" w:rsidRDefault="001720FD" w:rsidP="003A6606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2EF946BF" w14:textId="77777777" w:rsidR="001720FD" w:rsidRDefault="001720FD" w:rsidP="003A6606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42D92C64" w14:textId="77777777" w:rsidR="001720FD" w:rsidRDefault="001720FD" w:rsidP="003A6606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3E85CFAD" w14:textId="77777777" w:rsidR="001720FD" w:rsidRDefault="001720FD" w:rsidP="003A6606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0DBFACE0" w14:textId="77777777" w:rsidR="001720FD" w:rsidRDefault="001720FD" w:rsidP="003A6606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7E11F462" w14:textId="77777777" w:rsidR="001720FD" w:rsidRDefault="001720FD" w:rsidP="003A6606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5B8A5F79" w14:textId="77777777" w:rsidR="001720FD" w:rsidRDefault="001720FD" w:rsidP="003A6606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50826C33" w14:textId="3C1F2A2C" w:rsidR="00D737DF" w:rsidRDefault="00D737DF" w:rsidP="003A6606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4E7764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4E7764">
        <w:rPr>
          <w:rFonts w:ascii="Times New Roman" w:hAnsi="Times New Roman" w:cs="Times New Roman" w:hint="eastAsia"/>
          <w:sz w:val="24"/>
          <w:szCs w:val="24"/>
        </w:rPr>
        <w:t xml:space="preserve">upplementary </w:t>
      </w:r>
      <w:r w:rsidRPr="004E7764">
        <w:rPr>
          <w:rFonts w:ascii="Times New Roman" w:hAnsi="Times New Roman" w:cs="Times New Roman"/>
          <w:sz w:val="24"/>
          <w:szCs w:val="24"/>
        </w:rPr>
        <w:t>T</w:t>
      </w:r>
      <w:r w:rsidRPr="004E7764">
        <w:rPr>
          <w:rFonts w:ascii="Times New Roman" w:hAnsi="Times New Roman" w:cs="Times New Roman" w:hint="eastAsia"/>
          <w:sz w:val="24"/>
          <w:szCs w:val="24"/>
        </w:rPr>
        <w:t>able 1. Differentially expressed inflammation-related proteins between UST responders and non-responders, adjusted for confounding variables.</w:t>
      </w:r>
    </w:p>
    <w:tbl>
      <w:tblPr>
        <w:tblStyle w:val="a3"/>
        <w:tblW w:w="1102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54"/>
        <w:gridCol w:w="1555"/>
        <w:gridCol w:w="4404"/>
        <w:gridCol w:w="1757"/>
        <w:gridCol w:w="1757"/>
      </w:tblGrid>
      <w:tr w:rsidR="00D737DF" w:rsidRPr="00D737DF" w14:paraId="486C32CA" w14:textId="77777777" w:rsidTr="00D73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tcW w:w="1554" w:type="dxa"/>
            <w:noWrap/>
            <w:hideMark/>
          </w:tcPr>
          <w:p w14:paraId="278395E5" w14:textId="77777777" w:rsidR="00D737DF" w:rsidRPr="00D737DF" w:rsidRDefault="00D737DF" w:rsidP="00D737DF">
            <w:pPr>
              <w:spacing w:line="480" w:lineRule="auto"/>
              <w:jc w:val="left"/>
              <w:rPr>
                <w:rFonts w:cs="Times New Roman"/>
                <w:sz w:val="24"/>
                <w:szCs w:val="24"/>
              </w:rPr>
            </w:pPr>
            <w:r w:rsidRPr="00D737DF">
              <w:rPr>
                <w:rFonts w:cs="Times New Roman" w:hint="eastAsia"/>
                <w:sz w:val="24"/>
                <w:szCs w:val="24"/>
              </w:rPr>
              <w:t>Protein</w:t>
            </w:r>
          </w:p>
        </w:tc>
        <w:tc>
          <w:tcPr>
            <w:tcW w:w="1555" w:type="dxa"/>
            <w:noWrap/>
            <w:hideMark/>
          </w:tcPr>
          <w:p w14:paraId="7E1A3BB1" w14:textId="77777777" w:rsidR="00D737DF" w:rsidRPr="00D737DF" w:rsidRDefault="00D737DF" w:rsidP="00D737DF">
            <w:pPr>
              <w:spacing w:line="480" w:lineRule="auto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D737DF">
              <w:rPr>
                <w:rFonts w:cs="Times New Roman" w:hint="eastAsia"/>
                <w:sz w:val="24"/>
                <w:szCs w:val="24"/>
              </w:rPr>
              <w:t>UniProt</w:t>
            </w:r>
            <w:proofErr w:type="spellEnd"/>
          </w:p>
        </w:tc>
        <w:tc>
          <w:tcPr>
            <w:tcW w:w="4404" w:type="dxa"/>
            <w:noWrap/>
            <w:hideMark/>
          </w:tcPr>
          <w:p w14:paraId="4F70FCC5" w14:textId="77777777" w:rsidR="00D737DF" w:rsidRPr="00D737DF" w:rsidRDefault="00D737DF" w:rsidP="00D737DF">
            <w:pPr>
              <w:spacing w:line="480" w:lineRule="auto"/>
              <w:jc w:val="left"/>
              <w:rPr>
                <w:rFonts w:cs="Times New Roman"/>
                <w:sz w:val="24"/>
                <w:szCs w:val="24"/>
              </w:rPr>
            </w:pPr>
            <w:r w:rsidRPr="00D737DF">
              <w:rPr>
                <w:rFonts w:cs="Times New Roman" w:hint="eastAsia"/>
                <w:sz w:val="24"/>
                <w:szCs w:val="24"/>
              </w:rPr>
              <w:t>description</w:t>
            </w:r>
          </w:p>
        </w:tc>
        <w:tc>
          <w:tcPr>
            <w:tcW w:w="1757" w:type="dxa"/>
            <w:noWrap/>
            <w:hideMark/>
          </w:tcPr>
          <w:p w14:paraId="3C9DFAFE" w14:textId="77777777" w:rsidR="00D737DF" w:rsidRPr="00D737DF" w:rsidRDefault="00D737DF" w:rsidP="00D737DF">
            <w:pPr>
              <w:spacing w:line="480" w:lineRule="auto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D737DF">
              <w:rPr>
                <w:rFonts w:cs="Times New Roman" w:hint="eastAsia"/>
                <w:sz w:val="24"/>
                <w:szCs w:val="24"/>
              </w:rPr>
              <w:t>logFC</w:t>
            </w:r>
            <w:r w:rsidRPr="00D737DF">
              <w:rPr>
                <w:rFonts w:cs="Times New Roman" w:hint="eastAsia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757" w:type="dxa"/>
            <w:noWrap/>
            <w:hideMark/>
          </w:tcPr>
          <w:p w14:paraId="13B2AB8E" w14:textId="07BDD413" w:rsidR="00D737DF" w:rsidRPr="00D737DF" w:rsidRDefault="00D737DF" w:rsidP="00D737DF">
            <w:pPr>
              <w:spacing w:line="480" w:lineRule="auto"/>
              <w:jc w:val="left"/>
              <w:rPr>
                <w:rFonts w:cs="Times New Roman"/>
                <w:sz w:val="24"/>
                <w:szCs w:val="24"/>
              </w:rPr>
            </w:pPr>
            <w:r w:rsidRPr="00D737DF">
              <w:rPr>
                <w:rFonts w:cs="Times New Roman" w:hint="eastAsia"/>
                <w:i/>
                <w:iCs/>
                <w:sz w:val="24"/>
                <w:szCs w:val="24"/>
              </w:rPr>
              <w:t>P</w:t>
            </w:r>
            <w:r w:rsidR="00234AF2">
              <w:rPr>
                <w:rFonts w:cs="Times New Roman" w:hint="eastAsia"/>
                <w:sz w:val="24"/>
                <w:szCs w:val="24"/>
              </w:rPr>
              <w:t xml:space="preserve"> </w:t>
            </w:r>
            <w:proofErr w:type="spellStart"/>
            <w:r w:rsidRPr="00D737DF">
              <w:rPr>
                <w:rFonts w:cs="Times New Roman" w:hint="eastAsia"/>
                <w:sz w:val="24"/>
                <w:szCs w:val="24"/>
              </w:rPr>
              <w:t>Value</w:t>
            </w:r>
            <w:r w:rsidRPr="00D737DF">
              <w:rPr>
                <w:rFonts w:cs="Times New Roman" w:hint="eastAsia"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D737DF" w:rsidRPr="00D737DF" w14:paraId="09EA96FC" w14:textId="77777777" w:rsidTr="00D737DF">
        <w:trPr>
          <w:trHeight w:val="552"/>
        </w:trPr>
        <w:tc>
          <w:tcPr>
            <w:tcW w:w="1554" w:type="dxa"/>
            <w:noWrap/>
            <w:hideMark/>
          </w:tcPr>
          <w:p w14:paraId="79E53ECE" w14:textId="77777777" w:rsidR="00D737DF" w:rsidRPr="00D737DF" w:rsidRDefault="00D737DF" w:rsidP="00D737DF">
            <w:pPr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D737D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IL8</w:t>
            </w:r>
          </w:p>
        </w:tc>
        <w:tc>
          <w:tcPr>
            <w:tcW w:w="1555" w:type="dxa"/>
            <w:noWrap/>
            <w:hideMark/>
          </w:tcPr>
          <w:p w14:paraId="6AA7535A" w14:textId="77777777" w:rsidR="00D737DF" w:rsidRPr="00D737DF" w:rsidRDefault="00D737DF" w:rsidP="00D737DF">
            <w:pPr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D737D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P10145</w:t>
            </w:r>
          </w:p>
        </w:tc>
        <w:tc>
          <w:tcPr>
            <w:tcW w:w="4404" w:type="dxa"/>
            <w:noWrap/>
            <w:hideMark/>
          </w:tcPr>
          <w:p w14:paraId="3035A0E7" w14:textId="77777777" w:rsidR="00D737DF" w:rsidRPr="00D737DF" w:rsidRDefault="00D737DF" w:rsidP="00D737DF">
            <w:pPr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D737D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Interleukin-8 (IL-8)</w:t>
            </w:r>
          </w:p>
        </w:tc>
        <w:tc>
          <w:tcPr>
            <w:tcW w:w="1757" w:type="dxa"/>
            <w:noWrap/>
            <w:hideMark/>
          </w:tcPr>
          <w:p w14:paraId="146A8567" w14:textId="77777777" w:rsidR="00D737DF" w:rsidRPr="00D737DF" w:rsidRDefault="00D737DF" w:rsidP="00D737DF">
            <w:pPr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D737D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1.205</w:t>
            </w:r>
          </w:p>
        </w:tc>
        <w:tc>
          <w:tcPr>
            <w:tcW w:w="1757" w:type="dxa"/>
            <w:noWrap/>
            <w:hideMark/>
          </w:tcPr>
          <w:p w14:paraId="558C7ED5" w14:textId="77777777" w:rsidR="00D737DF" w:rsidRPr="00D737DF" w:rsidRDefault="00D737DF" w:rsidP="00D737DF">
            <w:pPr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D737D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0.017</w:t>
            </w:r>
          </w:p>
        </w:tc>
      </w:tr>
      <w:tr w:rsidR="00D737DF" w:rsidRPr="00D737DF" w14:paraId="24A9F8F7" w14:textId="77777777" w:rsidTr="00D737DF">
        <w:trPr>
          <w:trHeight w:val="552"/>
        </w:trPr>
        <w:tc>
          <w:tcPr>
            <w:tcW w:w="1554" w:type="dxa"/>
            <w:noWrap/>
            <w:hideMark/>
          </w:tcPr>
          <w:p w14:paraId="07AF00B7" w14:textId="77777777" w:rsidR="00D737DF" w:rsidRPr="00D737DF" w:rsidRDefault="00D737DF" w:rsidP="00D737DF">
            <w:pPr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D737D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TSLP</w:t>
            </w:r>
          </w:p>
        </w:tc>
        <w:tc>
          <w:tcPr>
            <w:tcW w:w="1555" w:type="dxa"/>
            <w:noWrap/>
            <w:hideMark/>
          </w:tcPr>
          <w:p w14:paraId="5FBB24AD" w14:textId="77777777" w:rsidR="00D737DF" w:rsidRPr="00D737DF" w:rsidRDefault="00D737DF" w:rsidP="00D737DF">
            <w:pPr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D737D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Q969D9</w:t>
            </w:r>
          </w:p>
        </w:tc>
        <w:tc>
          <w:tcPr>
            <w:tcW w:w="4404" w:type="dxa"/>
            <w:noWrap/>
            <w:hideMark/>
          </w:tcPr>
          <w:p w14:paraId="297AE388" w14:textId="77777777" w:rsidR="00D737DF" w:rsidRPr="00D737DF" w:rsidRDefault="00D737DF" w:rsidP="00D737DF">
            <w:pPr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D737D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Thymic stromal lymphopoietin</w:t>
            </w:r>
          </w:p>
        </w:tc>
        <w:tc>
          <w:tcPr>
            <w:tcW w:w="1757" w:type="dxa"/>
            <w:noWrap/>
            <w:hideMark/>
          </w:tcPr>
          <w:p w14:paraId="6A779459" w14:textId="77777777" w:rsidR="00D737DF" w:rsidRPr="00D737DF" w:rsidRDefault="00D737DF" w:rsidP="00D737DF">
            <w:pPr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D737D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-0.842</w:t>
            </w:r>
          </w:p>
        </w:tc>
        <w:tc>
          <w:tcPr>
            <w:tcW w:w="1757" w:type="dxa"/>
            <w:noWrap/>
            <w:hideMark/>
          </w:tcPr>
          <w:p w14:paraId="0883002A" w14:textId="77777777" w:rsidR="00D737DF" w:rsidRPr="00D737DF" w:rsidRDefault="00D737DF" w:rsidP="00D737DF">
            <w:pPr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D737D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0.023</w:t>
            </w:r>
          </w:p>
        </w:tc>
      </w:tr>
      <w:tr w:rsidR="00D737DF" w:rsidRPr="00D737DF" w14:paraId="01D3DCB7" w14:textId="77777777" w:rsidTr="00D737DF">
        <w:trPr>
          <w:trHeight w:val="552"/>
        </w:trPr>
        <w:tc>
          <w:tcPr>
            <w:tcW w:w="1554" w:type="dxa"/>
            <w:noWrap/>
            <w:hideMark/>
          </w:tcPr>
          <w:p w14:paraId="27C0EDEE" w14:textId="77777777" w:rsidR="00D737DF" w:rsidRPr="00D737DF" w:rsidRDefault="00D737DF" w:rsidP="00D737DF">
            <w:pPr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D737D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CD6</w:t>
            </w:r>
          </w:p>
        </w:tc>
        <w:tc>
          <w:tcPr>
            <w:tcW w:w="1555" w:type="dxa"/>
            <w:noWrap/>
            <w:hideMark/>
          </w:tcPr>
          <w:p w14:paraId="2F7480E7" w14:textId="77777777" w:rsidR="00D737DF" w:rsidRPr="00D737DF" w:rsidRDefault="00D737DF" w:rsidP="00D737DF">
            <w:pPr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D737D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P30203</w:t>
            </w:r>
          </w:p>
        </w:tc>
        <w:tc>
          <w:tcPr>
            <w:tcW w:w="4404" w:type="dxa"/>
            <w:noWrap/>
            <w:hideMark/>
          </w:tcPr>
          <w:p w14:paraId="2381F5A9" w14:textId="77777777" w:rsidR="00D737DF" w:rsidRPr="00D737DF" w:rsidRDefault="00D737DF" w:rsidP="00D737DF">
            <w:pPr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D737D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T-cell differentiation antigen CD6 </w:t>
            </w:r>
          </w:p>
        </w:tc>
        <w:tc>
          <w:tcPr>
            <w:tcW w:w="1757" w:type="dxa"/>
            <w:noWrap/>
            <w:hideMark/>
          </w:tcPr>
          <w:p w14:paraId="4BBA22C5" w14:textId="77777777" w:rsidR="00D737DF" w:rsidRPr="00D737DF" w:rsidRDefault="00D737DF" w:rsidP="00D737DF">
            <w:pPr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D737D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0.693</w:t>
            </w:r>
          </w:p>
        </w:tc>
        <w:tc>
          <w:tcPr>
            <w:tcW w:w="1757" w:type="dxa"/>
            <w:noWrap/>
            <w:hideMark/>
          </w:tcPr>
          <w:p w14:paraId="3ED4B942" w14:textId="2C85A7BC" w:rsidR="00D737DF" w:rsidRPr="00D737DF" w:rsidRDefault="00D737DF" w:rsidP="00D737DF">
            <w:pPr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D737D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0.04</w:t>
            </w:r>
            <w:r w:rsidR="000B6F0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</w:t>
            </w:r>
          </w:p>
        </w:tc>
      </w:tr>
    </w:tbl>
    <w:p w14:paraId="48426379" w14:textId="35EF005C" w:rsidR="00D737DF" w:rsidRDefault="00D737DF" w:rsidP="00D737DF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4E7764"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r w:rsidRPr="004E7764">
        <w:rPr>
          <w:rFonts w:ascii="Times New Roman" w:hAnsi="Times New Roman" w:cs="Times New Roman"/>
          <w:sz w:val="24"/>
          <w:szCs w:val="24"/>
        </w:rPr>
        <w:t>Adjusted</w:t>
      </w:r>
      <w:proofErr w:type="spellEnd"/>
      <w:r w:rsidRPr="004E7764">
        <w:rPr>
          <w:rFonts w:ascii="Times New Roman" w:hAnsi="Times New Roman" w:cs="Times New Roman"/>
          <w:sz w:val="24"/>
          <w:szCs w:val="24"/>
        </w:rPr>
        <w:t xml:space="preserve"> fold change (FC) represents the log₂-transformed difference in protein expression between groups. </w:t>
      </w:r>
    </w:p>
    <w:p w14:paraId="622F980A" w14:textId="5B491BDE" w:rsidR="003A6606" w:rsidRDefault="00D737DF" w:rsidP="000A57C0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4E7764">
        <w:rPr>
          <w:rFonts w:ascii="Times New Roman" w:hAnsi="Times New Roman" w:cs="Times New Roman" w:hint="eastAsia"/>
          <w:sz w:val="24"/>
          <w:szCs w:val="24"/>
          <w:vertAlign w:val="superscript"/>
        </w:rPr>
        <w:t>b</w:t>
      </w:r>
      <w:r w:rsidRPr="004E7764">
        <w:rPr>
          <w:rFonts w:ascii="Times New Roman" w:hAnsi="Times New Roman" w:cs="Times New Roman"/>
          <w:i/>
          <w:iCs/>
          <w:sz w:val="24"/>
          <w:szCs w:val="24"/>
        </w:rPr>
        <w:t>P</w:t>
      </w:r>
      <w:proofErr w:type="spellEnd"/>
      <w:r w:rsidRPr="004E7764">
        <w:rPr>
          <w:rFonts w:ascii="Times New Roman" w:hAnsi="Times New Roman" w:cs="Times New Roman"/>
          <w:sz w:val="24"/>
          <w:szCs w:val="24"/>
        </w:rPr>
        <w:t xml:space="preserve"> values were derived from moderated t-statistics based on the empirica</w:t>
      </w:r>
      <w:r w:rsidRPr="004E7764">
        <w:rPr>
          <w:rFonts w:ascii="Times New Roman" w:hAnsi="Times New Roman" w:cs="Times New Roman" w:hint="eastAsia"/>
          <w:sz w:val="24"/>
          <w:szCs w:val="24"/>
        </w:rPr>
        <w:t xml:space="preserve">l Bayes approach. Only proteins with </w:t>
      </w:r>
      <w:r w:rsidRPr="004E7764">
        <w:rPr>
          <w:rFonts w:ascii="Times New Roman" w:hAnsi="Times New Roman" w:cs="Times New Roman" w:hint="eastAsia"/>
          <w:i/>
          <w:iCs/>
          <w:sz w:val="24"/>
          <w:szCs w:val="24"/>
        </w:rPr>
        <w:t>P</w:t>
      </w:r>
      <w:r w:rsidRPr="004E7764">
        <w:rPr>
          <w:rFonts w:ascii="Times New Roman" w:hAnsi="Times New Roman" w:cs="Times New Roman" w:hint="eastAsia"/>
          <w:sz w:val="24"/>
          <w:szCs w:val="24"/>
        </w:rPr>
        <w:t>&lt; 0.05 are shown.</w:t>
      </w:r>
    </w:p>
    <w:p w14:paraId="08AC6755" w14:textId="77777777" w:rsidR="00DD146F" w:rsidRDefault="00DD146F" w:rsidP="000A57C0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2CB5E8D5" w14:textId="77777777" w:rsidR="00DD146F" w:rsidRDefault="00DD146F" w:rsidP="000A57C0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1CA6C68E" w14:textId="77777777" w:rsidR="00DD146F" w:rsidRDefault="00DD146F" w:rsidP="000A57C0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5DE238CA" w14:textId="77777777" w:rsidR="00DD146F" w:rsidRDefault="00DD146F" w:rsidP="000A57C0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6443C0E0" w14:textId="77777777" w:rsidR="00DD146F" w:rsidRDefault="00DD146F" w:rsidP="000A57C0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5E7A9AFE" w14:textId="77777777" w:rsidR="00DD146F" w:rsidRDefault="00DD146F" w:rsidP="000A57C0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270CAA7F" w14:textId="77777777" w:rsidR="00DD146F" w:rsidRDefault="00DD146F" w:rsidP="000A57C0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07C914B5" w14:textId="77777777" w:rsidR="00DD146F" w:rsidRDefault="00DD146F" w:rsidP="000A57C0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5C3F5E3A" w14:textId="77777777" w:rsidR="00DD146F" w:rsidRDefault="00DD146F" w:rsidP="000A57C0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24D87170" w14:textId="08BE7630" w:rsidR="008E0EA7" w:rsidRPr="008E0EA7" w:rsidRDefault="008E0EA7" w:rsidP="008E0EA7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8E0EA7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8E0EA7">
        <w:rPr>
          <w:rFonts w:ascii="Times New Roman" w:hAnsi="Times New Roman" w:cs="Times New Roman" w:hint="eastAsia"/>
          <w:sz w:val="24"/>
          <w:szCs w:val="24"/>
        </w:rPr>
        <w:t xml:space="preserve">upplementary </w:t>
      </w:r>
      <w:r w:rsidRPr="008E0EA7">
        <w:rPr>
          <w:rFonts w:ascii="Times New Roman" w:hAnsi="Times New Roman" w:cs="Times New Roman"/>
          <w:sz w:val="24"/>
          <w:szCs w:val="24"/>
        </w:rPr>
        <w:t>T</w:t>
      </w:r>
      <w:r w:rsidRPr="008E0EA7">
        <w:rPr>
          <w:rFonts w:ascii="Times New Roman" w:hAnsi="Times New Roman" w:cs="Times New Roman" w:hint="eastAsia"/>
          <w:sz w:val="24"/>
          <w:szCs w:val="24"/>
        </w:rPr>
        <w:t xml:space="preserve">able </w:t>
      </w:r>
      <w:r w:rsidR="00213523">
        <w:rPr>
          <w:rFonts w:ascii="Times New Roman" w:hAnsi="Times New Roman" w:cs="Times New Roman" w:hint="eastAsia"/>
          <w:sz w:val="24"/>
          <w:szCs w:val="24"/>
        </w:rPr>
        <w:t>2</w:t>
      </w:r>
      <w:r w:rsidRPr="008E0EA7">
        <w:rPr>
          <w:rFonts w:ascii="Times New Roman" w:hAnsi="Times New Roman" w:cs="Times New Roman" w:hint="eastAsia"/>
          <w:sz w:val="24"/>
          <w:szCs w:val="24"/>
        </w:rPr>
        <w:t>.</w:t>
      </w:r>
      <w:r w:rsidR="008A2CE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A2CEA" w:rsidRPr="008A2CEA">
        <w:rPr>
          <w:rFonts w:ascii="Times New Roman" w:hAnsi="Times New Roman" w:cs="Times New Roman" w:hint="eastAsia"/>
          <w:sz w:val="24"/>
          <w:szCs w:val="24"/>
        </w:rPr>
        <w:t>Differentially expressed inflammation-related proteins adjusted for confounders and prior biologic exposure.</w:t>
      </w:r>
    </w:p>
    <w:tbl>
      <w:tblPr>
        <w:tblStyle w:val="a3"/>
        <w:tblW w:w="1102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54"/>
        <w:gridCol w:w="1555"/>
        <w:gridCol w:w="4404"/>
        <w:gridCol w:w="1757"/>
        <w:gridCol w:w="1757"/>
      </w:tblGrid>
      <w:tr w:rsidR="008E0EA7" w:rsidRPr="008E0EA7" w14:paraId="73BAA8DB" w14:textId="77777777" w:rsidTr="00C71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tcW w:w="1554" w:type="dxa"/>
            <w:noWrap/>
            <w:hideMark/>
          </w:tcPr>
          <w:p w14:paraId="1E8489FD" w14:textId="77777777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eastAsiaTheme="minorEastAsia" w:cs="Times New Roman"/>
                <w:sz w:val="24"/>
                <w:szCs w:val="24"/>
              </w:rPr>
            </w:pPr>
            <w:r w:rsidRPr="008E0EA7">
              <w:rPr>
                <w:rFonts w:eastAsiaTheme="minorEastAsia" w:cs="Times New Roman" w:hint="eastAsia"/>
                <w:sz w:val="24"/>
                <w:szCs w:val="24"/>
              </w:rPr>
              <w:t>Protein</w:t>
            </w:r>
          </w:p>
        </w:tc>
        <w:tc>
          <w:tcPr>
            <w:tcW w:w="1555" w:type="dxa"/>
            <w:noWrap/>
            <w:hideMark/>
          </w:tcPr>
          <w:p w14:paraId="5DAE8081" w14:textId="77777777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8E0EA7">
              <w:rPr>
                <w:rFonts w:eastAsiaTheme="minorEastAsia" w:cs="Times New Roman" w:hint="eastAsia"/>
                <w:sz w:val="24"/>
                <w:szCs w:val="24"/>
              </w:rPr>
              <w:t>UniProt</w:t>
            </w:r>
            <w:proofErr w:type="spellEnd"/>
          </w:p>
        </w:tc>
        <w:tc>
          <w:tcPr>
            <w:tcW w:w="4404" w:type="dxa"/>
            <w:noWrap/>
            <w:hideMark/>
          </w:tcPr>
          <w:p w14:paraId="0A84CDA7" w14:textId="77777777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eastAsiaTheme="minorEastAsia" w:cs="Times New Roman"/>
                <w:sz w:val="24"/>
                <w:szCs w:val="24"/>
              </w:rPr>
            </w:pPr>
            <w:r w:rsidRPr="008E0EA7">
              <w:rPr>
                <w:rFonts w:eastAsiaTheme="minorEastAsia" w:cs="Times New Roman" w:hint="eastAsia"/>
                <w:sz w:val="24"/>
                <w:szCs w:val="24"/>
              </w:rPr>
              <w:t>description</w:t>
            </w:r>
          </w:p>
        </w:tc>
        <w:tc>
          <w:tcPr>
            <w:tcW w:w="1757" w:type="dxa"/>
            <w:noWrap/>
            <w:hideMark/>
          </w:tcPr>
          <w:p w14:paraId="23D22BA7" w14:textId="77777777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8E0EA7">
              <w:rPr>
                <w:rFonts w:eastAsiaTheme="minorEastAsia" w:cs="Times New Roman" w:hint="eastAsia"/>
                <w:sz w:val="24"/>
                <w:szCs w:val="24"/>
              </w:rPr>
              <w:t>logFC</w:t>
            </w:r>
            <w:r w:rsidRPr="008E0EA7">
              <w:rPr>
                <w:rFonts w:eastAsiaTheme="minorEastAsia" w:cs="Times New Roman" w:hint="eastAsia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757" w:type="dxa"/>
            <w:noWrap/>
            <w:hideMark/>
          </w:tcPr>
          <w:p w14:paraId="50E1710C" w14:textId="77777777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eastAsiaTheme="minorEastAsia" w:cs="Times New Roman"/>
                <w:sz w:val="24"/>
                <w:szCs w:val="24"/>
              </w:rPr>
            </w:pPr>
            <w:r w:rsidRPr="008E0EA7">
              <w:rPr>
                <w:rFonts w:eastAsiaTheme="minorEastAsia" w:cs="Times New Roman" w:hint="eastAsia"/>
                <w:i/>
                <w:iCs/>
                <w:sz w:val="24"/>
                <w:szCs w:val="24"/>
              </w:rPr>
              <w:t>P</w:t>
            </w:r>
            <w:r w:rsidRPr="008E0EA7">
              <w:rPr>
                <w:rFonts w:eastAsiaTheme="minorEastAsia" w:cs="Times New Roman" w:hint="eastAsia"/>
                <w:sz w:val="24"/>
                <w:szCs w:val="24"/>
              </w:rPr>
              <w:t xml:space="preserve"> </w:t>
            </w:r>
            <w:proofErr w:type="spellStart"/>
            <w:r w:rsidRPr="008E0EA7">
              <w:rPr>
                <w:rFonts w:eastAsiaTheme="minorEastAsia" w:cs="Times New Roman" w:hint="eastAsia"/>
                <w:sz w:val="24"/>
                <w:szCs w:val="24"/>
              </w:rPr>
              <w:t>Value</w:t>
            </w:r>
            <w:r w:rsidRPr="008E0EA7">
              <w:rPr>
                <w:rFonts w:eastAsiaTheme="minorEastAsia" w:cs="Times New Roman" w:hint="eastAsia"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8E0EA7" w:rsidRPr="008E0EA7" w14:paraId="0EF762EA" w14:textId="77777777" w:rsidTr="00C71E19">
        <w:trPr>
          <w:trHeight w:val="552"/>
        </w:trPr>
        <w:tc>
          <w:tcPr>
            <w:tcW w:w="1554" w:type="dxa"/>
            <w:noWrap/>
            <w:hideMark/>
          </w:tcPr>
          <w:p w14:paraId="5AECCF0B" w14:textId="77777777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0EA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IL8</w:t>
            </w:r>
          </w:p>
        </w:tc>
        <w:tc>
          <w:tcPr>
            <w:tcW w:w="1555" w:type="dxa"/>
            <w:noWrap/>
            <w:hideMark/>
          </w:tcPr>
          <w:p w14:paraId="49CFD201" w14:textId="77777777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0EA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P10145</w:t>
            </w:r>
          </w:p>
        </w:tc>
        <w:tc>
          <w:tcPr>
            <w:tcW w:w="4404" w:type="dxa"/>
            <w:noWrap/>
            <w:hideMark/>
          </w:tcPr>
          <w:p w14:paraId="44B8579D" w14:textId="77777777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0EA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Interleukin-8 (IL-8)</w:t>
            </w:r>
          </w:p>
        </w:tc>
        <w:tc>
          <w:tcPr>
            <w:tcW w:w="1757" w:type="dxa"/>
            <w:noWrap/>
            <w:hideMark/>
          </w:tcPr>
          <w:p w14:paraId="6F060769" w14:textId="14285718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0EA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443</w:t>
            </w:r>
          </w:p>
        </w:tc>
        <w:tc>
          <w:tcPr>
            <w:tcW w:w="1757" w:type="dxa"/>
            <w:noWrap/>
            <w:hideMark/>
          </w:tcPr>
          <w:p w14:paraId="55573E21" w14:textId="20D1CCB1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0EA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0.0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05</w:t>
            </w:r>
          </w:p>
        </w:tc>
      </w:tr>
      <w:tr w:rsidR="008E0EA7" w:rsidRPr="008E0EA7" w14:paraId="2615692B" w14:textId="77777777" w:rsidTr="00C71E19">
        <w:trPr>
          <w:trHeight w:val="552"/>
        </w:trPr>
        <w:tc>
          <w:tcPr>
            <w:tcW w:w="1554" w:type="dxa"/>
            <w:noWrap/>
            <w:hideMark/>
          </w:tcPr>
          <w:p w14:paraId="439A6634" w14:textId="77777777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0EA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TSLP</w:t>
            </w:r>
          </w:p>
        </w:tc>
        <w:tc>
          <w:tcPr>
            <w:tcW w:w="1555" w:type="dxa"/>
            <w:noWrap/>
            <w:hideMark/>
          </w:tcPr>
          <w:p w14:paraId="154F9F67" w14:textId="77777777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0EA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Q969D9</w:t>
            </w:r>
          </w:p>
        </w:tc>
        <w:tc>
          <w:tcPr>
            <w:tcW w:w="4404" w:type="dxa"/>
            <w:noWrap/>
            <w:hideMark/>
          </w:tcPr>
          <w:p w14:paraId="2AA2E2F9" w14:textId="77777777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0EA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Thymic stromal lymphopoietin</w:t>
            </w:r>
          </w:p>
        </w:tc>
        <w:tc>
          <w:tcPr>
            <w:tcW w:w="1757" w:type="dxa"/>
            <w:noWrap/>
            <w:hideMark/>
          </w:tcPr>
          <w:p w14:paraId="45EA38E8" w14:textId="28026D5F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0EA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-0.</w:t>
            </w:r>
            <w:r w:rsidR="00C94CF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748</w:t>
            </w:r>
          </w:p>
        </w:tc>
        <w:tc>
          <w:tcPr>
            <w:tcW w:w="1757" w:type="dxa"/>
            <w:noWrap/>
            <w:hideMark/>
          </w:tcPr>
          <w:p w14:paraId="4595FCF0" w14:textId="7C1680F8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0EA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0.0</w:t>
            </w:r>
            <w:r w:rsidR="00C94CF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48</w:t>
            </w:r>
          </w:p>
        </w:tc>
      </w:tr>
      <w:tr w:rsidR="00213523" w:rsidRPr="008E0EA7" w14:paraId="1828F495" w14:textId="77777777" w:rsidTr="00C71E19">
        <w:trPr>
          <w:trHeight w:val="552"/>
        </w:trPr>
        <w:tc>
          <w:tcPr>
            <w:tcW w:w="1554" w:type="dxa"/>
            <w:noWrap/>
          </w:tcPr>
          <w:p w14:paraId="4B798CAF" w14:textId="28211A6C" w:rsidR="00213523" w:rsidRPr="00213523" w:rsidRDefault="00213523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CD6</w:t>
            </w:r>
          </w:p>
        </w:tc>
        <w:tc>
          <w:tcPr>
            <w:tcW w:w="1555" w:type="dxa"/>
            <w:noWrap/>
          </w:tcPr>
          <w:p w14:paraId="1116F2F0" w14:textId="220BBF43" w:rsidR="00213523" w:rsidRPr="008E0EA7" w:rsidRDefault="00213523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3523">
              <w:rPr>
                <w:rFonts w:ascii="Times New Roman" w:hAnsi="Times New Roman" w:cs="Times New Roman" w:hint="eastAsia"/>
                <w:sz w:val="24"/>
                <w:szCs w:val="24"/>
              </w:rPr>
              <w:t>P30203</w:t>
            </w:r>
          </w:p>
        </w:tc>
        <w:tc>
          <w:tcPr>
            <w:tcW w:w="4404" w:type="dxa"/>
            <w:noWrap/>
          </w:tcPr>
          <w:p w14:paraId="3872A11A" w14:textId="2DAECB01" w:rsidR="00213523" w:rsidRPr="008E0EA7" w:rsidRDefault="00213523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3523">
              <w:rPr>
                <w:rFonts w:ascii="Times New Roman" w:hAnsi="Times New Roman" w:cs="Times New Roman" w:hint="eastAsia"/>
                <w:sz w:val="24"/>
                <w:szCs w:val="24"/>
              </w:rPr>
              <w:t>T-cell differentiation antigen CD6</w:t>
            </w:r>
          </w:p>
        </w:tc>
        <w:tc>
          <w:tcPr>
            <w:tcW w:w="1757" w:type="dxa"/>
            <w:noWrap/>
          </w:tcPr>
          <w:p w14:paraId="209B39F7" w14:textId="367638D3" w:rsidR="00213523" w:rsidRPr="00213523" w:rsidRDefault="00213523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0.568</w:t>
            </w:r>
          </w:p>
        </w:tc>
        <w:tc>
          <w:tcPr>
            <w:tcW w:w="1757" w:type="dxa"/>
            <w:noWrap/>
          </w:tcPr>
          <w:p w14:paraId="7E0B7232" w14:textId="13F5B418" w:rsidR="00213523" w:rsidRPr="00213523" w:rsidRDefault="00213523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0.096</w:t>
            </w:r>
          </w:p>
        </w:tc>
      </w:tr>
      <w:tr w:rsidR="008E0EA7" w:rsidRPr="008E0EA7" w14:paraId="0B4366F4" w14:textId="77777777" w:rsidTr="00C71E19">
        <w:trPr>
          <w:trHeight w:val="552"/>
        </w:trPr>
        <w:tc>
          <w:tcPr>
            <w:tcW w:w="1554" w:type="dxa"/>
            <w:noWrap/>
            <w:hideMark/>
          </w:tcPr>
          <w:p w14:paraId="1E705244" w14:textId="03B4E495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IL5</w:t>
            </w:r>
          </w:p>
        </w:tc>
        <w:tc>
          <w:tcPr>
            <w:tcW w:w="1555" w:type="dxa"/>
            <w:noWrap/>
            <w:hideMark/>
          </w:tcPr>
          <w:p w14:paraId="5610C4A8" w14:textId="1847D0E3" w:rsidR="008E0EA7" w:rsidRPr="008E0EA7" w:rsidRDefault="00D47CE8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CE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P05113</w:t>
            </w:r>
          </w:p>
        </w:tc>
        <w:tc>
          <w:tcPr>
            <w:tcW w:w="4404" w:type="dxa"/>
            <w:noWrap/>
            <w:hideMark/>
          </w:tcPr>
          <w:p w14:paraId="5C554595" w14:textId="43F1D329" w:rsidR="008E0EA7" w:rsidRPr="008E0EA7" w:rsidRDefault="00D47CE8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CE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Interleukin-5 (IL-5) </w:t>
            </w:r>
            <w:r w:rsidR="008E0EA7" w:rsidRPr="008E0EA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noWrap/>
            <w:hideMark/>
          </w:tcPr>
          <w:p w14:paraId="4E5B5C30" w14:textId="1D5F77F6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0EA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0.</w:t>
            </w:r>
            <w:r w:rsidR="00C94CF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964</w:t>
            </w:r>
          </w:p>
        </w:tc>
        <w:tc>
          <w:tcPr>
            <w:tcW w:w="1757" w:type="dxa"/>
            <w:noWrap/>
            <w:hideMark/>
          </w:tcPr>
          <w:p w14:paraId="21EC8F55" w14:textId="60B09F49" w:rsidR="008E0EA7" w:rsidRPr="008E0EA7" w:rsidRDefault="008E0EA7" w:rsidP="008E0EA7">
            <w:pPr>
              <w:spacing w:beforeLines="50" w:before="156" w:afterLines="50" w:after="156" w:line="48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0EA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0.0</w:t>
            </w:r>
            <w:r w:rsidR="00C94CF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39</w:t>
            </w:r>
          </w:p>
        </w:tc>
      </w:tr>
    </w:tbl>
    <w:p w14:paraId="33D16586" w14:textId="77777777" w:rsidR="008E0EA7" w:rsidRPr="008E0EA7" w:rsidRDefault="008E0EA7" w:rsidP="008E0EA7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E0EA7"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r w:rsidRPr="008E0EA7">
        <w:rPr>
          <w:rFonts w:ascii="Times New Roman" w:hAnsi="Times New Roman" w:cs="Times New Roman"/>
          <w:sz w:val="24"/>
          <w:szCs w:val="24"/>
        </w:rPr>
        <w:t>Adjusted</w:t>
      </w:r>
      <w:proofErr w:type="spellEnd"/>
      <w:r w:rsidRPr="008E0EA7">
        <w:rPr>
          <w:rFonts w:ascii="Times New Roman" w:hAnsi="Times New Roman" w:cs="Times New Roman"/>
          <w:sz w:val="24"/>
          <w:szCs w:val="24"/>
        </w:rPr>
        <w:t xml:space="preserve"> fold change (FC) represents the log₂-transformed difference in protein expression between groups. </w:t>
      </w:r>
    </w:p>
    <w:p w14:paraId="03309914" w14:textId="77777777" w:rsidR="008E0EA7" w:rsidRPr="008E0EA7" w:rsidRDefault="008E0EA7" w:rsidP="008E0EA7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E0EA7">
        <w:rPr>
          <w:rFonts w:ascii="Times New Roman" w:hAnsi="Times New Roman" w:cs="Times New Roman" w:hint="eastAsia"/>
          <w:sz w:val="24"/>
          <w:szCs w:val="24"/>
          <w:vertAlign w:val="superscript"/>
        </w:rPr>
        <w:t>b</w:t>
      </w:r>
      <w:r w:rsidRPr="008E0EA7">
        <w:rPr>
          <w:rFonts w:ascii="Times New Roman" w:hAnsi="Times New Roman" w:cs="Times New Roman"/>
          <w:i/>
          <w:iCs/>
          <w:sz w:val="24"/>
          <w:szCs w:val="24"/>
        </w:rPr>
        <w:t>P</w:t>
      </w:r>
      <w:proofErr w:type="spellEnd"/>
      <w:r w:rsidRPr="008E0EA7">
        <w:rPr>
          <w:rFonts w:ascii="Times New Roman" w:hAnsi="Times New Roman" w:cs="Times New Roman"/>
          <w:sz w:val="24"/>
          <w:szCs w:val="24"/>
        </w:rPr>
        <w:t xml:space="preserve"> values were derived from moderated t-statistics based on the empirica</w:t>
      </w:r>
      <w:r w:rsidRPr="008E0EA7">
        <w:rPr>
          <w:rFonts w:ascii="Times New Roman" w:hAnsi="Times New Roman" w:cs="Times New Roman" w:hint="eastAsia"/>
          <w:sz w:val="24"/>
          <w:szCs w:val="24"/>
        </w:rPr>
        <w:t xml:space="preserve">l Bayes approach. Only proteins with </w:t>
      </w:r>
      <w:r w:rsidRPr="008E0EA7">
        <w:rPr>
          <w:rFonts w:ascii="Times New Roman" w:hAnsi="Times New Roman" w:cs="Times New Roman" w:hint="eastAsia"/>
          <w:i/>
          <w:iCs/>
          <w:sz w:val="24"/>
          <w:szCs w:val="24"/>
        </w:rPr>
        <w:t>P</w:t>
      </w:r>
      <w:r w:rsidRPr="008E0EA7">
        <w:rPr>
          <w:rFonts w:ascii="Times New Roman" w:hAnsi="Times New Roman" w:cs="Times New Roman" w:hint="eastAsia"/>
          <w:sz w:val="24"/>
          <w:szCs w:val="24"/>
        </w:rPr>
        <w:t>&lt; 0.05 are shown.</w:t>
      </w:r>
    </w:p>
    <w:p w14:paraId="0B112E74" w14:textId="77777777" w:rsidR="00DF7F04" w:rsidRDefault="00DF7F04" w:rsidP="009958AD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1EF66ED0" w14:textId="77777777" w:rsidR="00DF7F04" w:rsidRDefault="00DF7F04" w:rsidP="009958AD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4F969D9D" w14:textId="77777777" w:rsidR="00DF7F04" w:rsidRDefault="00DF7F04" w:rsidP="009958AD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2EB014FB" w14:textId="77777777" w:rsidR="00DF7F04" w:rsidRDefault="00DF7F04" w:rsidP="009958AD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0B83F8B4" w14:textId="77777777" w:rsidR="00DF7F04" w:rsidRDefault="00DF7F04" w:rsidP="009958AD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02E27079" w14:textId="77777777" w:rsidR="00DF7F04" w:rsidRDefault="00DF7F04" w:rsidP="001D62D4">
      <w:pPr>
        <w:spacing w:beforeLines="50" w:before="156" w:afterLines="50" w:after="156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055DC1C" w14:textId="0068616C" w:rsidR="00DD146F" w:rsidRPr="00DD146F" w:rsidRDefault="009958AD" w:rsidP="009958AD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4E7764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4E7764">
        <w:rPr>
          <w:rFonts w:ascii="Times New Roman" w:hAnsi="Times New Roman" w:cs="Times New Roman" w:hint="eastAsia"/>
          <w:sz w:val="24"/>
          <w:szCs w:val="24"/>
        </w:rPr>
        <w:t xml:space="preserve">upplementary </w:t>
      </w:r>
      <w:r w:rsidRPr="004E7764">
        <w:rPr>
          <w:rFonts w:ascii="Times New Roman" w:hAnsi="Times New Roman" w:cs="Times New Roman"/>
          <w:sz w:val="24"/>
          <w:szCs w:val="24"/>
        </w:rPr>
        <w:t>T</w:t>
      </w:r>
      <w:r w:rsidRPr="004E7764">
        <w:rPr>
          <w:rFonts w:ascii="Times New Roman" w:hAnsi="Times New Roman" w:cs="Times New Roman" w:hint="eastAsia"/>
          <w:sz w:val="24"/>
          <w:szCs w:val="24"/>
        </w:rPr>
        <w:t xml:space="preserve">able </w:t>
      </w:r>
      <w:r w:rsidR="00137B84">
        <w:rPr>
          <w:rFonts w:ascii="Times New Roman" w:hAnsi="Times New Roman" w:cs="Times New Roman" w:hint="eastAsia"/>
          <w:sz w:val="24"/>
          <w:szCs w:val="24"/>
        </w:rPr>
        <w:t>3</w:t>
      </w:r>
      <w:r w:rsidRPr="004E7764">
        <w:rPr>
          <w:rFonts w:ascii="Times New Roman" w:hAnsi="Times New Roman" w:cs="Times New Roman" w:hint="eastAsia"/>
          <w:sz w:val="24"/>
          <w:szCs w:val="24"/>
        </w:rPr>
        <w:t>.</w:t>
      </w:r>
      <w:r w:rsidR="00DD146F" w:rsidRPr="00DD146F">
        <w:rPr>
          <w:rFonts w:ascii="Times New Roman" w:hAnsi="Times New Roman" w:cs="Times New Roman" w:hint="eastAsia"/>
          <w:sz w:val="24"/>
          <w:szCs w:val="24"/>
        </w:rPr>
        <w:t xml:space="preserve"> Demographic and clinical characteristics of the ELISA validation cohort</w:t>
      </w:r>
    </w:p>
    <w:tbl>
      <w:tblPr>
        <w:tblStyle w:val="a3"/>
        <w:tblW w:w="11057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3369"/>
        <w:gridCol w:w="2173"/>
        <w:gridCol w:w="2173"/>
        <w:gridCol w:w="2033"/>
        <w:gridCol w:w="1309"/>
      </w:tblGrid>
      <w:tr w:rsidR="00DD146F" w:rsidRPr="00DD146F" w14:paraId="7DEA2E2D" w14:textId="77777777" w:rsidTr="00906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3369" w:type="dxa"/>
            <w:noWrap/>
            <w:hideMark/>
          </w:tcPr>
          <w:p w14:paraId="48E9C522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eastAsiaTheme="minorEastAsia" w:cs="Times New Roman"/>
                <w:b/>
                <w:bCs/>
                <w:sz w:val="16"/>
                <w:szCs w:val="16"/>
              </w:rPr>
            </w:pPr>
            <w:r w:rsidRPr="00DD146F">
              <w:rPr>
                <w:rFonts w:eastAsiaTheme="minorEastAsia" w:cs="Times New Roman"/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2173" w:type="dxa"/>
            <w:noWrap/>
            <w:hideMark/>
          </w:tcPr>
          <w:p w14:paraId="4B3C9493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eastAsiaTheme="minorEastAsia" w:cs="Times New Roman"/>
                <w:b/>
                <w:bCs/>
                <w:sz w:val="16"/>
                <w:szCs w:val="16"/>
              </w:rPr>
            </w:pPr>
            <w:r w:rsidRPr="00DD146F">
              <w:rPr>
                <w:rFonts w:eastAsiaTheme="minorEastAsia" w:cs="Times New Roman"/>
                <w:b/>
                <w:bCs/>
                <w:sz w:val="16"/>
                <w:szCs w:val="16"/>
              </w:rPr>
              <w:t>NR (n=10)</w:t>
            </w:r>
          </w:p>
        </w:tc>
        <w:tc>
          <w:tcPr>
            <w:tcW w:w="2173" w:type="dxa"/>
            <w:hideMark/>
          </w:tcPr>
          <w:p w14:paraId="6E1CA277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eastAsiaTheme="minorEastAsia" w:cs="Times New Roman"/>
                <w:b/>
                <w:bCs/>
                <w:sz w:val="16"/>
                <w:szCs w:val="16"/>
              </w:rPr>
            </w:pPr>
            <w:r w:rsidRPr="00DD146F">
              <w:rPr>
                <w:rFonts w:eastAsiaTheme="minorEastAsia" w:cs="Times New Roman"/>
                <w:b/>
                <w:bCs/>
                <w:sz w:val="16"/>
                <w:szCs w:val="16"/>
              </w:rPr>
              <w:t>R(n=10)</w:t>
            </w:r>
          </w:p>
        </w:tc>
        <w:tc>
          <w:tcPr>
            <w:tcW w:w="2033" w:type="dxa"/>
            <w:noWrap/>
            <w:hideMark/>
          </w:tcPr>
          <w:p w14:paraId="5B91B1FB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eastAsiaTheme="minorEastAsia" w:cs="Times New Roman"/>
                <w:b/>
                <w:bCs/>
                <w:sz w:val="16"/>
                <w:szCs w:val="16"/>
              </w:rPr>
            </w:pPr>
            <w:r w:rsidRPr="00DD146F">
              <w:rPr>
                <w:rFonts w:eastAsiaTheme="minorEastAsia" w:cs="Times New Roman"/>
                <w:b/>
                <w:bCs/>
                <w:sz w:val="16"/>
                <w:szCs w:val="16"/>
              </w:rPr>
              <w:t>Total (n=20)</w:t>
            </w:r>
          </w:p>
        </w:tc>
        <w:tc>
          <w:tcPr>
            <w:tcW w:w="1309" w:type="dxa"/>
            <w:noWrap/>
            <w:hideMark/>
          </w:tcPr>
          <w:p w14:paraId="7F65C2AC" w14:textId="20420A82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eastAsiaTheme="minorEastAsia" w:cs="Times New Roman"/>
                <w:b/>
                <w:bCs/>
                <w:sz w:val="16"/>
                <w:szCs w:val="16"/>
              </w:rPr>
            </w:pPr>
            <w:r w:rsidRPr="00DD146F"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</w:rPr>
              <w:t>P</w:t>
            </w:r>
            <w:r w:rsidRPr="00DD146F">
              <w:rPr>
                <w:rFonts w:eastAsiaTheme="minorEastAsia" w:cs="Times New Roman"/>
                <w:b/>
                <w:bCs/>
                <w:sz w:val="16"/>
                <w:szCs w:val="16"/>
              </w:rPr>
              <w:t xml:space="preserve"> Value</w:t>
            </w:r>
          </w:p>
        </w:tc>
      </w:tr>
      <w:tr w:rsidR="00DD146F" w:rsidRPr="00DD146F" w14:paraId="49DA9E6F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1BFA718E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Age (years), median (IQR)</w:t>
            </w:r>
          </w:p>
        </w:tc>
        <w:tc>
          <w:tcPr>
            <w:tcW w:w="2173" w:type="dxa"/>
            <w:noWrap/>
            <w:hideMark/>
          </w:tcPr>
          <w:p w14:paraId="71E31C2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37.4 (26.7, 50.6)</w:t>
            </w:r>
          </w:p>
        </w:tc>
        <w:tc>
          <w:tcPr>
            <w:tcW w:w="2173" w:type="dxa"/>
            <w:noWrap/>
            <w:hideMark/>
          </w:tcPr>
          <w:p w14:paraId="30BB7CD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33.9 (31.9, 37.5)</w:t>
            </w:r>
          </w:p>
        </w:tc>
        <w:tc>
          <w:tcPr>
            <w:tcW w:w="2033" w:type="dxa"/>
            <w:noWrap/>
            <w:hideMark/>
          </w:tcPr>
          <w:p w14:paraId="23B08C49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36.2 (30.1, 41.1)</w:t>
            </w:r>
          </w:p>
        </w:tc>
        <w:tc>
          <w:tcPr>
            <w:tcW w:w="1309" w:type="dxa"/>
            <w:noWrap/>
            <w:hideMark/>
          </w:tcPr>
          <w:p w14:paraId="470299F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0.579</w:t>
            </w:r>
          </w:p>
        </w:tc>
      </w:tr>
      <w:tr w:rsidR="00DD146F" w:rsidRPr="00DD146F" w14:paraId="0766A284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62FCD726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Sex</w:t>
            </w:r>
          </w:p>
        </w:tc>
        <w:tc>
          <w:tcPr>
            <w:tcW w:w="2173" w:type="dxa"/>
            <w:noWrap/>
            <w:hideMark/>
          </w:tcPr>
          <w:p w14:paraId="18D6A9F1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173" w:type="dxa"/>
            <w:noWrap/>
            <w:hideMark/>
          </w:tcPr>
          <w:p w14:paraId="7E4253EB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033" w:type="dxa"/>
            <w:noWrap/>
            <w:hideMark/>
          </w:tcPr>
          <w:p w14:paraId="519A689D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  <w:noWrap/>
            <w:hideMark/>
          </w:tcPr>
          <w:p w14:paraId="2BAC2DD2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&gt;0.999</w:t>
            </w:r>
          </w:p>
        </w:tc>
      </w:tr>
      <w:tr w:rsidR="00DD146F" w:rsidRPr="00DD146F" w14:paraId="39B73CB5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07755189" w14:textId="6F4DD211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Female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(n,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2173" w:type="dxa"/>
            <w:noWrap/>
            <w:hideMark/>
          </w:tcPr>
          <w:p w14:paraId="3AC5B55C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4 (40%)</w:t>
            </w:r>
          </w:p>
        </w:tc>
        <w:tc>
          <w:tcPr>
            <w:tcW w:w="2173" w:type="dxa"/>
            <w:noWrap/>
            <w:hideMark/>
          </w:tcPr>
          <w:p w14:paraId="4DCB53ED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4 (40%)</w:t>
            </w:r>
          </w:p>
        </w:tc>
        <w:tc>
          <w:tcPr>
            <w:tcW w:w="2033" w:type="dxa"/>
            <w:noWrap/>
            <w:hideMark/>
          </w:tcPr>
          <w:p w14:paraId="0C5F8C35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8 (40%)</w:t>
            </w:r>
          </w:p>
        </w:tc>
        <w:tc>
          <w:tcPr>
            <w:tcW w:w="1309" w:type="dxa"/>
            <w:noWrap/>
            <w:hideMark/>
          </w:tcPr>
          <w:p w14:paraId="48929051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50EAF1D3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45A0B7F5" w14:textId="0AF04A91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Male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(n,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2173" w:type="dxa"/>
            <w:noWrap/>
            <w:hideMark/>
          </w:tcPr>
          <w:p w14:paraId="41BE016E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6 (60%)</w:t>
            </w:r>
          </w:p>
        </w:tc>
        <w:tc>
          <w:tcPr>
            <w:tcW w:w="2173" w:type="dxa"/>
            <w:noWrap/>
            <w:hideMark/>
          </w:tcPr>
          <w:p w14:paraId="3149A11E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6 (60%)</w:t>
            </w:r>
          </w:p>
        </w:tc>
        <w:tc>
          <w:tcPr>
            <w:tcW w:w="2033" w:type="dxa"/>
            <w:noWrap/>
            <w:hideMark/>
          </w:tcPr>
          <w:p w14:paraId="70B6D2AA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12 (60%)</w:t>
            </w:r>
          </w:p>
        </w:tc>
        <w:tc>
          <w:tcPr>
            <w:tcW w:w="1309" w:type="dxa"/>
            <w:noWrap/>
            <w:hideMark/>
          </w:tcPr>
          <w:p w14:paraId="30BCAAA3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5B479ABB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604C17D9" w14:textId="40492B7A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Diagnosis age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(n,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2173" w:type="dxa"/>
            <w:noWrap/>
            <w:hideMark/>
          </w:tcPr>
          <w:p w14:paraId="623BC4C2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173" w:type="dxa"/>
            <w:noWrap/>
            <w:hideMark/>
          </w:tcPr>
          <w:p w14:paraId="29F83A05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033" w:type="dxa"/>
            <w:noWrap/>
            <w:hideMark/>
          </w:tcPr>
          <w:p w14:paraId="32D688BD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  <w:noWrap/>
            <w:hideMark/>
          </w:tcPr>
          <w:p w14:paraId="6B4899F7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0.582</w:t>
            </w:r>
          </w:p>
        </w:tc>
      </w:tr>
      <w:tr w:rsidR="00DD146F" w:rsidRPr="00DD146F" w14:paraId="6ADCD816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6507D777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A2</w:t>
            </w:r>
          </w:p>
        </w:tc>
        <w:tc>
          <w:tcPr>
            <w:tcW w:w="2173" w:type="dxa"/>
            <w:noWrap/>
            <w:hideMark/>
          </w:tcPr>
          <w:p w14:paraId="78E1E0C5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7 (70%)</w:t>
            </w:r>
          </w:p>
        </w:tc>
        <w:tc>
          <w:tcPr>
            <w:tcW w:w="2173" w:type="dxa"/>
            <w:noWrap/>
            <w:hideMark/>
          </w:tcPr>
          <w:p w14:paraId="0C78DF07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9 (90%)</w:t>
            </w:r>
          </w:p>
        </w:tc>
        <w:tc>
          <w:tcPr>
            <w:tcW w:w="2033" w:type="dxa"/>
            <w:noWrap/>
            <w:hideMark/>
          </w:tcPr>
          <w:p w14:paraId="1410D3F5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16 (80%)</w:t>
            </w:r>
          </w:p>
        </w:tc>
        <w:tc>
          <w:tcPr>
            <w:tcW w:w="1309" w:type="dxa"/>
            <w:noWrap/>
            <w:hideMark/>
          </w:tcPr>
          <w:p w14:paraId="64A00B42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04B2E346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355AC086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A3</w:t>
            </w:r>
          </w:p>
        </w:tc>
        <w:tc>
          <w:tcPr>
            <w:tcW w:w="2173" w:type="dxa"/>
            <w:noWrap/>
            <w:hideMark/>
          </w:tcPr>
          <w:p w14:paraId="7598AA52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3 (30%)</w:t>
            </w:r>
          </w:p>
        </w:tc>
        <w:tc>
          <w:tcPr>
            <w:tcW w:w="2173" w:type="dxa"/>
            <w:noWrap/>
            <w:hideMark/>
          </w:tcPr>
          <w:p w14:paraId="7CCAFD3A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 (10%)</w:t>
            </w:r>
          </w:p>
        </w:tc>
        <w:tc>
          <w:tcPr>
            <w:tcW w:w="2033" w:type="dxa"/>
            <w:noWrap/>
            <w:hideMark/>
          </w:tcPr>
          <w:p w14:paraId="12619A93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4 (20%)</w:t>
            </w:r>
          </w:p>
        </w:tc>
        <w:tc>
          <w:tcPr>
            <w:tcW w:w="1309" w:type="dxa"/>
            <w:noWrap/>
            <w:hideMark/>
          </w:tcPr>
          <w:p w14:paraId="4573C0A9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2228EAC7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5DC599AB" w14:textId="2791B43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Disease behavior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(n,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2173" w:type="dxa"/>
            <w:noWrap/>
            <w:hideMark/>
          </w:tcPr>
          <w:p w14:paraId="00A51987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173" w:type="dxa"/>
            <w:noWrap/>
            <w:hideMark/>
          </w:tcPr>
          <w:p w14:paraId="58D112CE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033" w:type="dxa"/>
            <w:noWrap/>
            <w:hideMark/>
          </w:tcPr>
          <w:p w14:paraId="67CB3C9B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  <w:noWrap/>
            <w:hideMark/>
          </w:tcPr>
          <w:p w14:paraId="7AE0EE75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0.057</w:t>
            </w:r>
          </w:p>
        </w:tc>
      </w:tr>
      <w:tr w:rsidR="00DD146F" w:rsidRPr="00DD146F" w14:paraId="45AC517C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16C399E7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B1</w:t>
            </w:r>
          </w:p>
        </w:tc>
        <w:tc>
          <w:tcPr>
            <w:tcW w:w="2173" w:type="dxa"/>
            <w:noWrap/>
            <w:hideMark/>
          </w:tcPr>
          <w:p w14:paraId="68F402F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6 (60%)</w:t>
            </w:r>
          </w:p>
        </w:tc>
        <w:tc>
          <w:tcPr>
            <w:tcW w:w="2173" w:type="dxa"/>
            <w:noWrap/>
            <w:hideMark/>
          </w:tcPr>
          <w:p w14:paraId="7421B116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 (10%)</w:t>
            </w:r>
          </w:p>
        </w:tc>
        <w:tc>
          <w:tcPr>
            <w:tcW w:w="2033" w:type="dxa"/>
            <w:noWrap/>
            <w:hideMark/>
          </w:tcPr>
          <w:p w14:paraId="4B939B8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7 (35%)</w:t>
            </w:r>
          </w:p>
        </w:tc>
        <w:tc>
          <w:tcPr>
            <w:tcW w:w="1309" w:type="dxa"/>
            <w:noWrap/>
            <w:hideMark/>
          </w:tcPr>
          <w:p w14:paraId="78C200F9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5E8D0A8E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7EBED3CA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B2</w:t>
            </w:r>
          </w:p>
        </w:tc>
        <w:tc>
          <w:tcPr>
            <w:tcW w:w="2173" w:type="dxa"/>
            <w:noWrap/>
            <w:hideMark/>
          </w:tcPr>
          <w:p w14:paraId="79CFF31A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4 (40%)</w:t>
            </w:r>
          </w:p>
        </w:tc>
        <w:tc>
          <w:tcPr>
            <w:tcW w:w="2173" w:type="dxa"/>
            <w:noWrap/>
            <w:hideMark/>
          </w:tcPr>
          <w:p w14:paraId="39AE1D1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9 (90%)</w:t>
            </w:r>
          </w:p>
        </w:tc>
        <w:tc>
          <w:tcPr>
            <w:tcW w:w="2033" w:type="dxa"/>
            <w:noWrap/>
            <w:hideMark/>
          </w:tcPr>
          <w:p w14:paraId="679DC8F3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13 (65%)</w:t>
            </w:r>
          </w:p>
        </w:tc>
        <w:tc>
          <w:tcPr>
            <w:tcW w:w="1309" w:type="dxa"/>
            <w:noWrap/>
            <w:hideMark/>
          </w:tcPr>
          <w:p w14:paraId="2B32FFD3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161574A5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63DADFAC" w14:textId="7FCF7862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Disease location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(n,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2173" w:type="dxa"/>
            <w:noWrap/>
            <w:hideMark/>
          </w:tcPr>
          <w:p w14:paraId="5EC3AD83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173" w:type="dxa"/>
            <w:noWrap/>
            <w:hideMark/>
          </w:tcPr>
          <w:p w14:paraId="13E4673D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033" w:type="dxa"/>
            <w:noWrap/>
            <w:hideMark/>
          </w:tcPr>
          <w:p w14:paraId="3C59512C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  <w:noWrap/>
            <w:hideMark/>
          </w:tcPr>
          <w:p w14:paraId="498BDFCC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0.650</w:t>
            </w:r>
          </w:p>
        </w:tc>
      </w:tr>
      <w:tr w:rsidR="00DD146F" w:rsidRPr="00DD146F" w14:paraId="107859B8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5028A81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Ileal (L1)</w:t>
            </w:r>
          </w:p>
        </w:tc>
        <w:tc>
          <w:tcPr>
            <w:tcW w:w="2173" w:type="dxa"/>
            <w:noWrap/>
            <w:hideMark/>
          </w:tcPr>
          <w:p w14:paraId="42C6805B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3 (30%)</w:t>
            </w:r>
          </w:p>
        </w:tc>
        <w:tc>
          <w:tcPr>
            <w:tcW w:w="2173" w:type="dxa"/>
            <w:noWrap/>
            <w:hideMark/>
          </w:tcPr>
          <w:p w14:paraId="54370DC1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4 (40%)</w:t>
            </w:r>
          </w:p>
        </w:tc>
        <w:tc>
          <w:tcPr>
            <w:tcW w:w="2033" w:type="dxa"/>
            <w:noWrap/>
            <w:hideMark/>
          </w:tcPr>
          <w:p w14:paraId="5F17982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7 (35%)</w:t>
            </w:r>
          </w:p>
        </w:tc>
        <w:tc>
          <w:tcPr>
            <w:tcW w:w="1309" w:type="dxa"/>
            <w:noWrap/>
            <w:hideMark/>
          </w:tcPr>
          <w:p w14:paraId="2733FCDC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3B0327F8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74169A7E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Colonic (L2)</w:t>
            </w:r>
          </w:p>
        </w:tc>
        <w:tc>
          <w:tcPr>
            <w:tcW w:w="2173" w:type="dxa"/>
            <w:noWrap/>
            <w:hideMark/>
          </w:tcPr>
          <w:p w14:paraId="2231CBE3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2 (20%)</w:t>
            </w:r>
          </w:p>
        </w:tc>
        <w:tc>
          <w:tcPr>
            <w:tcW w:w="2173" w:type="dxa"/>
            <w:noWrap/>
            <w:hideMark/>
          </w:tcPr>
          <w:p w14:paraId="6B677D88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 (0%)</w:t>
            </w:r>
          </w:p>
        </w:tc>
        <w:tc>
          <w:tcPr>
            <w:tcW w:w="2033" w:type="dxa"/>
            <w:noWrap/>
            <w:hideMark/>
          </w:tcPr>
          <w:p w14:paraId="7C47C1D7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2 (10%)</w:t>
            </w:r>
          </w:p>
        </w:tc>
        <w:tc>
          <w:tcPr>
            <w:tcW w:w="1309" w:type="dxa"/>
            <w:noWrap/>
            <w:hideMark/>
          </w:tcPr>
          <w:p w14:paraId="67E4439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2B96A05D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03211C9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Ileocolonic (L3)</w:t>
            </w:r>
          </w:p>
        </w:tc>
        <w:tc>
          <w:tcPr>
            <w:tcW w:w="2173" w:type="dxa"/>
            <w:noWrap/>
            <w:hideMark/>
          </w:tcPr>
          <w:p w14:paraId="2852182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 (50%)</w:t>
            </w:r>
          </w:p>
        </w:tc>
        <w:tc>
          <w:tcPr>
            <w:tcW w:w="2173" w:type="dxa"/>
            <w:noWrap/>
            <w:hideMark/>
          </w:tcPr>
          <w:p w14:paraId="7076825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6 (60%)</w:t>
            </w:r>
          </w:p>
        </w:tc>
        <w:tc>
          <w:tcPr>
            <w:tcW w:w="2033" w:type="dxa"/>
            <w:noWrap/>
            <w:hideMark/>
          </w:tcPr>
          <w:p w14:paraId="0D723399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11 (55%)</w:t>
            </w:r>
          </w:p>
        </w:tc>
        <w:tc>
          <w:tcPr>
            <w:tcW w:w="1309" w:type="dxa"/>
            <w:noWrap/>
            <w:hideMark/>
          </w:tcPr>
          <w:p w14:paraId="713223DC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3148C9C2" w14:textId="77777777" w:rsidTr="00906DAB">
        <w:trPr>
          <w:trHeight w:val="320"/>
        </w:trPr>
        <w:tc>
          <w:tcPr>
            <w:tcW w:w="3369" w:type="dxa"/>
            <w:noWrap/>
            <w:hideMark/>
          </w:tcPr>
          <w:p w14:paraId="4C92E9EC" w14:textId="1E389595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Perianal </w:t>
            </w:r>
            <w:proofErr w:type="spellStart"/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disease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  <w:vertAlign w:val="superscript"/>
              </w:rPr>
              <w:t>a</w:t>
            </w:r>
            <w:proofErr w:type="spellEnd"/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  <w:vertAlign w:val="superscript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(n,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2173" w:type="dxa"/>
            <w:noWrap/>
            <w:hideMark/>
          </w:tcPr>
          <w:p w14:paraId="3B24F048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173" w:type="dxa"/>
            <w:noWrap/>
            <w:hideMark/>
          </w:tcPr>
          <w:p w14:paraId="1322C311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033" w:type="dxa"/>
            <w:noWrap/>
            <w:hideMark/>
          </w:tcPr>
          <w:p w14:paraId="37A20C89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  <w:noWrap/>
            <w:hideMark/>
          </w:tcPr>
          <w:p w14:paraId="5EC7C7CC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&gt;0.999</w:t>
            </w:r>
          </w:p>
        </w:tc>
      </w:tr>
      <w:tr w:rsidR="00DD146F" w:rsidRPr="00DD146F" w14:paraId="6E29BCBE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5070D97D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No</w:t>
            </w:r>
          </w:p>
        </w:tc>
        <w:tc>
          <w:tcPr>
            <w:tcW w:w="2173" w:type="dxa"/>
            <w:noWrap/>
            <w:hideMark/>
          </w:tcPr>
          <w:p w14:paraId="14546B3A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 (50%)</w:t>
            </w:r>
          </w:p>
        </w:tc>
        <w:tc>
          <w:tcPr>
            <w:tcW w:w="2173" w:type="dxa"/>
            <w:noWrap/>
            <w:hideMark/>
          </w:tcPr>
          <w:p w14:paraId="05A2493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 (50%)</w:t>
            </w:r>
          </w:p>
        </w:tc>
        <w:tc>
          <w:tcPr>
            <w:tcW w:w="2033" w:type="dxa"/>
            <w:noWrap/>
            <w:hideMark/>
          </w:tcPr>
          <w:p w14:paraId="3DE099B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10 (50%)</w:t>
            </w:r>
          </w:p>
        </w:tc>
        <w:tc>
          <w:tcPr>
            <w:tcW w:w="1309" w:type="dxa"/>
            <w:noWrap/>
            <w:hideMark/>
          </w:tcPr>
          <w:p w14:paraId="6C75617C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2E59FB89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523AB80A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 xml:space="preserve">    Yes</w:t>
            </w:r>
          </w:p>
        </w:tc>
        <w:tc>
          <w:tcPr>
            <w:tcW w:w="2173" w:type="dxa"/>
            <w:noWrap/>
            <w:hideMark/>
          </w:tcPr>
          <w:p w14:paraId="31B32A9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 (50%)</w:t>
            </w:r>
          </w:p>
        </w:tc>
        <w:tc>
          <w:tcPr>
            <w:tcW w:w="2173" w:type="dxa"/>
            <w:noWrap/>
            <w:hideMark/>
          </w:tcPr>
          <w:p w14:paraId="41754C87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 (50%)</w:t>
            </w:r>
          </w:p>
        </w:tc>
        <w:tc>
          <w:tcPr>
            <w:tcW w:w="2033" w:type="dxa"/>
            <w:noWrap/>
            <w:hideMark/>
          </w:tcPr>
          <w:p w14:paraId="4C05ABF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10 (50%)</w:t>
            </w:r>
          </w:p>
        </w:tc>
        <w:tc>
          <w:tcPr>
            <w:tcW w:w="1309" w:type="dxa"/>
            <w:noWrap/>
            <w:hideMark/>
          </w:tcPr>
          <w:p w14:paraId="10A1E85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22EEEC46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4D1392A2" w14:textId="3CC41EB1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proofErr w:type="spellStart"/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Bio_naive</w:t>
            </w:r>
            <w:proofErr w:type="spellEnd"/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(n,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2173" w:type="dxa"/>
            <w:noWrap/>
            <w:hideMark/>
          </w:tcPr>
          <w:p w14:paraId="02ED1EDB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173" w:type="dxa"/>
            <w:noWrap/>
            <w:hideMark/>
          </w:tcPr>
          <w:p w14:paraId="5DC56E68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033" w:type="dxa"/>
            <w:noWrap/>
            <w:hideMark/>
          </w:tcPr>
          <w:p w14:paraId="7A29641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  <w:noWrap/>
            <w:hideMark/>
          </w:tcPr>
          <w:p w14:paraId="20F2F006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0.650</w:t>
            </w:r>
          </w:p>
        </w:tc>
      </w:tr>
      <w:tr w:rsidR="00DD146F" w:rsidRPr="00DD146F" w14:paraId="5CB80102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42EB07F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No</w:t>
            </w:r>
          </w:p>
        </w:tc>
        <w:tc>
          <w:tcPr>
            <w:tcW w:w="2173" w:type="dxa"/>
            <w:noWrap/>
            <w:hideMark/>
          </w:tcPr>
          <w:p w14:paraId="4D9D034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3 (30%)</w:t>
            </w:r>
          </w:p>
        </w:tc>
        <w:tc>
          <w:tcPr>
            <w:tcW w:w="2173" w:type="dxa"/>
            <w:noWrap/>
            <w:hideMark/>
          </w:tcPr>
          <w:p w14:paraId="1B93299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 (50%)</w:t>
            </w:r>
          </w:p>
        </w:tc>
        <w:tc>
          <w:tcPr>
            <w:tcW w:w="2033" w:type="dxa"/>
            <w:noWrap/>
            <w:hideMark/>
          </w:tcPr>
          <w:p w14:paraId="77AE355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8 (40%)</w:t>
            </w:r>
          </w:p>
        </w:tc>
        <w:tc>
          <w:tcPr>
            <w:tcW w:w="1309" w:type="dxa"/>
            <w:noWrap/>
            <w:hideMark/>
          </w:tcPr>
          <w:p w14:paraId="7140C44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525DF765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1A0BA2BD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Yes</w:t>
            </w:r>
          </w:p>
        </w:tc>
        <w:tc>
          <w:tcPr>
            <w:tcW w:w="2173" w:type="dxa"/>
            <w:noWrap/>
            <w:hideMark/>
          </w:tcPr>
          <w:p w14:paraId="4B6EED8C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7 (70%)</w:t>
            </w:r>
          </w:p>
        </w:tc>
        <w:tc>
          <w:tcPr>
            <w:tcW w:w="2173" w:type="dxa"/>
            <w:noWrap/>
            <w:hideMark/>
          </w:tcPr>
          <w:p w14:paraId="799BF93C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 (50%)</w:t>
            </w:r>
          </w:p>
        </w:tc>
        <w:tc>
          <w:tcPr>
            <w:tcW w:w="2033" w:type="dxa"/>
            <w:noWrap/>
            <w:hideMark/>
          </w:tcPr>
          <w:p w14:paraId="6FB569C8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12 (60%)</w:t>
            </w:r>
          </w:p>
        </w:tc>
        <w:tc>
          <w:tcPr>
            <w:tcW w:w="1309" w:type="dxa"/>
            <w:noWrap/>
            <w:hideMark/>
          </w:tcPr>
          <w:p w14:paraId="1DA80895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7B380868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79E8D187" w14:textId="6853A253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EIM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(n,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2173" w:type="dxa"/>
            <w:noWrap/>
            <w:hideMark/>
          </w:tcPr>
          <w:p w14:paraId="73BB2133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173" w:type="dxa"/>
            <w:noWrap/>
            <w:hideMark/>
          </w:tcPr>
          <w:p w14:paraId="6CF596CA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033" w:type="dxa"/>
            <w:noWrap/>
            <w:hideMark/>
          </w:tcPr>
          <w:p w14:paraId="24A6A79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  <w:noWrap/>
            <w:hideMark/>
          </w:tcPr>
          <w:p w14:paraId="2877139C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&gt;0.999</w:t>
            </w:r>
          </w:p>
        </w:tc>
      </w:tr>
      <w:tr w:rsidR="00DD146F" w:rsidRPr="00DD146F" w14:paraId="131121AB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2FA77B96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No</w:t>
            </w:r>
          </w:p>
        </w:tc>
        <w:tc>
          <w:tcPr>
            <w:tcW w:w="2173" w:type="dxa"/>
            <w:noWrap/>
            <w:hideMark/>
          </w:tcPr>
          <w:p w14:paraId="473D026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9 (90%)</w:t>
            </w:r>
          </w:p>
        </w:tc>
        <w:tc>
          <w:tcPr>
            <w:tcW w:w="2173" w:type="dxa"/>
            <w:noWrap/>
            <w:hideMark/>
          </w:tcPr>
          <w:p w14:paraId="0A93271B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10 (100%)</w:t>
            </w:r>
          </w:p>
        </w:tc>
        <w:tc>
          <w:tcPr>
            <w:tcW w:w="2033" w:type="dxa"/>
            <w:noWrap/>
            <w:hideMark/>
          </w:tcPr>
          <w:p w14:paraId="4A4FF4ED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19 (95%)</w:t>
            </w:r>
          </w:p>
        </w:tc>
        <w:tc>
          <w:tcPr>
            <w:tcW w:w="1309" w:type="dxa"/>
            <w:noWrap/>
            <w:hideMark/>
          </w:tcPr>
          <w:p w14:paraId="7873F1D3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2E496E89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134553E6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Yes</w:t>
            </w:r>
          </w:p>
        </w:tc>
        <w:tc>
          <w:tcPr>
            <w:tcW w:w="2173" w:type="dxa"/>
            <w:noWrap/>
            <w:hideMark/>
          </w:tcPr>
          <w:p w14:paraId="65B0499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 (10%)</w:t>
            </w:r>
          </w:p>
        </w:tc>
        <w:tc>
          <w:tcPr>
            <w:tcW w:w="2173" w:type="dxa"/>
            <w:noWrap/>
            <w:hideMark/>
          </w:tcPr>
          <w:p w14:paraId="3702FD31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 (0%)</w:t>
            </w:r>
          </w:p>
        </w:tc>
        <w:tc>
          <w:tcPr>
            <w:tcW w:w="2033" w:type="dxa"/>
            <w:noWrap/>
            <w:hideMark/>
          </w:tcPr>
          <w:p w14:paraId="08B81F8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 (5.0%)</w:t>
            </w:r>
          </w:p>
        </w:tc>
        <w:tc>
          <w:tcPr>
            <w:tcW w:w="1309" w:type="dxa"/>
            <w:noWrap/>
            <w:hideMark/>
          </w:tcPr>
          <w:p w14:paraId="1A9DAED9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0EE83E6D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52223DFB" w14:textId="33CFD898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proofErr w:type="spellStart"/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Numberofbios</w:t>
            </w:r>
            <w:proofErr w:type="spellEnd"/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(n,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2173" w:type="dxa"/>
            <w:noWrap/>
            <w:hideMark/>
          </w:tcPr>
          <w:p w14:paraId="06B0B99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173" w:type="dxa"/>
            <w:noWrap/>
            <w:hideMark/>
          </w:tcPr>
          <w:p w14:paraId="44CC0BC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033" w:type="dxa"/>
            <w:noWrap/>
            <w:hideMark/>
          </w:tcPr>
          <w:p w14:paraId="62EBAC4D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  <w:noWrap/>
            <w:hideMark/>
          </w:tcPr>
          <w:p w14:paraId="063DE0DD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0.650</w:t>
            </w:r>
          </w:p>
        </w:tc>
      </w:tr>
      <w:tr w:rsidR="00DD146F" w:rsidRPr="00DD146F" w14:paraId="4E88CEDF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7EAFA1A7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2173" w:type="dxa"/>
            <w:noWrap/>
            <w:hideMark/>
          </w:tcPr>
          <w:p w14:paraId="32D97D81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7 (70%)</w:t>
            </w:r>
          </w:p>
        </w:tc>
        <w:tc>
          <w:tcPr>
            <w:tcW w:w="2173" w:type="dxa"/>
            <w:noWrap/>
            <w:hideMark/>
          </w:tcPr>
          <w:p w14:paraId="5CB07ED3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 (50%)</w:t>
            </w:r>
          </w:p>
        </w:tc>
        <w:tc>
          <w:tcPr>
            <w:tcW w:w="2033" w:type="dxa"/>
            <w:noWrap/>
            <w:hideMark/>
          </w:tcPr>
          <w:p w14:paraId="79FE50F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12 (60%)</w:t>
            </w:r>
          </w:p>
        </w:tc>
        <w:tc>
          <w:tcPr>
            <w:tcW w:w="1309" w:type="dxa"/>
            <w:noWrap/>
            <w:hideMark/>
          </w:tcPr>
          <w:p w14:paraId="2C763981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277B2A17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71752603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1</w:t>
            </w:r>
          </w:p>
        </w:tc>
        <w:tc>
          <w:tcPr>
            <w:tcW w:w="2173" w:type="dxa"/>
            <w:noWrap/>
            <w:hideMark/>
          </w:tcPr>
          <w:p w14:paraId="36403B99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3 (30%)</w:t>
            </w:r>
          </w:p>
        </w:tc>
        <w:tc>
          <w:tcPr>
            <w:tcW w:w="2173" w:type="dxa"/>
            <w:noWrap/>
            <w:hideMark/>
          </w:tcPr>
          <w:p w14:paraId="593B35D2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 (50%)</w:t>
            </w:r>
          </w:p>
        </w:tc>
        <w:tc>
          <w:tcPr>
            <w:tcW w:w="2033" w:type="dxa"/>
            <w:noWrap/>
            <w:hideMark/>
          </w:tcPr>
          <w:p w14:paraId="4F8C9FF1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8 (40%)</w:t>
            </w:r>
          </w:p>
        </w:tc>
        <w:tc>
          <w:tcPr>
            <w:tcW w:w="1309" w:type="dxa"/>
            <w:noWrap/>
            <w:hideMark/>
          </w:tcPr>
          <w:p w14:paraId="60E0B48B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DD146F" w:rsidRPr="00DD146F" w14:paraId="7D1DA39A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3B0A75EB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Height(cm), Mean ± SD</w:t>
            </w:r>
          </w:p>
        </w:tc>
        <w:tc>
          <w:tcPr>
            <w:tcW w:w="2173" w:type="dxa"/>
            <w:noWrap/>
            <w:hideMark/>
          </w:tcPr>
          <w:p w14:paraId="1B5A8FBD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173.0 (166.0, 175.0)</w:t>
            </w:r>
          </w:p>
        </w:tc>
        <w:tc>
          <w:tcPr>
            <w:tcW w:w="2173" w:type="dxa"/>
            <w:noWrap/>
            <w:hideMark/>
          </w:tcPr>
          <w:p w14:paraId="7C49178E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169.5 (164.0, 178.0)</w:t>
            </w:r>
          </w:p>
        </w:tc>
        <w:tc>
          <w:tcPr>
            <w:tcW w:w="2033" w:type="dxa"/>
            <w:noWrap/>
            <w:hideMark/>
          </w:tcPr>
          <w:p w14:paraId="1B1990E2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171.5 (165.5, 175.5)</w:t>
            </w:r>
          </w:p>
        </w:tc>
        <w:tc>
          <w:tcPr>
            <w:tcW w:w="1309" w:type="dxa"/>
            <w:noWrap/>
            <w:hideMark/>
          </w:tcPr>
          <w:p w14:paraId="3ED7EFF7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&gt;0.999</w:t>
            </w:r>
          </w:p>
        </w:tc>
      </w:tr>
      <w:tr w:rsidR="00DD146F" w:rsidRPr="00DD146F" w14:paraId="73F1335A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751A5915" w14:textId="7AA4260B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Weight(kg), Mean ± SD</w:t>
            </w:r>
          </w:p>
        </w:tc>
        <w:tc>
          <w:tcPr>
            <w:tcW w:w="2173" w:type="dxa"/>
            <w:noWrap/>
            <w:hideMark/>
          </w:tcPr>
          <w:p w14:paraId="0ED86A8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52.0 (50.5, 63.5)</w:t>
            </w:r>
          </w:p>
        </w:tc>
        <w:tc>
          <w:tcPr>
            <w:tcW w:w="2173" w:type="dxa"/>
            <w:noWrap/>
            <w:hideMark/>
          </w:tcPr>
          <w:p w14:paraId="1F7A6B52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58.0 (53.0, 62.0)</w:t>
            </w:r>
          </w:p>
        </w:tc>
        <w:tc>
          <w:tcPr>
            <w:tcW w:w="2033" w:type="dxa"/>
            <w:noWrap/>
            <w:hideMark/>
          </w:tcPr>
          <w:p w14:paraId="3673F2D2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56.5 (51.5, 62.3)</w:t>
            </w:r>
          </w:p>
        </w:tc>
        <w:tc>
          <w:tcPr>
            <w:tcW w:w="1309" w:type="dxa"/>
            <w:noWrap/>
            <w:hideMark/>
          </w:tcPr>
          <w:p w14:paraId="19372773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0.427</w:t>
            </w:r>
          </w:p>
        </w:tc>
      </w:tr>
      <w:tr w:rsidR="00DD146F" w:rsidRPr="00DD146F" w14:paraId="6A439393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074BF5F7" w14:textId="47B514DD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BMI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(kg/m2), Mean ± SD</w:t>
            </w:r>
          </w:p>
        </w:tc>
        <w:tc>
          <w:tcPr>
            <w:tcW w:w="2173" w:type="dxa"/>
            <w:noWrap/>
            <w:hideMark/>
          </w:tcPr>
          <w:p w14:paraId="0827B85C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18.6 (17.4, 20.7)</w:t>
            </w:r>
          </w:p>
        </w:tc>
        <w:tc>
          <w:tcPr>
            <w:tcW w:w="2173" w:type="dxa"/>
            <w:noWrap/>
            <w:hideMark/>
          </w:tcPr>
          <w:p w14:paraId="76D85AAA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19.8 (19.3, 20.7)</w:t>
            </w:r>
          </w:p>
        </w:tc>
        <w:tc>
          <w:tcPr>
            <w:tcW w:w="2033" w:type="dxa"/>
            <w:noWrap/>
            <w:hideMark/>
          </w:tcPr>
          <w:p w14:paraId="651B234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19.5 (18.3, 20.7)</w:t>
            </w:r>
          </w:p>
        </w:tc>
        <w:tc>
          <w:tcPr>
            <w:tcW w:w="1309" w:type="dxa"/>
            <w:noWrap/>
            <w:hideMark/>
          </w:tcPr>
          <w:p w14:paraId="5D24DD1D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0.247</w:t>
            </w:r>
          </w:p>
        </w:tc>
      </w:tr>
      <w:tr w:rsidR="00DD146F" w:rsidRPr="00DD146F" w14:paraId="44BC4641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3D8159C6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Diagnose months(months)Median (Q1, Q3)</w:t>
            </w:r>
          </w:p>
        </w:tc>
        <w:tc>
          <w:tcPr>
            <w:tcW w:w="2173" w:type="dxa"/>
            <w:noWrap/>
            <w:hideMark/>
          </w:tcPr>
          <w:p w14:paraId="265DE5E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44.0 (31.0, 53.0)</w:t>
            </w:r>
          </w:p>
        </w:tc>
        <w:tc>
          <w:tcPr>
            <w:tcW w:w="2173" w:type="dxa"/>
            <w:noWrap/>
            <w:hideMark/>
          </w:tcPr>
          <w:p w14:paraId="7B4AD5F7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51.0 (39.0, 83.0)</w:t>
            </w:r>
          </w:p>
        </w:tc>
        <w:tc>
          <w:tcPr>
            <w:tcW w:w="2033" w:type="dxa"/>
            <w:noWrap/>
            <w:hideMark/>
          </w:tcPr>
          <w:p w14:paraId="00FF6443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45.5 (35.0, 60.0)</w:t>
            </w:r>
          </w:p>
        </w:tc>
        <w:tc>
          <w:tcPr>
            <w:tcW w:w="1309" w:type="dxa"/>
            <w:noWrap/>
            <w:hideMark/>
          </w:tcPr>
          <w:p w14:paraId="60B617C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0.344</w:t>
            </w:r>
          </w:p>
        </w:tc>
      </w:tr>
      <w:tr w:rsidR="00DD146F" w:rsidRPr="00DD146F" w14:paraId="13E32916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05DFF9B1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CDAI, Mean ± SD</w:t>
            </w:r>
          </w:p>
        </w:tc>
        <w:tc>
          <w:tcPr>
            <w:tcW w:w="2173" w:type="dxa"/>
            <w:noWrap/>
            <w:hideMark/>
          </w:tcPr>
          <w:p w14:paraId="7C7AB91D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161.3 (156.0, 174.2)</w:t>
            </w:r>
          </w:p>
        </w:tc>
        <w:tc>
          <w:tcPr>
            <w:tcW w:w="2173" w:type="dxa"/>
            <w:noWrap/>
            <w:hideMark/>
          </w:tcPr>
          <w:p w14:paraId="0B1C881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130.7 (97.8, 181.3)</w:t>
            </w:r>
          </w:p>
        </w:tc>
        <w:tc>
          <w:tcPr>
            <w:tcW w:w="2033" w:type="dxa"/>
            <w:noWrap/>
            <w:hideMark/>
          </w:tcPr>
          <w:p w14:paraId="609EC708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158.3 (112.5, 177.8)</w:t>
            </w:r>
          </w:p>
        </w:tc>
        <w:tc>
          <w:tcPr>
            <w:tcW w:w="1309" w:type="dxa"/>
            <w:noWrap/>
            <w:hideMark/>
          </w:tcPr>
          <w:p w14:paraId="46465978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0.315</w:t>
            </w:r>
          </w:p>
        </w:tc>
      </w:tr>
      <w:tr w:rsidR="00DD146F" w:rsidRPr="00DD146F" w14:paraId="07B1DA4F" w14:textId="77777777" w:rsidTr="00906DAB">
        <w:trPr>
          <w:trHeight w:val="320"/>
        </w:trPr>
        <w:tc>
          <w:tcPr>
            <w:tcW w:w="3369" w:type="dxa"/>
            <w:noWrap/>
            <w:hideMark/>
          </w:tcPr>
          <w:p w14:paraId="0CABF854" w14:textId="583C42D4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White Blood Cell(10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  <w:vertAlign w:val="superscript"/>
              </w:rPr>
              <w:t>9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/L), Mean ± SD</w:t>
            </w:r>
          </w:p>
        </w:tc>
        <w:tc>
          <w:tcPr>
            <w:tcW w:w="2173" w:type="dxa"/>
            <w:noWrap/>
            <w:hideMark/>
          </w:tcPr>
          <w:p w14:paraId="3C625EF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5.0 (5.0, 8.6)</w:t>
            </w:r>
          </w:p>
        </w:tc>
        <w:tc>
          <w:tcPr>
            <w:tcW w:w="2173" w:type="dxa"/>
            <w:noWrap/>
            <w:hideMark/>
          </w:tcPr>
          <w:p w14:paraId="24E3241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4.6 (4.1, 6.7)</w:t>
            </w:r>
          </w:p>
        </w:tc>
        <w:tc>
          <w:tcPr>
            <w:tcW w:w="2033" w:type="dxa"/>
            <w:noWrap/>
            <w:hideMark/>
          </w:tcPr>
          <w:p w14:paraId="38ED77AE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5.0 (4.4, 7.3)</w:t>
            </w:r>
          </w:p>
        </w:tc>
        <w:tc>
          <w:tcPr>
            <w:tcW w:w="1309" w:type="dxa"/>
            <w:noWrap/>
            <w:hideMark/>
          </w:tcPr>
          <w:p w14:paraId="09150D7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0.288</w:t>
            </w:r>
          </w:p>
        </w:tc>
      </w:tr>
      <w:tr w:rsidR="00DD146F" w:rsidRPr="00DD146F" w14:paraId="24CBADEC" w14:textId="77777777" w:rsidTr="00906DAB">
        <w:trPr>
          <w:trHeight w:val="320"/>
        </w:trPr>
        <w:tc>
          <w:tcPr>
            <w:tcW w:w="3369" w:type="dxa"/>
            <w:noWrap/>
            <w:hideMark/>
          </w:tcPr>
          <w:p w14:paraId="4D10C0E5" w14:textId="08EE2D5E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Platelet count(10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  <w:vertAlign w:val="superscript"/>
              </w:rPr>
              <w:t>9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/L),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Median (Q1, Q3)</w:t>
            </w:r>
          </w:p>
        </w:tc>
        <w:tc>
          <w:tcPr>
            <w:tcW w:w="2173" w:type="dxa"/>
            <w:noWrap/>
            <w:hideMark/>
          </w:tcPr>
          <w:p w14:paraId="16C4F3E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234.5 (211.0, 331.0)</w:t>
            </w:r>
          </w:p>
        </w:tc>
        <w:tc>
          <w:tcPr>
            <w:tcW w:w="2173" w:type="dxa"/>
            <w:noWrap/>
            <w:hideMark/>
          </w:tcPr>
          <w:p w14:paraId="1CCC9452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220.0 (185.0, 238.0)</w:t>
            </w:r>
          </w:p>
        </w:tc>
        <w:tc>
          <w:tcPr>
            <w:tcW w:w="2033" w:type="dxa"/>
            <w:noWrap/>
            <w:hideMark/>
          </w:tcPr>
          <w:p w14:paraId="6F62CD4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231.5 (205.0, 308.5)</w:t>
            </w:r>
          </w:p>
        </w:tc>
        <w:tc>
          <w:tcPr>
            <w:tcW w:w="1309" w:type="dxa"/>
            <w:noWrap/>
            <w:hideMark/>
          </w:tcPr>
          <w:p w14:paraId="3C690AA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0.406</w:t>
            </w:r>
          </w:p>
        </w:tc>
      </w:tr>
      <w:tr w:rsidR="00DD146F" w:rsidRPr="00DD146F" w14:paraId="6B14D026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34DC021D" w14:textId="1ADCB122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proofErr w:type="spellStart"/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Haemoglobin</w:t>
            </w:r>
            <w:proofErr w:type="spellEnd"/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level(g/L), Mean ± SD</w:t>
            </w:r>
          </w:p>
        </w:tc>
        <w:tc>
          <w:tcPr>
            <w:tcW w:w="2173" w:type="dxa"/>
            <w:noWrap/>
            <w:hideMark/>
          </w:tcPr>
          <w:p w14:paraId="7749E208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121.5 (109.0, 134.0)</w:t>
            </w:r>
          </w:p>
        </w:tc>
        <w:tc>
          <w:tcPr>
            <w:tcW w:w="2173" w:type="dxa"/>
            <w:noWrap/>
            <w:hideMark/>
          </w:tcPr>
          <w:p w14:paraId="6871426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108.5 (90.0, 134.0)</w:t>
            </w:r>
          </w:p>
        </w:tc>
        <w:tc>
          <w:tcPr>
            <w:tcW w:w="2033" w:type="dxa"/>
            <w:noWrap/>
            <w:hideMark/>
          </w:tcPr>
          <w:p w14:paraId="5C0CEF56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116.5 (98.5, 134.0)</w:t>
            </w:r>
          </w:p>
        </w:tc>
        <w:tc>
          <w:tcPr>
            <w:tcW w:w="1309" w:type="dxa"/>
            <w:noWrap/>
            <w:hideMark/>
          </w:tcPr>
          <w:p w14:paraId="77469D7E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0.545</w:t>
            </w:r>
          </w:p>
        </w:tc>
      </w:tr>
      <w:tr w:rsidR="00DD146F" w:rsidRPr="00DD146F" w14:paraId="1BB05D96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188238DE" w14:textId="5AF5E589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Neutrophil,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Median (Q1, Q3)</w:t>
            </w:r>
          </w:p>
        </w:tc>
        <w:tc>
          <w:tcPr>
            <w:tcW w:w="2173" w:type="dxa"/>
            <w:noWrap/>
            <w:hideMark/>
          </w:tcPr>
          <w:p w14:paraId="56CC684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3.8 (2.8, 6.1)</w:t>
            </w:r>
          </w:p>
        </w:tc>
        <w:tc>
          <w:tcPr>
            <w:tcW w:w="2173" w:type="dxa"/>
            <w:noWrap/>
            <w:hideMark/>
          </w:tcPr>
          <w:p w14:paraId="7AC843A7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2.5 (1.9, 3.3)</w:t>
            </w:r>
          </w:p>
        </w:tc>
        <w:tc>
          <w:tcPr>
            <w:tcW w:w="2033" w:type="dxa"/>
            <w:noWrap/>
            <w:hideMark/>
          </w:tcPr>
          <w:p w14:paraId="6FD846CA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3.1 (2.2, 4.0)</w:t>
            </w:r>
          </w:p>
        </w:tc>
        <w:tc>
          <w:tcPr>
            <w:tcW w:w="1309" w:type="dxa"/>
            <w:noWrap/>
            <w:hideMark/>
          </w:tcPr>
          <w:p w14:paraId="5720AD97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0.082</w:t>
            </w:r>
          </w:p>
        </w:tc>
      </w:tr>
      <w:tr w:rsidR="00DD146F" w:rsidRPr="00DD146F" w14:paraId="6E38E904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58031444" w14:textId="344F22C6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Macrophage,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Median (Q1, Q3)</w:t>
            </w:r>
          </w:p>
        </w:tc>
        <w:tc>
          <w:tcPr>
            <w:tcW w:w="2173" w:type="dxa"/>
            <w:noWrap/>
            <w:hideMark/>
          </w:tcPr>
          <w:p w14:paraId="092D473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0.1 (0.1, 0.2)</w:t>
            </w:r>
          </w:p>
        </w:tc>
        <w:tc>
          <w:tcPr>
            <w:tcW w:w="2173" w:type="dxa"/>
            <w:noWrap/>
            <w:hideMark/>
          </w:tcPr>
          <w:p w14:paraId="291148D8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0.1 (0.1, 0.2)</w:t>
            </w:r>
          </w:p>
        </w:tc>
        <w:tc>
          <w:tcPr>
            <w:tcW w:w="2033" w:type="dxa"/>
            <w:noWrap/>
            <w:hideMark/>
          </w:tcPr>
          <w:p w14:paraId="17244DBA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0.1 (0.1, 0.2)</w:t>
            </w:r>
          </w:p>
        </w:tc>
        <w:tc>
          <w:tcPr>
            <w:tcW w:w="1309" w:type="dxa"/>
            <w:noWrap/>
            <w:hideMark/>
          </w:tcPr>
          <w:p w14:paraId="66C6A871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0.909</w:t>
            </w:r>
          </w:p>
        </w:tc>
      </w:tr>
      <w:tr w:rsidR="00DD146F" w:rsidRPr="00DD146F" w14:paraId="1FA66040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185022DC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ESR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，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Median (Q1, Q3)</w:t>
            </w:r>
          </w:p>
        </w:tc>
        <w:tc>
          <w:tcPr>
            <w:tcW w:w="2173" w:type="dxa"/>
            <w:noWrap/>
            <w:hideMark/>
          </w:tcPr>
          <w:p w14:paraId="555614A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23.5 (2.0, 40.0)</w:t>
            </w:r>
          </w:p>
        </w:tc>
        <w:tc>
          <w:tcPr>
            <w:tcW w:w="2173" w:type="dxa"/>
            <w:noWrap/>
            <w:hideMark/>
          </w:tcPr>
          <w:p w14:paraId="62645158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13.5 (7.0, 19.5)</w:t>
            </w:r>
          </w:p>
        </w:tc>
        <w:tc>
          <w:tcPr>
            <w:tcW w:w="2033" w:type="dxa"/>
            <w:noWrap/>
            <w:hideMark/>
          </w:tcPr>
          <w:p w14:paraId="3D9179A8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18.5 (6.0, 36.0)</w:t>
            </w:r>
          </w:p>
        </w:tc>
        <w:tc>
          <w:tcPr>
            <w:tcW w:w="1309" w:type="dxa"/>
            <w:noWrap/>
            <w:hideMark/>
          </w:tcPr>
          <w:p w14:paraId="10F4EFF6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0.859</w:t>
            </w:r>
          </w:p>
        </w:tc>
      </w:tr>
      <w:tr w:rsidR="00DD146F" w:rsidRPr="00DD146F" w14:paraId="5F8640EC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4CC72D59" w14:textId="5D1FA20F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Total Bilirubin(</w:t>
            </w:r>
            <w:proofErr w:type="spellStart"/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μmol</w:t>
            </w:r>
            <w:proofErr w:type="spellEnd"/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/L),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Median (Q1, Q3)</w:t>
            </w:r>
          </w:p>
        </w:tc>
        <w:tc>
          <w:tcPr>
            <w:tcW w:w="2173" w:type="dxa"/>
            <w:noWrap/>
            <w:hideMark/>
          </w:tcPr>
          <w:p w14:paraId="10238EB8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7.5 (3.8, 10.7)</w:t>
            </w:r>
          </w:p>
        </w:tc>
        <w:tc>
          <w:tcPr>
            <w:tcW w:w="2173" w:type="dxa"/>
            <w:noWrap/>
            <w:hideMark/>
          </w:tcPr>
          <w:p w14:paraId="3F26E516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10.5 (6.3, 11.4)</w:t>
            </w:r>
          </w:p>
        </w:tc>
        <w:tc>
          <w:tcPr>
            <w:tcW w:w="2033" w:type="dxa"/>
            <w:noWrap/>
            <w:hideMark/>
          </w:tcPr>
          <w:p w14:paraId="522F585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8.4 (5.7, 11.2)</w:t>
            </w:r>
          </w:p>
        </w:tc>
        <w:tc>
          <w:tcPr>
            <w:tcW w:w="1309" w:type="dxa"/>
            <w:noWrap/>
            <w:hideMark/>
          </w:tcPr>
          <w:p w14:paraId="7D5C7876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0.307</w:t>
            </w:r>
          </w:p>
        </w:tc>
      </w:tr>
      <w:tr w:rsidR="00DD146F" w:rsidRPr="00DD146F" w14:paraId="39C94F3F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3C7599E4" w14:textId="3F3E8922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Direct Bilirubin(</w:t>
            </w:r>
            <w:proofErr w:type="spellStart"/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μmol</w:t>
            </w:r>
            <w:proofErr w:type="spellEnd"/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/L),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Median (Q1, Q3)</w:t>
            </w:r>
          </w:p>
        </w:tc>
        <w:tc>
          <w:tcPr>
            <w:tcW w:w="2173" w:type="dxa"/>
            <w:noWrap/>
            <w:hideMark/>
          </w:tcPr>
          <w:p w14:paraId="069D98D9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1.3 (1.0, 2.2)</w:t>
            </w:r>
          </w:p>
        </w:tc>
        <w:tc>
          <w:tcPr>
            <w:tcW w:w="2173" w:type="dxa"/>
            <w:noWrap/>
            <w:hideMark/>
          </w:tcPr>
          <w:p w14:paraId="66FD6837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2.0 (1.3, 2.6)</w:t>
            </w:r>
          </w:p>
        </w:tc>
        <w:tc>
          <w:tcPr>
            <w:tcW w:w="2033" w:type="dxa"/>
            <w:noWrap/>
            <w:hideMark/>
          </w:tcPr>
          <w:p w14:paraId="2293E657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1.5 (1.0, 2.6)</w:t>
            </w:r>
          </w:p>
        </w:tc>
        <w:tc>
          <w:tcPr>
            <w:tcW w:w="1309" w:type="dxa"/>
            <w:noWrap/>
            <w:hideMark/>
          </w:tcPr>
          <w:p w14:paraId="1EF861B6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0.272</w:t>
            </w:r>
          </w:p>
        </w:tc>
      </w:tr>
      <w:tr w:rsidR="00DD146F" w:rsidRPr="00DD146F" w14:paraId="7E10704F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7AF1EC57" w14:textId="2673B048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Albumin(g/L),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Median (Q1, Q3)</w:t>
            </w:r>
          </w:p>
        </w:tc>
        <w:tc>
          <w:tcPr>
            <w:tcW w:w="2173" w:type="dxa"/>
            <w:noWrap/>
            <w:hideMark/>
          </w:tcPr>
          <w:p w14:paraId="2E04B83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41.2 (38.5, 44.4)</w:t>
            </w:r>
          </w:p>
        </w:tc>
        <w:tc>
          <w:tcPr>
            <w:tcW w:w="2173" w:type="dxa"/>
            <w:noWrap/>
            <w:hideMark/>
          </w:tcPr>
          <w:p w14:paraId="061D1F6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40.3 (34.7, 41.8)</w:t>
            </w:r>
          </w:p>
        </w:tc>
        <w:tc>
          <w:tcPr>
            <w:tcW w:w="2033" w:type="dxa"/>
            <w:noWrap/>
            <w:hideMark/>
          </w:tcPr>
          <w:p w14:paraId="264B90E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40.8 (37.9, 42.6)</w:t>
            </w:r>
          </w:p>
        </w:tc>
        <w:tc>
          <w:tcPr>
            <w:tcW w:w="1309" w:type="dxa"/>
            <w:noWrap/>
            <w:hideMark/>
          </w:tcPr>
          <w:p w14:paraId="3C03EFB9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0.280</w:t>
            </w:r>
          </w:p>
        </w:tc>
      </w:tr>
      <w:tr w:rsidR="00DD146F" w:rsidRPr="00DD146F" w14:paraId="474E6BF2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57B17A5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Serum Creatinine(</w:t>
            </w:r>
            <w:proofErr w:type="spellStart"/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μmol</w:t>
            </w:r>
            <w:proofErr w:type="spellEnd"/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/L), Mean ± SD</w:t>
            </w:r>
          </w:p>
        </w:tc>
        <w:tc>
          <w:tcPr>
            <w:tcW w:w="2173" w:type="dxa"/>
            <w:noWrap/>
            <w:hideMark/>
          </w:tcPr>
          <w:p w14:paraId="4EAE336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56.5 (45.0, 78.0)</w:t>
            </w:r>
          </w:p>
        </w:tc>
        <w:tc>
          <w:tcPr>
            <w:tcW w:w="2173" w:type="dxa"/>
            <w:noWrap/>
            <w:hideMark/>
          </w:tcPr>
          <w:p w14:paraId="0BF6657D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61.0 (51.0, 69.0)</w:t>
            </w:r>
          </w:p>
        </w:tc>
        <w:tc>
          <w:tcPr>
            <w:tcW w:w="2033" w:type="dxa"/>
            <w:noWrap/>
            <w:hideMark/>
          </w:tcPr>
          <w:p w14:paraId="06A01DF1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58.5 (49.0, 70.0)</w:t>
            </w:r>
          </w:p>
        </w:tc>
        <w:tc>
          <w:tcPr>
            <w:tcW w:w="1309" w:type="dxa"/>
            <w:noWrap/>
            <w:hideMark/>
          </w:tcPr>
          <w:p w14:paraId="47A95C8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0.762</w:t>
            </w:r>
          </w:p>
        </w:tc>
      </w:tr>
      <w:tr w:rsidR="00DD146F" w:rsidRPr="00DD146F" w14:paraId="4D220371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26900DC4" w14:textId="57131FEF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CRP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(mg/L),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Median (Q1, Q3)</w:t>
            </w:r>
          </w:p>
        </w:tc>
        <w:tc>
          <w:tcPr>
            <w:tcW w:w="2173" w:type="dxa"/>
            <w:noWrap/>
            <w:hideMark/>
          </w:tcPr>
          <w:p w14:paraId="7F6CCC6D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8.3 (2.4, 15.4)</w:t>
            </w:r>
          </w:p>
        </w:tc>
        <w:tc>
          <w:tcPr>
            <w:tcW w:w="2173" w:type="dxa"/>
            <w:noWrap/>
            <w:hideMark/>
          </w:tcPr>
          <w:p w14:paraId="0BEB6298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5.6 (3.6, 8.6)</w:t>
            </w:r>
          </w:p>
        </w:tc>
        <w:tc>
          <w:tcPr>
            <w:tcW w:w="2033" w:type="dxa"/>
            <w:noWrap/>
            <w:hideMark/>
          </w:tcPr>
          <w:p w14:paraId="60321165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5.6 (3.0, 11.0)</w:t>
            </w:r>
          </w:p>
        </w:tc>
        <w:tc>
          <w:tcPr>
            <w:tcW w:w="1309" w:type="dxa"/>
            <w:noWrap/>
            <w:hideMark/>
          </w:tcPr>
          <w:p w14:paraId="7BD24806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0.364</w:t>
            </w:r>
          </w:p>
        </w:tc>
      </w:tr>
      <w:tr w:rsidR="00DD146F" w:rsidRPr="00DD146F" w14:paraId="07567BEB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2CEAEA3B" w14:textId="13BCFAB4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FC(</w:t>
            </w:r>
            <w:proofErr w:type="spellStart"/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μg</w:t>
            </w:r>
            <w:proofErr w:type="spellEnd"/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/g),</w:t>
            </w:r>
            <w:r w:rsidR="00BB7D6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 xml:space="preserve"> </w:t>
            </w: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Median (Q1, Q3)</w:t>
            </w:r>
          </w:p>
        </w:tc>
        <w:tc>
          <w:tcPr>
            <w:tcW w:w="2173" w:type="dxa"/>
            <w:noWrap/>
            <w:hideMark/>
          </w:tcPr>
          <w:p w14:paraId="4B28ADA7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875.4 (159.2, 1,000.0)</w:t>
            </w:r>
          </w:p>
        </w:tc>
        <w:tc>
          <w:tcPr>
            <w:tcW w:w="2173" w:type="dxa"/>
            <w:noWrap/>
            <w:hideMark/>
          </w:tcPr>
          <w:p w14:paraId="729ABFCC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695.1 (366.7, 1,000.0)</w:t>
            </w:r>
          </w:p>
        </w:tc>
        <w:tc>
          <w:tcPr>
            <w:tcW w:w="2033" w:type="dxa"/>
            <w:noWrap/>
            <w:hideMark/>
          </w:tcPr>
          <w:p w14:paraId="35BCF709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805.5 (353.0, 1,000.0)</w:t>
            </w:r>
          </w:p>
        </w:tc>
        <w:tc>
          <w:tcPr>
            <w:tcW w:w="1309" w:type="dxa"/>
            <w:noWrap/>
            <w:hideMark/>
          </w:tcPr>
          <w:p w14:paraId="2D5DECE9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0.938</w:t>
            </w:r>
          </w:p>
        </w:tc>
      </w:tr>
      <w:tr w:rsidR="00DD146F" w:rsidRPr="00DD146F" w14:paraId="566DD4B1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1BDC8E9C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Baseline SES_CD, Median (Q1, Q3)</w:t>
            </w:r>
          </w:p>
        </w:tc>
        <w:tc>
          <w:tcPr>
            <w:tcW w:w="2173" w:type="dxa"/>
            <w:noWrap/>
            <w:hideMark/>
          </w:tcPr>
          <w:p w14:paraId="7757BEE6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13.0 (10.0, 20.0)</w:t>
            </w:r>
          </w:p>
        </w:tc>
        <w:tc>
          <w:tcPr>
            <w:tcW w:w="2173" w:type="dxa"/>
            <w:noWrap/>
            <w:hideMark/>
          </w:tcPr>
          <w:p w14:paraId="7C4381A6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11.0 (11.0, 15.0)</w:t>
            </w:r>
          </w:p>
        </w:tc>
        <w:tc>
          <w:tcPr>
            <w:tcW w:w="2033" w:type="dxa"/>
            <w:noWrap/>
            <w:hideMark/>
          </w:tcPr>
          <w:p w14:paraId="44D1C680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11.5 (10.0, 15.5)</w:t>
            </w:r>
          </w:p>
        </w:tc>
        <w:tc>
          <w:tcPr>
            <w:tcW w:w="1309" w:type="dxa"/>
            <w:noWrap/>
            <w:hideMark/>
          </w:tcPr>
          <w:p w14:paraId="3EB8E674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0.909</w:t>
            </w:r>
          </w:p>
        </w:tc>
      </w:tr>
      <w:tr w:rsidR="00DD146F" w:rsidRPr="00DD146F" w14:paraId="72EC71BC" w14:textId="77777777" w:rsidTr="00906DAB">
        <w:trPr>
          <w:trHeight w:val="290"/>
        </w:trPr>
        <w:tc>
          <w:tcPr>
            <w:tcW w:w="3369" w:type="dxa"/>
            <w:noWrap/>
            <w:hideMark/>
          </w:tcPr>
          <w:p w14:paraId="4E85815C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Post-treatment SES-CD, Median (Q1, Q3)</w:t>
            </w:r>
          </w:p>
        </w:tc>
        <w:tc>
          <w:tcPr>
            <w:tcW w:w="2173" w:type="dxa"/>
            <w:noWrap/>
            <w:hideMark/>
          </w:tcPr>
          <w:p w14:paraId="72C0984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3.5 (0.0, 5.0)</w:t>
            </w:r>
          </w:p>
        </w:tc>
        <w:tc>
          <w:tcPr>
            <w:tcW w:w="2173" w:type="dxa"/>
            <w:noWrap/>
            <w:hideMark/>
          </w:tcPr>
          <w:p w14:paraId="61A0127F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9.5 (7.0, 15.0)</w:t>
            </w:r>
          </w:p>
        </w:tc>
        <w:tc>
          <w:tcPr>
            <w:tcW w:w="2033" w:type="dxa"/>
            <w:noWrap/>
            <w:hideMark/>
          </w:tcPr>
          <w:p w14:paraId="54F27F75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6.0 (3.5, 9.5)</w:t>
            </w:r>
          </w:p>
        </w:tc>
        <w:tc>
          <w:tcPr>
            <w:tcW w:w="1309" w:type="dxa"/>
            <w:noWrap/>
            <w:hideMark/>
          </w:tcPr>
          <w:p w14:paraId="761085DD" w14:textId="77777777" w:rsidR="00DD146F" w:rsidRPr="00DD146F" w:rsidRDefault="00DD146F" w:rsidP="00DD146F">
            <w:pPr>
              <w:spacing w:beforeLines="50" w:before="156" w:afterLines="50" w:after="156" w:line="480" w:lineRule="auto"/>
              <w:ind w:firstLineChars="200" w:firstLine="320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D146F">
              <w:rPr>
                <w:rFonts w:ascii="Times New Roman" w:eastAsiaTheme="minorEastAsia" w:hAnsi="Times New Roman" w:cs="Times New Roman"/>
                <w:sz w:val="16"/>
                <w:szCs w:val="16"/>
              </w:rPr>
              <w:t>&lt;0.001***</w:t>
            </w:r>
          </w:p>
        </w:tc>
      </w:tr>
    </w:tbl>
    <w:p w14:paraId="4455956F" w14:textId="77777777" w:rsidR="004B0A87" w:rsidRDefault="00DD146F" w:rsidP="00DD146F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DD146F">
        <w:rPr>
          <w:rFonts w:ascii="Times New Roman" w:hAnsi="Times New Roman" w:cs="Times New Roman" w:hint="eastAsia"/>
          <w:sz w:val="24"/>
          <w:szCs w:val="24"/>
        </w:rPr>
        <w:t xml:space="preserve">Data are presented as mean </w:t>
      </w:r>
      <w:r w:rsidRPr="00DD146F">
        <w:rPr>
          <w:rFonts w:ascii="Times New Roman" w:hAnsi="Times New Roman" w:cs="Times New Roman" w:hint="eastAsia"/>
          <w:sz w:val="24"/>
          <w:szCs w:val="24"/>
        </w:rPr>
        <w:t>±</w:t>
      </w:r>
      <w:r w:rsidRPr="00DD146F">
        <w:rPr>
          <w:rFonts w:ascii="Times New Roman" w:hAnsi="Times New Roman" w:cs="Times New Roman" w:hint="eastAsia"/>
          <w:sz w:val="24"/>
          <w:szCs w:val="24"/>
        </w:rPr>
        <w:t xml:space="preserve"> SD, median [IQR], or n (%), as appropriate. Continuous variables were compared using t-test or Mann</w:t>
      </w:r>
      <w:r w:rsidRPr="00DD146F">
        <w:rPr>
          <w:rFonts w:ascii="Times New Roman" w:hAnsi="Times New Roman" w:cs="Times New Roman" w:hint="eastAsia"/>
          <w:sz w:val="24"/>
          <w:szCs w:val="24"/>
        </w:rPr>
        <w:t>–</w:t>
      </w:r>
      <w:r w:rsidRPr="00DD146F">
        <w:rPr>
          <w:rFonts w:ascii="Times New Roman" w:hAnsi="Times New Roman" w:cs="Times New Roman" w:hint="eastAsia"/>
          <w:sz w:val="24"/>
          <w:szCs w:val="24"/>
        </w:rPr>
        <w:t>Whitney U test, and categorical variables using chi-square or Fisher</w:t>
      </w:r>
      <w:proofErr w:type="gramStart"/>
      <w:r w:rsidRPr="00DD146F">
        <w:rPr>
          <w:rFonts w:ascii="Times New Roman" w:hAnsi="Times New Roman" w:cs="Times New Roman" w:hint="eastAsia"/>
          <w:sz w:val="24"/>
          <w:szCs w:val="24"/>
        </w:rPr>
        <w:t>’</w:t>
      </w:r>
      <w:proofErr w:type="gramEnd"/>
      <w:r w:rsidRPr="00DD146F">
        <w:rPr>
          <w:rFonts w:ascii="Times New Roman" w:hAnsi="Times New Roman" w:cs="Times New Roman" w:hint="eastAsia"/>
          <w:sz w:val="24"/>
          <w:szCs w:val="24"/>
        </w:rPr>
        <w:t>s exact test. Two-sided P &lt; 0.05 was considered statistically significant. ***P &lt; 0.001.</w:t>
      </w:r>
      <w:r w:rsidR="004B0A87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73D41C46" w14:textId="3F8AA12A" w:rsidR="00DD146F" w:rsidRPr="00DD146F" w:rsidRDefault="00DD146F" w:rsidP="00DD146F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9958AD"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r w:rsidRPr="00DD146F">
        <w:rPr>
          <w:rFonts w:ascii="Times New Roman" w:hAnsi="Times New Roman" w:cs="Times New Roman" w:hint="eastAsia"/>
          <w:sz w:val="24"/>
          <w:szCs w:val="24"/>
        </w:rPr>
        <w:t>Perianal</w:t>
      </w:r>
      <w:proofErr w:type="spellEnd"/>
      <w:r w:rsidRPr="00DD146F">
        <w:rPr>
          <w:rFonts w:ascii="Times New Roman" w:hAnsi="Times New Roman" w:cs="Times New Roman" w:hint="eastAsia"/>
          <w:sz w:val="24"/>
          <w:szCs w:val="24"/>
        </w:rPr>
        <w:t xml:space="preserve"> disease was defined as inactive fistula, skin tags or anal fissures.</w:t>
      </w:r>
    </w:p>
    <w:p w14:paraId="2B4DA7AF" w14:textId="332AEF42" w:rsidR="00DD146F" w:rsidRPr="00DD146F" w:rsidRDefault="00DD146F" w:rsidP="00DD146F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DD146F">
        <w:rPr>
          <w:rFonts w:ascii="Times New Roman" w:hAnsi="Times New Roman" w:cs="Times New Roman" w:hint="eastAsia"/>
          <w:sz w:val="24"/>
          <w:szCs w:val="24"/>
        </w:rPr>
        <w:t>Bio_naive</w:t>
      </w:r>
      <w:proofErr w:type="spellEnd"/>
      <w:r w:rsidRPr="00DD146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D146F">
        <w:rPr>
          <w:rFonts w:ascii="Times New Roman" w:hAnsi="Times New Roman" w:cs="Times New Roman" w:hint="eastAsia"/>
          <w:sz w:val="24"/>
          <w:szCs w:val="24"/>
        </w:rPr>
        <w:t>：</w:t>
      </w:r>
      <w:r w:rsidRPr="00DD146F">
        <w:rPr>
          <w:rFonts w:ascii="Times New Roman" w:hAnsi="Times New Roman" w:cs="Times New Roman" w:hint="eastAsia"/>
          <w:sz w:val="24"/>
          <w:szCs w:val="24"/>
        </w:rPr>
        <w:t xml:space="preserve">Biologic-naïve (patients without prior biologic therapy). </w:t>
      </w:r>
      <w:proofErr w:type="spellStart"/>
      <w:r w:rsidRPr="00DD146F">
        <w:rPr>
          <w:rFonts w:ascii="Times New Roman" w:hAnsi="Times New Roman" w:cs="Times New Roman" w:hint="eastAsia"/>
          <w:sz w:val="24"/>
          <w:szCs w:val="24"/>
        </w:rPr>
        <w:t>Numberofbios</w:t>
      </w:r>
      <w:proofErr w:type="spellEnd"/>
      <w:r w:rsidRPr="00DD146F">
        <w:rPr>
          <w:rFonts w:ascii="Times New Roman" w:hAnsi="Times New Roman" w:cs="Times New Roman" w:hint="eastAsia"/>
          <w:sz w:val="24"/>
          <w:szCs w:val="24"/>
        </w:rPr>
        <w:t>: Number of prior biologic agents used before UST initiation. EIM, extraintestinal manifestations. A2, age at diagnosis between 17 and 40 year</w:t>
      </w:r>
      <w:r w:rsidR="00940EE6">
        <w:rPr>
          <w:rFonts w:ascii="Times New Roman" w:hAnsi="Times New Roman" w:cs="Times New Roman" w:hint="eastAsia"/>
          <w:sz w:val="24"/>
          <w:szCs w:val="24"/>
        </w:rPr>
        <w:t xml:space="preserve">s; </w:t>
      </w:r>
      <w:r w:rsidR="00940EE6" w:rsidRPr="00940EE6">
        <w:rPr>
          <w:rFonts w:ascii="Times New Roman" w:hAnsi="Times New Roman" w:cs="Times New Roman" w:hint="eastAsia"/>
          <w:sz w:val="24"/>
          <w:szCs w:val="24"/>
        </w:rPr>
        <w:t>A3: age at diagnosis &gt;40 years</w:t>
      </w:r>
      <w:r w:rsidRPr="00DD146F">
        <w:rPr>
          <w:rFonts w:ascii="Times New Roman" w:hAnsi="Times New Roman" w:cs="Times New Roman" w:hint="eastAsia"/>
          <w:sz w:val="24"/>
          <w:szCs w:val="24"/>
        </w:rPr>
        <w:t>. B1, non-</w:t>
      </w:r>
      <w:proofErr w:type="spellStart"/>
      <w:r w:rsidRPr="00DD146F">
        <w:rPr>
          <w:rFonts w:ascii="Times New Roman" w:hAnsi="Times New Roman" w:cs="Times New Roman" w:hint="eastAsia"/>
          <w:sz w:val="24"/>
          <w:szCs w:val="24"/>
        </w:rPr>
        <w:t>stricturing</w:t>
      </w:r>
      <w:proofErr w:type="spellEnd"/>
      <w:r w:rsidRPr="00DD146F">
        <w:rPr>
          <w:rFonts w:ascii="Times New Roman" w:hAnsi="Times New Roman" w:cs="Times New Roman" w:hint="eastAsia"/>
          <w:sz w:val="24"/>
          <w:szCs w:val="24"/>
        </w:rPr>
        <w:t xml:space="preserve">, non-penetrating disease; B2, </w:t>
      </w:r>
      <w:proofErr w:type="spellStart"/>
      <w:r w:rsidRPr="00DD146F">
        <w:rPr>
          <w:rFonts w:ascii="Times New Roman" w:hAnsi="Times New Roman" w:cs="Times New Roman" w:hint="eastAsia"/>
          <w:sz w:val="24"/>
          <w:szCs w:val="24"/>
        </w:rPr>
        <w:t>stricturing</w:t>
      </w:r>
      <w:proofErr w:type="spellEnd"/>
      <w:r w:rsidRPr="00DD146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D146F">
        <w:rPr>
          <w:rFonts w:ascii="Times New Roman" w:hAnsi="Times New Roman" w:cs="Times New Roman" w:hint="eastAsia"/>
          <w:sz w:val="24"/>
          <w:szCs w:val="24"/>
        </w:rPr>
        <w:lastRenderedPageBreak/>
        <w:t>disease. BMI, body mass index; CDAI, Crohn</w:t>
      </w:r>
      <w:proofErr w:type="gramStart"/>
      <w:r w:rsidRPr="00DD146F">
        <w:rPr>
          <w:rFonts w:ascii="Times New Roman" w:hAnsi="Times New Roman" w:cs="Times New Roman" w:hint="eastAsia"/>
          <w:sz w:val="24"/>
          <w:szCs w:val="24"/>
        </w:rPr>
        <w:t>’</w:t>
      </w:r>
      <w:proofErr w:type="gramEnd"/>
      <w:r w:rsidRPr="00DD146F">
        <w:rPr>
          <w:rFonts w:ascii="Times New Roman" w:hAnsi="Times New Roman" w:cs="Times New Roman" w:hint="eastAsia"/>
          <w:sz w:val="24"/>
          <w:szCs w:val="24"/>
        </w:rPr>
        <w:t>s Disease Activity Index; ESR, erythrocyte sedimentation rate; CRP, C-reactive protein; FC, fecal calprotectin; SES-CD, Simple Endoscopic Score for Crohn</w:t>
      </w:r>
      <w:proofErr w:type="gramStart"/>
      <w:r w:rsidRPr="00DD146F">
        <w:rPr>
          <w:rFonts w:ascii="Times New Roman" w:hAnsi="Times New Roman" w:cs="Times New Roman" w:hint="eastAsia"/>
          <w:sz w:val="24"/>
          <w:szCs w:val="24"/>
        </w:rPr>
        <w:t>’</w:t>
      </w:r>
      <w:proofErr w:type="gramEnd"/>
      <w:r w:rsidRPr="00DD146F">
        <w:rPr>
          <w:rFonts w:ascii="Times New Roman" w:hAnsi="Times New Roman" w:cs="Times New Roman" w:hint="eastAsia"/>
          <w:sz w:val="24"/>
          <w:szCs w:val="24"/>
        </w:rPr>
        <w:t>s Disease (range: 0</w:t>
      </w:r>
      <w:r w:rsidRPr="00DD146F">
        <w:rPr>
          <w:rFonts w:ascii="Times New Roman" w:hAnsi="Times New Roman" w:cs="Times New Roman" w:hint="eastAsia"/>
          <w:sz w:val="24"/>
          <w:szCs w:val="24"/>
        </w:rPr>
        <w:t>–</w:t>
      </w:r>
      <w:r w:rsidRPr="00DD146F">
        <w:rPr>
          <w:rFonts w:ascii="Times New Roman" w:hAnsi="Times New Roman" w:cs="Times New Roman" w:hint="eastAsia"/>
          <w:sz w:val="24"/>
          <w:szCs w:val="24"/>
        </w:rPr>
        <w:t>60).</w:t>
      </w:r>
    </w:p>
    <w:p w14:paraId="00997ECC" w14:textId="77777777" w:rsidR="00DD146F" w:rsidRPr="00DD146F" w:rsidRDefault="00DD146F" w:rsidP="000A57C0">
      <w:pPr>
        <w:spacing w:beforeLines="50" w:before="156" w:afterLines="50" w:after="156"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sectPr w:rsidR="00DD146F" w:rsidRPr="00DD146F" w:rsidSect="00D737DF"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0691" w14:textId="77777777" w:rsidR="004D0A42" w:rsidRDefault="004D0A42" w:rsidP="00D737DF">
      <w:pPr>
        <w:rPr>
          <w:rFonts w:hint="eastAsia"/>
        </w:rPr>
      </w:pPr>
      <w:r>
        <w:separator/>
      </w:r>
    </w:p>
  </w:endnote>
  <w:endnote w:type="continuationSeparator" w:id="0">
    <w:p w14:paraId="46EA0515" w14:textId="77777777" w:rsidR="004D0A42" w:rsidRDefault="004D0A42" w:rsidP="00D737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478432"/>
      <w:docPartObj>
        <w:docPartGallery w:val="Page Numbers (Bottom of Page)"/>
        <w:docPartUnique/>
      </w:docPartObj>
    </w:sdtPr>
    <w:sdtContent>
      <w:p w14:paraId="30C737B0" w14:textId="2F67BBB2" w:rsidR="00325A06" w:rsidRDefault="00325A06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EE4CF4F" w14:textId="77777777" w:rsidR="00325A06" w:rsidRDefault="00325A06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A18A" w14:textId="77777777" w:rsidR="004D0A42" w:rsidRDefault="004D0A42" w:rsidP="00D737DF">
      <w:pPr>
        <w:rPr>
          <w:rFonts w:hint="eastAsia"/>
        </w:rPr>
      </w:pPr>
      <w:r>
        <w:separator/>
      </w:r>
    </w:p>
  </w:footnote>
  <w:footnote w:type="continuationSeparator" w:id="0">
    <w:p w14:paraId="6E35CCF6" w14:textId="77777777" w:rsidR="004D0A42" w:rsidRDefault="004D0A42" w:rsidP="00D737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3F3"/>
    <w:rsid w:val="00042506"/>
    <w:rsid w:val="00083506"/>
    <w:rsid w:val="000A280A"/>
    <w:rsid w:val="000A57C0"/>
    <w:rsid w:val="000B6F09"/>
    <w:rsid w:val="00137219"/>
    <w:rsid w:val="00137B84"/>
    <w:rsid w:val="001720FD"/>
    <w:rsid w:val="001D62D4"/>
    <w:rsid w:val="001F1B0D"/>
    <w:rsid w:val="001F267C"/>
    <w:rsid w:val="002018A6"/>
    <w:rsid w:val="00213523"/>
    <w:rsid w:val="00215ACB"/>
    <w:rsid w:val="00227507"/>
    <w:rsid w:val="00234AF2"/>
    <w:rsid w:val="00275F14"/>
    <w:rsid w:val="00291D58"/>
    <w:rsid w:val="00292445"/>
    <w:rsid w:val="00325A06"/>
    <w:rsid w:val="00363E6B"/>
    <w:rsid w:val="003A6606"/>
    <w:rsid w:val="003D05E5"/>
    <w:rsid w:val="003D5A40"/>
    <w:rsid w:val="00457DC2"/>
    <w:rsid w:val="0046363C"/>
    <w:rsid w:val="004B0A87"/>
    <w:rsid w:val="004B7A76"/>
    <w:rsid w:val="004D0A42"/>
    <w:rsid w:val="005A0A5A"/>
    <w:rsid w:val="005D68CE"/>
    <w:rsid w:val="00630914"/>
    <w:rsid w:val="00713D97"/>
    <w:rsid w:val="00736E42"/>
    <w:rsid w:val="008315DA"/>
    <w:rsid w:val="008626DB"/>
    <w:rsid w:val="008A2CEA"/>
    <w:rsid w:val="008A3ADF"/>
    <w:rsid w:val="008E094A"/>
    <w:rsid w:val="008E0EA7"/>
    <w:rsid w:val="00906DAB"/>
    <w:rsid w:val="00907305"/>
    <w:rsid w:val="00940EE6"/>
    <w:rsid w:val="00985F5F"/>
    <w:rsid w:val="009958AD"/>
    <w:rsid w:val="009E1DDD"/>
    <w:rsid w:val="00A04216"/>
    <w:rsid w:val="00A67976"/>
    <w:rsid w:val="00B8403E"/>
    <w:rsid w:val="00BA1B1D"/>
    <w:rsid w:val="00BB5B5B"/>
    <w:rsid w:val="00BB7D6E"/>
    <w:rsid w:val="00BE2027"/>
    <w:rsid w:val="00C455BA"/>
    <w:rsid w:val="00C808DB"/>
    <w:rsid w:val="00C94CF8"/>
    <w:rsid w:val="00CB1152"/>
    <w:rsid w:val="00CB575B"/>
    <w:rsid w:val="00D47CE8"/>
    <w:rsid w:val="00D737DF"/>
    <w:rsid w:val="00DD146F"/>
    <w:rsid w:val="00DF1FFE"/>
    <w:rsid w:val="00DF5FC4"/>
    <w:rsid w:val="00DF7F04"/>
    <w:rsid w:val="00E60B08"/>
    <w:rsid w:val="00E663F3"/>
    <w:rsid w:val="00EB03C6"/>
    <w:rsid w:val="00ED4AD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60CFC"/>
  <w15:chartTrackingRefBased/>
  <w15:docId w15:val="{A143E2AD-CB3E-478E-9EDD-2C59F27D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6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3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3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3F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3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3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3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CC">
    <w:name w:val="WCC正文"/>
    <w:basedOn w:val="a"/>
    <w:link w:val="WCC0"/>
    <w:autoRedefine/>
    <w:qFormat/>
    <w:rsid w:val="00A04216"/>
    <w:pPr>
      <w:spacing w:beforeLines="50" w:before="50" w:afterLines="50" w:after="50" w:line="360" w:lineRule="auto"/>
      <w:ind w:firstLineChars="200" w:firstLine="200"/>
    </w:pPr>
    <w:rPr>
      <w:rFonts w:eastAsia="宋体"/>
      <w:bCs/>
      <w:sz w:val="24"/>
      <w:szCs w:val="24"/>
    </w:rPr>
  </w:style>
  <w:style w:type="character" w:customStyle="1" w:styleId="WCC0">
    <w:name w:val="WCC正文 字符"/>
    <w:basedOn w:val="a0"/>
    <w:link w:val="WCC"/>
    <w:autoRedefine/>
    <w:qFormat/>
    <w:rsid w:val="00A04216"/>
    <w:rPr>
      <w:rFonts w:eastAsia="宋体"/>
      <w:bCs/>
      <w:sz w:val="24"/>
      <w:szCs w:val="24"/>
    </w:rPr>
  </w:style>
  <w:style w:type="paragraph" w:customStyle="1" w:styleId="WCC1">
    <w:name w:val="WCC标题"/>
    <w:basedOn w:val="a"/>
    <w:next w:val="WCC"/>
    <w:link w:val="WCC2"/>
    <w:autoRedefine/>
    <w:qFormat/>
    <w:rsid w:val="008A3ADF"/>
    <w:pPr>
      <w:jc w:val="center"/>
    </w:pPr>
    <w:rPr>
      <w:rFonts w:eastAsia="宋体"/>
      <w:b/>
      <w:sz w:val="32"/>
      <w:szCs w:val="24"/>
    </w:rPr>
  </w:style>
  <w:style w:type="character" w:customStyle="1" w:styleId="WCC2">
    <w:name w:val="WCC标题 字符"/>
    <w:basedOn w:val="a0"/>
    <w:link w:val="WCC1"/>
    <w:rsid w:val="008A3ADF"/>
    <w:rPr>
      <w:rFonts w:eastAsia="宋体"/>
      <w:b/>
      <w:sz w:val="32"/>
      <w:szCs w:val="24"/>
    </w:rPr>
  </w:style>
  <w:style w:type="paragraph" w:customStyle="1" w:styleId="W">
    <w:name w:val="W标题"/>
    <w:basedOn w:val="WCC1"/>
    <w:next w:val="W0"/>
    <w:link w:val="W1"/>
    <w:autoRedefine/>
    <w:qFormat/>
    <w:rsid w:val="00985F5F"/>
    <w:pPr>
      <w:spacing w:beforeLines="50" w:before="50" w:afterLines="50" w:after="50" w:line="360" w:lineRule="auto"/>
    </w:pPr>
    <w:rPr>
      <w:bCs/>
    </w:rPr>
  </w:style>
  <w:style w:type="character" w:customStyle="1" w:styleId="W1">
    <w:name w:val="W标题 字符"/>
    <w:basedOn w:val="WCC2"/>
    <w:link w:val="W"/>
    <w:rsid w:val="00985F5F"/>
    <w:rPr>
      <w:rFonts w:eastAsia="宋体"/>
      <w:b/>
      <w:bCs/>
      <w:sz w:val="32"/>
      <w:szCs w:val="24"/>
    </w:rPr>
  </w:style>
  <w:style w:type="paragraph" w:customStyle="1" w:styleId="W0">
    <w:name w:val="W正文"/>
    <w:basedOn w:val="WCC"/>
    <w:link w:val="W2"/>
    <w:autoRedefine/>
    <w:qFormat/>
    <w:rsid w:val="00042506"/>
  </w:style>
  <w:style w:type="character" w:customStyle="1" w:styleId="W2">
    <w:name w:val="W正文 字符"/>
    <w:basedOn w:val="WCC0"/>
    <w:link w:val="W0"/>
    <w:rsid w:val="00042506"/>
    <w:rPr>
      <w:rFonts w:eastAsia="宋体"/>
      <w:bCs/>
      <w:sz w:val="24"/>
      <w:szCs w:val="24"/>
    </w:rPr>
  </w:style>
  <w:style w:type="paragraph" w:customStyle="1" w:styleId="WCC3">
    <w:name w:val="WCC英文正文"/>
    <w:basedOn w:val="W0"/>
    <w:link w:val="WCC4"/>
    <w:autoRedefine/>
    <w:qFormat/>
    <w:rsid w:val="008626DB"/>
    <w:rPr>
      <w:rFonts w:ascii="Times New Roman" w:eastAsia="Times New Roman" w:hAnsi="Times New Roman" w:cs="Times New Roman"/>
      <w:bCs w:val="0"/>
    </w:rPr>
  </w:style>
  <w:style w:type="character" w:customStyle="1" w:styleId="WCC4">
    <w:name w:val="WCC英文正文 字符"/>
    <w:basedOn w:val="W2"/>
    <w:link w:val="WCC3"/>
    <w:rsid w:val="008626DB"/>
    <w:rPr>
      <w:rFonts w:ascii="Times New Roman" w:eastAsia="Times New Roman" w:hAnsi="Times New Roman" w:cs="Times New Roman"/>
      <w:bCs w:val="0"/>
      <w:sz w:val="24"/>
      <w:szCs w:val="24"/>
    </w:rPr>
  </w:style>
  <w:style w:type="table" w:styleId="a3">
    <w:name w:val="Table Grid"/>
    <w:basedOn w:val="a1"/>
    <w:uiPriority w:val="39"/>
    <w:rsid w:val="00DF5FC4"/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E663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3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3F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63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3F3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663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E6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63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E66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6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E663F3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663F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663F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6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E663F3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663F3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D737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737D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73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737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880</Words>
  <Characters>5377</Characters>
  <Application>Microsoft Office Word</Application>
  <DocSecurity>0</DocSecurity>
  <Lines>86</Lines>
  <Paragraphs>22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wu</dc:creator>
  <cp:keywords/>
  <dc:description/>
  <cp:lastModifiedBy>Lesley wu</cp:lastModifiedBy>
  <cp:revision>42</cp:revision>
  <dcterms:created xsi:type="dcterms:W3CDTF">2025-08-04T12:12:00Z</dcterms:created>
  <dcterms:modified xsi:type="dcterms:W3CDTF">2025-11-21T13:42:00Z</dcterms:modified>
</cp:coreProperties>
</file>