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BED82" w14:textId="77777777" w:rsidR="000E1E3C" w:rsidRDefault="00745062">
      <w:pPr>
        <w:widowControl/>
        <w:spacing w:line="480" w:lineRule="auto"/>
        <w:jc w:val="center"/>
        <w:rPr>
          <w:rFonts w:ascii="Arial" w:eastAsia="GillSansStd-Bold" w:hAnsi="Arial" w:cs="Arial"/>
          <w:b/>
          <w:bCs/>
          <w:color w:val="231F20"/>
          <w:kern w:val="0"/>
          <w:sz w:val="28"/>
          <w:szCs w:val="28"/>
          <w:lang w:bidi="ar"/>
        </w:rPr>
      </w:pPr>
      <w:r>
        <w:rPr>
          <w:rFonts w:ascii="Arial" w:eastAsia="GillSansStd-Bold" w:hAnsi="Arial" w:cs="Arial" w:hint="eastAsia"/>
          <w:b/>
          <w:bCs/>
          <w:color w:val="231F20"/>
          <w:kern w:val="0"/>
          <w:sz w:val="28"/>
          <w:szCs w:val="28"/>
          <w:lang w:bidi="ar"/>
        </w:rPr>
        <w:t>Supplementary materials</w:t>
      </w:r>
    </w:p>
    <w:p w14:paraId="74237F99" w14:textId="77777777" w:rsidR="000E1E3C" w:rsidRDefault="00745062">
      <w:pPr>
        <w:widowControl/>
        <w:spacing w:line="480" w:lineRule="auto"/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</w:pPr>
      <w:r>
        <w:rPr>
          <w:rFonts w:ascii="Arial" w:eastAsia="GillSansStd-Bold" w:hAnsi="Arial" w:cs="Arial" w:hint="eastAsia"/>
          <w:b/>
          <w:bCs/>
          <w:color w:val="231F20"/>
          <w:kern w:val="0"/>
          <w:sz w:val="24"/>
          <w:lang w:bidi="ar"/>
        </w:rPr>
        <w:t>S1</w:t>
      </w:r>
      <w:r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  <w:t xml:space="preserve"> Biological Function and Pathway Analyses of LCAT in HCC</w:t>
      </w:r>
    </w:p>
    <w:p w14:paraId="10E2F597" w14:textId="77777777" w:rsidR="000E1E3C" w:rsidRDefault="00745062">
      <w:pPr>
        <w:widowControl/>
        <w:spacing w:line="480" w:lineRule="auto"/>
        <w:rPr>
          <w:rFonts w:ascii="Arial" w:eastAsia="GillSansStd-Bold" w:hAnsi="Arial" w:cs="Arial"/>
          <w:kern w:val="0"/>
          <w:sz w:val="24"/>
          <w:lang w:bidi="ar"/>
        </w:rPr>
      </w:pP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>To further explore the role of LCAT in HCC, we</w:t>
      </w:r>
      <w:r>
        <w:rPr>
          <w:rFonts w:ascii="Arial" w:eastAsia="GillSansStd-Bold" w:hAnsi="Arial" w:cs="Arial" w:hint="eastAsia"/>
          <w:color w:val="231F20"/>
          <w:kern w:val="0"/>
          <w:sz w:val="24"/>
          <w:lang w:bidi="ar"/>
        </w:rPr>
        <w:t xml:space="preserve"> further conducted a GSEA analysis based on the TCGA database</w:t>
      </w:r>
      <w:r>
        <w:rPr>
          <w:rFonts w:ascii="Arial" w:eastAsia="GillSansStd-Bold" w:hAnsi="Arial" w:cs="Arial"/>
          <w:kern w:val="0"/>
          <w:sz w:val="24"/>
          <w:lang w:bidi="ar"/>
        </w:rPr>
        <w:t>.</w:t>
      </w: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 xml:space="preserve"> The </w:t>
      </w:r>
      <w:r>
        <w:rPr>
          <w:rFonts w:ascii="Arial" w:eastAsia="GillSansStd-Bold" w:hAnsi="Arial" w:cs="Arial"/>
          <w:kern w:val="0"/>
          <w:sz w:val="24"/>
          <w:lang w:bidi="ar"/>
        </w:rPr>
        <w:t>GO enrichment analysis</w:t>
      </w: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 xml:space="preserve"> indicated that </w:t>
      </w:r>
      <w:r>
        <w:rPr>
          <w:rFonts w:ascii="Arial" w:eastAsia="GillSansStd-Bold" w:hAnsi="Arial" w:cs="Arial" w:hint="eastAsia"/>
          <w:color w:val="231F20"/>
          <w:kern w:val="0"/>
          <w:sz w:val="24"/>
          <w:lang w:bidi="ar"/>
        </w:rPr>
        <w:t>LCAT was correlated with c</w:t>
      </w: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>hemical carcinogenesis</w:t>
      </w:r>
      <w:r>
        <w:rPr>
          <w:rFonts w:ascii="Arial" w:eastAsia="GillSansStd-Bold" w:hAnsi="Arial" w:cs="Arial" w:hint="eastAsia"/>
          <w:color w:val="231F20"/>
          <w:kern w:val="0"/>
          <w:sz w:val="24"/>
          <w:lang w:bidi="ar"/>
        </w:rPr>
        <w:t>,</w:t>
      </w: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 xml:space="preserve"> </w:t>
      </w:r>
      <w:r>
        <w:rPr>
          <w:rFonts w:ascii="Arial" w:eastAsia="GillSansStd-Bold" w:hAnsi="Arial" w:cs="Arial" w:hint="eastAsia"/>
          <w:color w:val="231F20"/>
          <w:kern w:val="0"/>
          <w:sz w:val="24"/>
          <w:lang w:bidi="ar"/>
        </w:rPr>
        <w:t>d</w:t>
      </w: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>rug metabolism</w:t>
      </w:r>
      <w:r>
        <w:rPr>
          <w:rFonts w:ascii="Arial" w:eastAsia="GillSansStd-Bold" w:hAnsi="Arial" w:cs="Arial" w:hint="eastAsia"/>
          <w:color w:val="231F20"/>
          <w:kern w:val="0"/>
          <w:sz w:val="24"/>
          <w:lang w:bidi="ar"/>
        </w:rPr>
        <w:t>-</w:t>
      </w:r>
      <w:r>
        <w:rPr>
          <w:rFonts w:ascii="Arial" w:eastAsia="GillSansStd-Bold" w:hAnsi="Arial" w:cs="Arial"/>
          <w:color w:val="231F20"/>
          <w:kern w:val="0"/>
          <w:sz w:val="24"/>
          <w:lang w:bidi="ar"/>
        </w:rPr>
        <w:t>cytochrome P450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>, fatty acid degradation, glycine, serine</w:t>
      </w:r>
      <w:r>
        <w:rPr>
          <w:rFonts w:ascii="Arial" w:eastAsia="GillSansStd-Bold" w:hAnsi="Arial" w:cs="Arial"/>
          <w:kern w:val="0"/>
          <w:sz w:val="24"/>
          <w:lang w:bidi="ar"/>
        </w:rPr>
        <w:t>,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 xml:space="preserve"> and threonine metabolism et.al. 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 xml:space="preserve">(Figure </w:t>
      </w:r>
      <w:r>
        <w:rPr>
          <w:rFonts w:ascii="Arial" w:eastAsia="GillSansStd-Bold" w:hAnsi="Arial" w:cs="Arial" w:hint="eastAsia"/>
          <w:color w:val="0000FF"/>
          <w:kern w:val="0"/>
          <w:sz w:val="24"/>
          <w:lang w:bidi="ar"/>
        </w:rPr>
        <w:t>S1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>A).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 Further KEGG analysis demonstrated that 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>LCAT level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 w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>as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 mainly correlated with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 xml:space="preserve"> </w:t>
      </w:r>
      <w:r>
        <w:rPr>
          <w:rFonts w:ascii="Arial" w:eastAsia="GillSansStd-Bold" w:hAnsi="Arial" w:cs="Arial"/>
          <w:kern w:val="0"/>
          <w:sz w:val="24"/>
          <w:lang w:bidi="ar"/>
        </w:rPr>
        <w:t>alpha-amino acid catabolic process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 xml:space="preserve">, amino acid catabolic process, fatty acid beta-oxidation, fatty acid catabolic process, lipid oxidation, and monocarboxylic acid catabolic process 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 xml:space="preserve">(Figure </w:t>
      </w:r>
      <w:r>
        <w:rPr>
          <w:rFonts w:ascii="Arial" w:eastAsia="GillSansStd-Bold" w:hAnsi="Arial" w:cs="Arial" w:hint="eastAsia"/>
          <w:color w:val="0000FF"/>
          <w:kern w:val="0"/>
          <w:sz w:val="24"/>
          <w:lang w:bidi="ar"/>
        </w:rPr>
        <w:t>S1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>B).</w:t>
      </w:r>
      <w:r>
        <w:rPr>
          <w:rFonts w:ascii="Arial" w:eastAsia="GillSansStd-Bold" w:hAnsi="Arial" w:cs="Arial"/>
          <w:color w:val="FF0000"/>
          <w:kern w:val="0"/>
          <w:sz w:val="24"/>
          <w:lang w:bidi="ar"/>
        </w:rPr>
        <w:t xml:space="preserve"> 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The above results suggest that LCAT may be related to fatty acid metabolism. Therefore, we analyzed using the TCGA database the correlation between LCAT and fatty acid metabolism-related metabolic genes. Surprisingly, we found that in 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>HCC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 tissues, LCAT showed significant positive correlations with markers related to fatty acid oxidation, synthesis, breakdown, and transport</w:t>
      </w:r>
      <w:r>
        <w:rPr>
          <w:rFonts w:ascii="Arial" w:eastAsia="GillSansStd-Bold" w:hAnsi="Arial" w:cs="Arial" w:hint="eastAsia"/>
          <w:kern w:val="0"/>
          <w:sz w:val="24"/>
          <w:lang w:bidi="ar"/>
        </w:rPr>
        <w:t xml:space="preserve"> 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 xml:space="preserve">(Figure </w:t>
      </w:r>
      <w:r>
        <w:rPr>
          <w:rFonts w:ascii="Arial" w:eastAsia="GillSansStd-Bold" w:hAnsi="Arial" w:cs="Arial" w:hint="eastAsia"/>
          <w:color w:val="0000FF"/>
          <w:kern w:val="0"/>
          <w:sz w:val="24"/>
          <w:lang w:bidi="ar"/>
        </w:rPr>
        <w:t>S1C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>)</w:t>
      </w:r>
      <w:r>
        <w:rPr>
          <w:rFonts w:ascii="Arial" w:eastAsia="GillSansStd-Bold" w:hAnsi="Arial" w:cs="Arial"/>
          <w:kern w:val="0"/>
          <w:sz w:val="24"/>
          <w:lang w:bidi="ar"/>
        </w:rPr>
        <w:t>.</w:t>
      </w:r>
    </w:p>
    <w:p w14:paraId="6DF44FA2" w14:textId="77777777" w:rsidR="000E1E3C" w:rsidRDefault="00745062">
      <w:pPr>
        <w:widowControl/>
        <w:spacing w:line="480" w:lineRule="auto"/>
        <w:rPr>
          <w:rFonts w:ascii="Arial" w:eastAsia="GillSansStd-Bold" w:hAnsi="Arial" w:cs="Arial"/>
          <w:color w:val="FF0000"/>
          <w:kern w:val="0"/>
          <w:sz w:val="24"/>
          <w:lang w:bidi="ar"/>
        </w:rPr>
      </w:pPr>
      <w:r>
        <w:rPr>
          <w:rFonts w:ascii="Arial" w:eastAsia="GillSansStd-Bold" w:hAnsi="Arial" w:cs="Arial" w:hint="eastAsia"/>
          <w:noProof/>
          <w:color w:val="FF0000"/>
          <w:kern w:val="0"/>
          <w:sz w:val="24"/>
          <w:lang w:bidi="ar"/>
        </w:rPr>
        <w:lastRenderedPageBreak/>
        <w:drawing>
          <wp:inline distT="0" distB="0" distL="114300" distR="114300" wp14:anchorId="2F65413A" wp14:editId="5A84279C">
            <wp:extent cx="5269865" cy="4570095"/>
            <wp:effectExtent l="0" t="0" r="0" b="0"/>
            <wp:docPr id="2" name="图片 2" descr="Figure-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-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DE13" w14:textId="43980DC2" w:rsidR="000E1E3C" w:rsidRPr="003B075F" w:rsidRDefault="00745062">
      <w:pPr>
        <w:widowControl/>
        <w:spacing w:line="480" w:lineRule="auto"/>
        <w:rPr>
          <w:rFonts w:ascii="Arial" w:hAnsi="Arial" w:cs="Arial"/>
          <w:color w:val="231F20"/>
          <w:kern w:val="0"/>
          <w:sz w:val="22"/>
          <w:szCs w:val="22"/>
          <w:lang w:bidi="ar"/>
        </w:rPr>
      </w:pPr>
      <w:r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Figure </w:t>
      </w:r>
      <w:r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S1.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 xml:space="preserve"> Biological function analyses of LCAT expression in HCC.</w:t>
      </w:r>
      <w:r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 xml:space="preserve"> (A) </w:t>
      </w:r>
      <w:r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Go analyses of </w:t>
      </w:r>
      <w:r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LCAT-related</w:t>
      </w:r>
      <w:r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 gene expression. </w:t>
      </w:r>
      <w:r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(B)</w:t>
      </w:r>
      <w:r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 KEGG analyses of </w:t>
      </w:r>
      <w:r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LCAT-related</w:t>
      </w:r>
      <w:r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 gene expression. </w:t>
      </w:r>
      <w:r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(C)</w:t>
      </w:r>
      <w:r>
        <w:rPr>
          <w:rFonts w:ascii="Arial" w:hAnsi="Arial" w:cs="Arial" w:hint="eastAsia"/>
          <w:color w:val="231F20"/>
          <w:kern w:val="0"/>
          <w:sz w:val="22"/>
          <w:szCs w:val="22"/>
          <w:lang w:bidi="ar"/>
        </w:rPr>
        <w:t>Correlation analysis between fatty acid metabolism markers.</w:t>
      </w:r>
    </w:p>
    <w:p w14:paraId="350A3E98" w14:textId="77777777" w:rsidR="000E1E3C" w:rsidRDefault="000E1E3C"/>
    <w:p w14:paraId="65100FD4" w14:textId="77777777" w:rsidR="000E1E3C" w:rsidRDefault="00745062">
      <w:pPr>
        <w:widowControl/>
        <w:spacing w:line="480" w:lineRule="auto"/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</w:pPr>
      <w:r>
        <w:rPr>
          <w:rFonts w:ascii="Arial" w:eastAsia="GillSansStd-Bold" w:hAnsi="Arial" w:cs="Arial" w:hint="eastAsia"/>
          <w:b/>
          <w:bCs/>
          <w:color w:val="231F20"/>
          <w:kern w:val="0"/>
          <w:sz w:val="24"/>
          <w:lang w:bidi="ar"/>
        </w:rPr>
        <w:t>S2</w:t>
      </w:r>
      <w:r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  <w:t xml:space="preserve"> LCAT was </w:t>
      </w:r>
      <w:r>
        <w:rPr>
          <w:rFonts w:ascii="Arial" w:eastAsia="GillSansStd-Bold" w:hAnsi="Arial" w:cs="Arial" w:hint="eastAsia"/>
          <w:b/>
          <w:bCs/>
          <w:color w:val="231F20"/>
          <w:kern w:val="0"/>
          <w:sz w:val="24"/>
          <w:lang w:bidi="ar"/>
        </w:rPr>
        <w:t>a</w:t>
      </w:r>
      <w:r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  <w:t xml:space="preserve">ssociated with an </w:t>
      </w:r>
      <w:r>
        <w:rPr>
          <w:rFonts w:ascii="Arial" w:eastAsia="GillSansStd-Bold" w:hAnsi="Arial" w:cs="Arial" w:hint="eastAsia"/>
          <w:b/>
          <w:bCs/>
          <w:color w:val="231F20"/>
          <w:kern w:val="0"/>
          <w:sz w:val="24"/>
          <w:lang w:bidi="ar"/>
        </w:rPr>
        <w:t>i</w:t>
      </w:r>
      <w:r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  <w:t>mmunosuppressive TME in HCC</w:t>
      </w:r>
    </w:p>
    <w:p w14:paraId="225C0C8B" w14:textId="13447062" w:rsidR="000E1E3C" w:rsidRPr="003B075F" w:rsidRDefault="00745062">
      <w:pPr>
        <w:widowControl/>
        <w:spacing w:line="480" w:lineRule="auto"/>
        <w:rPr>
          <w:rFonts w:ascii="Arial" w:hAnsi="Arial" w:cs="Arial"/>
          <w:color w:val="212121"/>
          <w:sz w:val="24"/>
          <w:shd w:val="clear" w:color="auto" w:fill="FFFFFF"/>
        </w:rPr>
      </w:pPr>
      <w:r>
        <w:rPr>
          <w:rFonts w:ascii="Arial" w:eastAsia="GillSansStd-Bold" w:hAnsi="Arial" w:cs="Arial"/>
          <w:kern w:val="0"/>
          <w:sz w:val="24"/>
          <w:lang w:bidi="ar"/>
        </w:rPr>
        <w:t>To further explore the mechanism of LCAT affecting patients’ prognosis, the correlation between LCAT expression and immune infiltration in pan-cancer was investigated. According to the Tumor Immune Estimation Resource (TIMER) database, LCAT was significantly negatively correlated with six main infiltrating immune cells in HCC, such as B cells, CD8</w:t>
      </w:r>
      <w:r>
        <w:rPr>
          <w:rFonts w:ascii="Arial" w:eastAsia="GillSansStd-Bold" w:hAnsi="Arial" w:cs="Arial"/>
          <w:kern w:val="0"/>
          <w:sz w:val="24"/>
          <w:vertAlign w:val="superscript"/>
          <w:lang w:bidi="ar"/>
        </w:rPr>
        <w:t>+</w:t>
      </w:r>
      <w:r>
        <w:rPr>
          <w:rFonts w:ascii="Arial" w:eastAsia="GillSansStd-Bold" w:hAnsi="Arial" w:cs="Arial"/>
          <w:kern w:val="0"/>
          <w:sz w:val="24"/>
          <w:lang w:bidi="ar"/>
        </w:rPr>
        <w:t>T cells, CD4</w:t>
      </w:r>
      <w:r>
        <w:rPr>
          <w:rFonts w:ascii="Arial" w:eastAsia="GillSansStd-Bold" w:hAnsi="Arial" w:cs="Arial"/>
          <w:kern w:val="0"/>
          <w:sz w:val="24"/>
          <w:vertAlign w:val="superscript"/>
          <w:lang w:bidi="ar"/>
        </w:rPr>
        <w:t>+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T cells, macrophages, dendritic cells, and neutrophils </w:t>
      </w:r>
      <w:bookmarkStart w:id="0" w:name="OLE_LINK11"/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 xml:space="preserve">(Figure </w:t>
      </w:r>
      <w:r>
        <w:rPr>
          <w:rFonts w:ascii="Arial" w:eastAsia="GillSansStd-Bold" w:hAnsi="Arial" w:cs="Arial" w:hint="eastAsia"/>
          <w:color w:val="0000FF"/>
          <w:kern w:val="0"/>
          <w:sz w:val="24"/>
          <w:lang w:bidi="ar"/>
        </w:rPr>
        <w:t>S2A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>)</w:t>
      </w:r>
      <w:bookmarkEnd w:id="0"/>
      <w:r>
        <w:rPr>
          <w:rFonts w:ascii="Arial" w:eastAsia="GillSansStd-Bold" w:hAnsi="Arial" w:cs="Arial"/>
          <w:kern w:val="0"/>
          <w:sz w:val="24"/>
          <w:lang w:bidi="ar"/>
        </w:rPr>
        <w:t xml:space="preserve">. This would suggest </w:t>
      </w:r>
      <w:r>
        <w:rPr>
          <w:rFonts w:ascii="Arial" w:eastAsia="GillSansStd-Bold" w:hAnsi="Arial" w:cs="Arial"/>
          <w:kern w:val="0"/>
          <w:sz w:val="24"/>
          <w:lang w:bidi="ar"/>
        </w:rPr>
        <w:lastRenderedPageBreak/>
        <w:t>that it is the down-regulation of LCAT that triggers an immune response. Next, we also explored the immune landscape using different algorithms and found LCAT expression showed a n</w:t>
      </w:r>
      <w:bookmarkStart w:id="1" w:name="OLE_LINK34"/>
      <w:r>
        <w:rPr>
          <w:rFonts w:ascii="Arial" w:eastAsia="GillSansStd-Bold" w:hAnsi="Arial" w:cs="Arial"/>
          <w:kern w:val="0"/>
          <w:sz w:val="24"/>
          <w:lang w:bidi="ar"/>
        </w:rPr>
        <w:t>egative correlation with immunosuppressive cells including regulatory T cells (Tregs), M2 macrophages, and myeloid-derived suppressor cells (MDSCs)</w:t>
      </w:r>
      <w:bookmarkEnd w:id="1"/>
      <w:r>
        <w:rPr>
          <w:rFonts w:ascii="Arial" w:eastAsia="GillSansStd-Bold" w:hAnsi="Arial" w:cs="Arial"/>
          <w:kern w:val="0"/>
          <w:sz w:val="24"/>
          <w:lang w:bidi="ar"/>
        </w:rPr>
        <w:t xml:space="preserve"> but show a positive correlation with cancer-associated fibroblasts (CAFs) 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 xml:space="preserve">(Figure </w:t>
      </w:r>
      <w:r>
        <w:rPr>
          <w:rFonts w:ascii="Arial" w:eastAsia="GillSansStd-Bold" w:hAnsi="Arial" w:cs="Arial" w:hint="eastAsia"/>
          <w:color w:val="0000FF"/>
          <w:kern w:val="0"/>
          <w:sz w:val="24"/>
          <w:lang w:bidi="ar"/>
        </w:rPr>
        <w:t>S2B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>)</w:t>
      </w:r>
      <w:r>
        <w:rPr>
          <w:rFonts w:ascii="Arial" w:eastAsia="GillSansStd-Bold" w:hAnsi="Arial" w:cs="Arial"/>
          <w:kern w:val="0"/>
          <w:sz w:val="24"/>
          <w:lang w:bidi="ar"/>
        </w:rPr>
        <w:t>.</w:t>
      </w:r>
      <w:r>
        <w:rPr>
          <w:rFonts w:ascii="Arial" w:eastAsia="GillSansStd-Bold" w:hAnsi="Arial" w:cs="Arial"/>
          <w:color w:val="FF0000"/>
          <w:kern w:val="0"/>
          <w:sz w:val="24"/>
          <w:lang w:bidi="ar"/>
        </w:rPr>
        <w:t xml:space="preserve"> </w:t>
      </w:r>
      <w:r>
        <w:rPr>
          <w:rFonts w:ascii="Arial" w:eastAsia="GillSansStd-Bold" w:hAnsi="Arial" w:cs="Arial"/>
          <w:kern w:val="0"/>
          <w:sz w:val="24"/>
          <w:lang w:bidi="ar"/>
        </w:rPr>
        <w:t xml:space="preserve">Next, we explored how LCAT affected immune cells infiltration. The correlation between LCAT expression and immune checkpoint gene expression was investigated. We found that </w:t>
      </w:r>
      <w:bookmarkStart w:id="2" w:name="OLE_LINK25"/>
      <w:r>
        <w:rPr>
          <w:rFonts w:ascii="Arial" w:eastAsia="GillSansStd-Bold" w:hAnsi="Arial" w:cs="Arial"/>
          <w:kern w:val="0"/>
          <w:sz w:val="24"/>
          <w:lang w:bidi="ar"/>
        </w:rPr>
        <w:t>LCAT expression was significantly associated with</w:t>
      </w:r>
      <w:r>
        <w:rPr>
          <w:rFonts w:ascii="Arial" w:eastAsia="Cambria" w:hAnsi="Arial" w:cs="Arial"/>
          <w:color w:val="212121"/>
          <w:sz w:val="24"/>
          <w:shd w:val="clear" w:color="auto" w:fill="FFFFFF"/>
        </w:rPr>
        <w:t xml:space="preserve"> more than </w:t>
      </w:r>
      <w:r>
        <w:rPr>
          <w:rFonts w:ascii="Arial" w:hAnsi="Arial" w:cs="Arial"/>
          <w:color w:val="212121"/>
          <w:sz w:val="24"/>
          <w:shd w:val="clear" w:color="auto" w:fill="FFFFFF"/>
        </w:rPr>
        <w:t>1</w:t>
      </w:r>
      <w:r>
        <w:rPr>
          <w:rFonts w:ascii="Arial" w:eastAsia="Cambria" w:hAnsi="Arial" w:cs="Arial"/>
          <w:color w:val="212121"/>
          <w:sz w:val="24"/>
          <w:shd w:val="clear" w:color="auto" w:fill="FFFFFF"/>
        </w:rPr>
        <w:t>0 immune checkpoints markers</w:t>
      </w:r>
      <w:r>
        <w:rPr>
          <w:rFonts w:ascii="Arial" w:hAnsi="Arial" w:cs="Arial"/>
          <w:color w:val="212121"/>
          <w:sz w:val="24"/>
          <w:shd w:val="clear" w:color="auto" w:fill="FFFFFF"/>
        </w:rPr>
        <w:t xml:space="preserve"> such as IL12A, VTCN1, BTLA, and TIGIT</w:t>
      </w:r>
      <w:bookmarkEnd w:id="2"/>
      <w:r>
        <w:rPr>
          <w:rFonts w:ascii="Arial" w:hAnsi="Arial" w:cs="Arial"/>
          <w:color w:val="212121"/>
          <w:sz w:val="24"/>
          <w:shd w:val="clear" w:color="auto" w:fill="FFFFFF"/>
        </w:rPr>
        <w:t xml:space="preserve"> 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 xml:space="preserve">(Figure </w:t>
      </w:r>
      <w:r>
        <w:rPr>
          <w:rFonts w:ascii="Arial" w:eastAsia="GillSansStd-Bold" w:hAnsi="Arial" w:cs="Arial" w:hint="eastAsia"/>
          <w:color w:val="0000FF"/>
          <w:kern w:val="0"/>
          <w:sz w:val="24"/>
          <w:lang w:bidi="ar"/>
        </w:rPr>
        <w:t>S2C</w:t>
      </w:r>
      <w:r>
        <w:rPr>
          <w:rFonts w:ascii="Arial" w:eastAsia="GillSansStd-Bold" w:hAnsi="Arial" w:cs="Arial"/>
          <w:color w:val="0000FF"/>
          <w:kern w:val="0"/>
          <w:sz w:val="24"/>
          <w:lang w:bidi="ar"/>
        </w:rPr>
        <w:t>)</w:t>
      </w:r>
      <w:r>
        <w:rPr>
          <w:rFonts w:ascii="Arial" w:hAnsi="Arial" w:cs="Arial"/>
          <w:color w:val="212121"/>
          <w:sz w:val="24"/>
          <w:shd w:val="clear" w:color="auto" w:fill="FFFFFF"/>
        </w:rPr>
        <w:t>.</w:t>
      </w:r>
    </w:p>
    <w:p w14:paraId="4059E9D1" w14:textId="77777777" w:rsidR="000E1E3C" w:rsidRDefault="00745062">
      <w:pPr>
        <w:widowControl/>
        <w:spacing w:line="480" w:lineRule="auto"/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</w:pPr>
      <w:r>
        <w:rPr>
          <w:rFonts w:ascii="Arial" w:eastAsia="GillSansStd-Bold" w:hAnsi="Arial" w:cs="Arial" w:hint="eastAsia"/>
          <w:b/>
          <w:bCs/>
          <w:noProof/>
          <w:color w:val="231F20"/>
          <w:kern w:val="0"/>
          <w:sz w:val="24"/>
          <w:lang w:bidi="ar"/>
        </w:rPr>
        <w:drawing>
          <wp:inline distT="0" distB="0" distL="114300" distR="114300" wp14:anchorId="1AF067D6" wp14:editId="13CC4041">
            <wp:extent cx="4993640" cy="3328670"/>
            <wp:effectExtent l="0" t="0" r="0" b="0"/>
            <wp:docPr id="4" name="图片 4" descr="Figure 5 -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5 -555555"/>
                    <pic:cNvPicPr>
                      <a:picLocks noChangeAspect="1"/>
                    </pic:cNvPicPr>
                  </pic:nvPicPr>
                  <pic:blipFill>
                    <a:blip r:embed="rId7"/>
                    <a:srcRect t="28182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CF0A" w14:textId="77777777" w:rsidR="000E1E3C" w:rsidRDefault="000E1E3C">
      <w:pPr>
        <w:spacing w:line="480" w:lineRule="auto"/>
        <w:rPr>
          <w:rFonts w:ascii="Arial" w:eastAsia="GillSansStd-Bold" w:hAnsi="Arial" w:cs="Arial"/>
          <w:color w:val="231F20"/>
          <w:kern w:val="0"/>
          <w:szCs w:val="21"/>
          <w:lang w:bidi="ar"/>
        </w:rPr>
      </w:pPr>
    </w:p>
    <w:p w14:paraId="46F2A3D9" w14:textId="77777777" w:rsidR="000E1E3C" w:rsidRDefault="00745062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 w:hint="eastAsia"/>
          <w:b/>
          <w:bCs/>
          <w:sz w:val="22"/>
          <w:szCs w:val="22"/>
        </w:rPr>
        <w:t>S2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Biological Function and Pathway Analyses of LCAT in HCC.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 w:hint="eastAsia"/>
          <w:b/>
          <w:bCs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Correlation between LCAT with six main infiltrating cells in HCC via TIMER. </w:t>
      </w:r>
      <w:r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 w:hint="eastAsia"/>
          <w:b/>
          <w:bCs/>
          <w:sz w:val="22"/>
          <w:szCs w:val="22"/>
        </w:rPr>
        <w:t>B</w:t>
      </w:r>
      <w:r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Correlation between LCAT with four immunosuppressive cells in HCC via TIMER2. </w:t>
      </w:r>
      <w:r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 w:hint="eastAsia"/>
          <w:b/>
          <w:bCs/>
          <w:sz w:val="22"/>
          <w:szCs w:val="22"/>
        </w:rPr>
        <w:t>C</w:t>
      </w:r>
      <w:r>
        <w:rPr>
          <w:rFonts w:ascii="Arial" w:hAnsi="Arial" w:cs="Arial"/>
          <w:b/>
          <w:bCs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lastRenderedPageBreak/>
        <w:t>Correlation analyses between LCAT expression, and inhibitory immune checkpoints in HCC. * p &lt; 0.05.</w:t>
      </w:r>
    </w:p>
    <w:p w14:paraId="20E61FE4" w14:textId="77777777" w:rsidR="003B075F" w:rsidRDefault="003B075F">
      <w:pPr>
        <w:spacing w:line="480" w:lineRule="auto"/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</w:pPr>
    </w:p>
    <w:p w14:paraId="6584A747" w14:textId="0F555287" w:rsidR="000E1E3C" w:rsidRDefault="00BF5B93">
      <w:pPr>
        <w:widowControl/>
        <w:spacing w:line="480" w:lineRule="auto"/>
        <w:jc w:val="left"/>
        <w:rPr>
          <w:rFonts w:ascii="Arial" w:eastAsia="GillSansStd-Bold" w:hAnsi="Arial" w:cs="Arial"/>
          <w:b/>
          <w:bCs/>
          <w:color w:val="231F20"/>
          <w:kern w:val="0"/>
          <w:sz w:val="24"/>
          <w:lang w:bidi="ar"/>
        </w:rPr>
      </w:pPr>
      <w:r>
        <w:rPr>
          <w:rFonts w:ascii="Arial" w:eastAsia="GillSansStd-Bold" w:hAnsi="Arial" w:cs="Arial"/>
          <w:b/>
          <w:bCs/>
          <w:noProof/>
          <w:color w:val="231F20"/>
          <w:kern w:val="0"/>
          <w:sz w:val="24"/>
          <w:lang w:bidi="ar"/>
        </w:rPr>
        <w:drawing>
          <wp:inline distT="0" distB="0" distL="0" distR="0" wp14:anchorId="574BB5BF" wp14:editId="0295C899">
            <wp:extent cx="5274310" cy="5615305"/>
            <wp:effectExtent l="0" t="0" r="2540" b="4445"/>
            <wp:docPr id="671436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36939" name="图片 6714369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C787" w14:textId="2241D5E1" w:rsidR="00BC1873" w:rsidRPr="00BC1873" w:rsidRDefault="00BC1873" w:rsidP="00BC1873">
      <w:pPr>
        <w:widowControl/>
        <w:spacing w:line="480" w:lineRule="auto"/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</w:pP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Figure 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S3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. 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LCAT exerts a potent inhibitory effect on the progression of hepatocellular carcinoma through the suppression of ERK1/2 phosphorylation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 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(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A&amp;B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)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 Correlation 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Representative images (0 h, 24 h, 48 h, 72 h) and quantitative analysis of wound healing assay after LCAT knockdown in HCC cell line 97L.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 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(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C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)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 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97L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 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c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ell proliferation was examined by CCK8 assay. 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(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D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) 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West blot validation quantitative 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lastRenderedPageBreak/>
        <w:t xml:space="preserve">analysis was used to verify the correlation of </w:t>
      </w:r>
      <w:proofErr w:type="spellStart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si</w:t>
      </w:r>
      <w:proofErr w:type="spellEnd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-RNA-</w:t>
      </w:r>
      <w:proofErr w:type="spellStart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Lcat</w:t>
      </w:r>
      <w:proofErr w:type="spellEnd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 knockdown in the Huh7 cell line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 xml:space="preserve">. 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(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E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) 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Western blot and its quantitative analysis were used to evaluate the rescue experiment with recombinant LCAT protein - </w:t>
      </w:r>
      <w:proofErr w:type="spellStart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rLCAT</w:t>
      </w:r>
      <w:proofErr w:type="spellEnd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.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 (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F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) </w:t>
      </w:r>
      <w:bookmarkStart w:id="3" w:name="OLE_LINK1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CCK-8 assay was performed to assess whether pharmacological inhibition of ERK reverses the enhanced proliferation of Huh7 cells at 24 hours post </w:t>
      </w:r>
      <w:proofErr w:type="spellStart"/>
      <w:r w:rsidRPr="00BC1873">
        <w:rPr>
          <w:rFonts w:ascii="Arial" w:eastAsia="GillSansStd-Bold" w:hAnsi="Arial" w:cs="Arial" w:hint="eastAsia"/>
          <w:i/>
          <w:iCs/>
          <w:color w:val="231F20"/>
          <w:kern w:val="0"/>
          <w:sz w:val="22"/>
          <w:szCs w:val="22"/>
          <w:lang w:bidi="ar"/>
        </w:rPr>
        <w:t>sh</w:t>
      </w:r>
      <w:proofErr w:type="spellEnd"/>
      <w:r w:rsidRPr="00BC1873">
        <w:rPr>
          <w:rFonts w:ascii="Arial" w:eastAsia="GillSansStd-Bold" w:hAnsi="Arial" w:cs="Arial" w:hint="eastAsia"/>
          <w:i/>
          <w:iCs/>
          <w:color w:val="231F20"/>
          <w:kern w:val="0"/>
          <w:sz w:val="22"/>
          <w:szCs w:val="22"/>
          <w:lang w:bidi="ar"/>
        </w:rPr>
        <w:t>-LCAT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-mediated LCAT knockdown</w:t>
      </w:r>
      <w:bookmarkEnd w:id="3"/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.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 (</w:t>
      </w:r>
      <w:r w:rsidRPr="00BC1873">
        <w:rPr>
          <w:rFonts w:ascii="Arial" w:eastAsia="GillSansStd-Bold" w:hAnsi="Arial" w:cs="Arial" w:hint="eastAsia"/>
          <w:b/>
          <w:bCs/>
          <w:color w:val="231F20"/>
          <w:kern w:val="0"/>
          <w:sz w:val="22"/>
          <w:szCs w:val="22"/>
          <w:lang w:bidi="ar"/>
        </w:rPr>
        <w:t>G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>)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 CCK-8 assay was performed to assess whether pharmacological inhibition of ERK reverses the enhanced proliferation of Huh7 cells at 48 hours post </w:t>
      </w:r>
      <w:proofErr w:type="spellStart"/>
      <w:r w:rsidRPr="00BC1873">
        <w:rPr>
          <w:rFonts w:ascii="Arial" w:eastAsia="GillSansStd-Bold" w:hAnsi="Arial" w:cs="Arial" w:hint="eastAsia"/>
          <w:i/>
          <w:iCs/>
          <w:color w:val="231F20"/>
          <w:kern w:val="0"/>
          <w:sz w:val="22"/>
          <w:szCs w:val="22"/>
          <w:lang w:bidi="ar"/>
        </w:rPr>
        <w:t>sh</w:t>
      </w:r>
      <w:proofErr w:type="spellEnd"/>
      <w:r w:rsidRPr="00BC1873">
        <w:rPr>
          <w:rFonts w:ascii="Arial" w:eastAsia="GillSansStd-Bold" w:hAnsi="Arial" w:cs="Arial" w:hint="eastAsia"/>
          <w:i/>
          <w:iCs/>
          <w:color w:val="231F20"/>
          <w:kern w:val="0"/>
          <w:sz w:val="22"/>
          <w:szCs w:val="22"/>
          <w:lang w:bidi="ar"/>
        </w:rPr>
        <w:t>-LCAT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-mediated LCAT knockdown.</w:t>
      </w:r>
      <w:r w:rsidRPr="00BC1873">
        <w:rPr>
          <w:rFonts w:ascii="Arial" w:eastAsia="GillSansStd-Bold" w:hAnsi="Arial" w:cs="Arial"/>
          <w:b/>
          <w:bCs/>
          <w:color w:val="231F20"/>
          <w:kern w:val="0"/>
          <w:sz w:val="22"/>
          <w:szCs w:val="22"/>
          <w:lang w:bidi="ar"/>
        </w:rPr>
        <w:t xml:space="preserve">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*</w:t>
      </w:r>
      <w:r w:rsidRPr="00BC1873">
        <w:rPr>
          <w:rFonts w:ascii="Arial" w:eastAsia="GillSansStd-Bold" w:hAnsi="Arial" w:cs="Arial"/>
          <w:i/>
          <w:iCs/>
          <w:color w:val="231F20"/>
          <w:kern w:val="0"/>
          <w:sz w:val="22"/>
          <w:szCs w:val="22"/>
          <w:lang w:bidi="ar"/>
        </w:rPr>
        <w:t xml:space="preserve">P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&lt; 0.0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5,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**</w:t>
      </w:r>
      <w:r w:rsidRPr="00BC1873">
        <w:rPr>
          <w:rFonts w:ascii="Arial" w:eastAsia="GillSansStd-Bold" w:hAnsi="Arial" w:cs="Arial"/>
          <w:i/>
          <w:iCs/>
          <w:color w:val="231F20"/>
          <w:kern w:val="0"/>
          <w:sz w:val="22"/>
          <w:szCs w:val="22"/>
          <w:lang w:bidi="ar"/>
        </w:rPr>
        <w:t xml:space="preserve">P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&lt; 0.01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 xml:space="preserve">,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***</w:t>
      </w:r>
      <w:r w:rsidRPr="00BC1873">
        <w:rPr>
          <w:rFonts w:ascii="Arial" w:eastAsia="GillSansStd-Bold" w:hAnsi="Arial" w:cs="Arial"/>
          <w:i/>
          <w:iCs/>
          <w:color w:val="231F20"/>
          <w:kern w:val="0"/>
          <w:sz w:val="22"/>
          <w:szCs w:val="22"/>
          <w:lang w:bidi="ar"/>
        </w:rPr>
        <w:t xml:space="preserve">P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&lt; 0.0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0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1.****</w:t>
      </w:r>
      <w:r w:rsidRPr="00BC1873">
        <w:rPr>
          <w:rFonts w:ascii="Arial" w:eastAsia="GillSansStd-Bold" w:hAnsi="Arial" w:cs="Arial"/>
          <w:i/>
          <w:iCs/>
          <w:color w:val="231F20"/>
          <w:kern w:val="0"/>
          <w:sz w:val="22"/>
          <w:szCs w:val="22"/>
          <w:lang w:bidi="ar"/>
        </w:rPr>
        <w:t xml:space="preserve">P 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&lt; 0.0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00</w:t>
      </w:r>
      <w:r w:rsidRPr="00BC1873"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  <w:t>1</w:t>
      </w:r>
      <w:r w:rsidRPr="00BC1873">
        <w:rPr>
          <w:rFonts w:ascii="Arial" w:eastAsia="GillSansStd-Bold" w:hAnsi="Arial" w:cs="Arial" w:hint="eastAsia"/>
          <w:color w:val="231F20"/>
          <w:kern w:val="0"/>
          <w:sz w:val="22"/>
          <w:szCs w:val="22"/>
          <w:lang w:bidi="ar"/>
        </w:rPr>
        <w:t>.</w:t>
      </w:r>
    </w:p>
    <w:p w14:paraId="52814B06" w14:textId="56C72D61" w:rsidR="009862FD" w:rsidRPr="00BC1873" w:rsidRDefault="009862FD" w:rsidP="009862FD">
      <w:pPr>
        <w:widowControl/>
        <w:spacing w:line="480" w:lineRule="auto"/>
        <w:rPr>
          <w:rFonts w:ascii="Arial" w:eastAsia="GillSansStd-Bold" w:hAnsi="Arial" w:cs="Arial"/>
          <w:color w:val="231F20"/>
          <w:kern w:val="0"/>
          <w:sz w:val="22"/>
          <w:szCs w:val="22"/>
          <w:lang w:bidi="ar"/>
        </w:rPr>
      </w:pPr>
    </w:p>
    <w:p w14:paraId="2D123AC4" w14:textId="452801A4" w:rsidR="000E1E3C" w:rsidRPr="00BC1873" w:rsidRDefault="000E1E3C" w:rsidP="00256F61">
      <w:pPr>
        <w:spacing w:line="480" w:lineRule="auto"/>
        <w:rPr>
          <w:sz w:val="22"/>
          <w:szCs w:val="22"/>
        </w:rPr>
      </w:pPr>
    </w:p>
    <w:sectPr w:rsidR="000E1E3C" w:rsidRPr="00BC18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A9B12" w14:textId="77777777" w:rsidR="00DA2AEA" w:rsidRDefault="00DA2AEA" w:rsidP="00BC1873">
      <w:r>
        <w:separator/>
      </w:r>
    </w:p>
  </w:endnote>
  <w:endnote w:type="continuationSeparator" w:id="0">
    <w:p w14:paraId="170CA69B" w14:textId="77777777" w:rsidR="00DA2AEA" w:rsidRDefault="00DA2AEA" w:rsidP="00BC1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Std-Bold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583EE" w14:textId="77777777" w:rsidR="00DA2AEA" w:rsidRDefault="00DA2AEA" w:rsidP="00BC1873">
      <w:r>
        <w:separator/>
      </w:r>
    </w:p>
  </w:footnote>
  <w:footnote w:type="continuationSeparator" w:id="0">
    <w:p w14:paraId="6FAD5E5F" w14:textId="77777777" w:rsidR="00DA2AEA" w:rsidRDefault="00DA2AEA" w:rsidP="00BC18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02C6F58"/>
    <w:rsid w:val="000D5C35"/>
    <w:rsid w:val="000E1E3C"/>
    <w:rsid w:val="00256F61"/>
    <w:rsid w:val="00363D16"/>
    <w:rsid w:val="003B075F"/>
    <w:rsid w:val="003B4C90"/>
    <w:rsid w:val="00413FF9"/>
    <w:rsid w:val="004E747D"/>
    <w:rsid w:val="00745062"/>
    <w:rsid w:val="00950603"/>
    <w:rsid w:val="009862FD"/>
    <w:rsid w:val="00A344BD"/>
    <w:rsid w:val="00A36BC9"/>
    <w:rsid w:val="00AE0F7C"/>
    <w:rsid w:val="00BC1873"/>
    <w:rsid w:val="00BF5B93"/>
    <w:rsid w:val="00DA2AEA"/>
    <w:rsid w:val="202C6F58"/>
    <w:rsid w:val="690C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ABF78B"/>
  <w15:docId w15:val="{931D4472-25CA-49FC-9662-71B6CD82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rsid w:val="00BC187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C1873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564</Words>
  <Characters>3355</Characters>
  <Application>Microsoft Office Word</Application>
  <DocSecurity>0</DocSecurity>
  <Lines>62</Lines>
  <Paragraphs>9</Paragraphs>
  <ScaleCrop>false</ScaleCrop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</dc:creator>
  <cp:lastModifiedBy>亚利 文</cp:lastModifiedBy>
  <cp:revision>2</cp:revision>
  <dcterms:created xsi:type="dcterms:W3CDTF">2026-04-30T02:43:00Z</dcterms:created>
  <dcterms:modified xsi:type="dcterms:W3CDTF">2026-04-30T02:43:00Z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7EF483C439484F088F3421374B2F771F_11</vt:lpwstr>
  </property>
  <property fmtid="{D5CDD505-2E9C-101B-9397-08002B2CF9AE}" pid="4" name="KSOTemplateDocerSaveRecord">
    <vt:lpwstr>eyJoZGlkIjoiY2Y0YzAyOTIwODk3ZWU4N2M0ZWZhNjBlOTk5MTk2MzMiLCJ1c2VySWQiOiI2ODQyNzE1MDkifQ==</vt:lpwstr>
  </property>
</Properties>
</file>