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3984" w:rsidRDefault="00823BBE">
      <w:r>
        <w:rPr>
          <w:rFonts w:hint="eastAsia"/>
          <w:noProof/>
        </w:rPr>
        <w:drawing>
          <wp:inline distT="0" distB="0" distL="114300" distR="114300">
            <wp:extent cx="5264785" cy="4496435"/>
            <wp:effectExtent l="0" t="0" r="8255" b="14605"/>
            <wp:docPr id="2" name="图片 2" descr="Restricted cubic splines (RCS) analys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Restricted cubic splines (RCS) analysis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449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984" w:rsidRDefault="00823BBE">
      <w:pPr>
        <w:rPr>
          <w:rFonts w:ascii="Arial" w:hAnsi="Arial" w:cs="Arial" w:hint="eastAsia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Supplemental Figure S1</w:t>
      </w:r>
      <w:r>
        <w:rPr>
          <w:rFonts w:ascii="Arial" w:hAnsi="Arial" w:cs="Arial"/>
          <w:b/>
          <w:bCs/>
          <w:sz w:val="20"/>
          <w:szCs w:val="20"/>
        </w:rPr>
        <w:t>:</w:t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Restricted cubic splines (RCS) analysis between SUA/Cr</w:t>
      </w:r>
      <w:r>
        <w:rPr>
          <w:rFonts w:ascii="Arial" w:hAnsi="Arial" w:cs="Arial" w:hint="eastAsia"/>
          <w:sz w:val="20"/>
          <w:szCs w:val="20"/>
        </w:rPr>
        <w:t xml:space="preserve"> per SD</w:t>
      </w:r>
      <w:r>
        <w:rPr>
          <w:rFonts w:ascii="Arial" w:hAnsi="Arial" w:cs="Arial"/>
          <w:sz w:val="20"/>
          <w:szCs w:val="20"/>
        </w:rPr>
        <w:t xml:space="preserve"> and </w:t>
      </w:r>
      <w:proofErr w:type="spellStart"/>
      <w:r>
        <w:rPr>
          <w:rFonts w:ascii="Arial" w:hAnsi="Arial" w:cs="Arial"/>
          <w:sz w:val="20"/>
          <w:szCs w:val="20"/>
        </w:rPr>
        <w:t>sudomotor</w:t>
      </w:r>
      <w:proofErr w:type="spellEnd"/>
      <w:r>
        <w:rPr>
          <w:rFonts w:ascii="Arial" w:hAnsi="Arial" w:cs="Arial"/>
          <w:sz w:val="20"/>
          <w:szCs w:val="20"/>
        </w:rPr>
        <w:t xml:space="preserve"> dysfunction in multivariable-adjusted model.</w:t>
      </w:r>
      <w:r>
        <w:rPr>
          <w:rFonts w:ascii="Arial" w:hAnsi="Arial" w:cs="Arial" w:hint="eastAsia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Multivariable-adjusted model was adjusted for the risk factors including age</w:t>
      </w:r>
      <w:r>
        <w:rPr>
          <w:rFonts w:ascii="Arial" w:hAnsi="Arial" w:cs="Arial" w:hint="eastAsia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 xml:space="preserve">sex, body mass index, </w:t>
      </w:r>
      <w:r>
        <w:rPr>
          <w:rFonts w:ascii="Arial" w:hAnsi="Arial" w:cs="Arial"/>
          <w:sz w:val="20"/>
          <w:szCs w:val="20"/>
        </w:rPr>
        <w:t>diastolic blood pressure, smoking, triglyceride, high-density lipoprotein cholesterol, diabetes duration, and fasting plasma glucose</w:t>
      </w:r>
      <w:r>
        <w:rPr>
          <w:rFonts w:ascii="Arial" w:hAnsi="Arial" w:cs="Arial" w:hint="eastAsia"/>
          <w:sz w:val="20"/>
          <w:szCs w:val="20"/>
        </w:rPr>
        <w:t>.</w:t>
      </w: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 w:rsidP="00B759E2">
      <w:r>
        <w:rPr>
          <w:rFonts w:hint="eastAsia"/>
          <w:noProof/>
        </w:rPr>
        <w:drawing>
          <wp:inline distT="0" distB="0" distL="114300" distR="114300" wp14:anchorId="46B69E76" wp14:editId="66E9E902">
            <wp:extent cx="5272405" cy="5260975"/>
            <wp:effectExtent l="0" t="0" r="635" b="12065"/>
            <wp:docPr id="1" name="图片 1" descr="ROC curve-X三分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ROC curve-X三分类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6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9E2" w:rsidRDefault="00B759E2" w:rsidP="00B759E2">
      <w:pPr>
        <w:rPr>
          <w:rFonts w:ascii="Arial" w:eastAsia="等线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Supplemental Figure </w:t>
      </w:r>
      <w:r>
        <w:rPr>
          <w:rFonts w:ascii="Arial" w:hAnsi="Arial" w:cs="Arial" w:hint="eastAsia"/>
          <w:b/>
          <w:bCs/>
          <w:sz w:val="20"/>
          <w:szCs w:val="20"/>
        </w:rPr>
        <w:t>S2</w:t>
      </w:r>
      <w:r>
        <w:rPr>
          <w:rFonts w:ascii="Arial" w:eastAsia="等线" w:hAnsi="Arial" w:cs="Arial"/>
          <w:b/>
          <w:bCs/>
          <w:kern w:val="0"/>
          <w:sz w:val="20"/>
          <w:szCs w:val="20"/>
        </w:rPr>
        <w:t>:</w:t>
      </w:r>
      <w:r>
        <w:rPr>
          <w:rFonts w:ascii="Arial" w:eastAsia="等线" w:hAnsi="Arial" w:cs="Arial"/>
          <w:b/>
          <w:bCs/>
          <w:kern w:val="0"/>
          <w:sz w:val="20"/>
          <w:szCs w:val="20"/>
          <w:lang w:eastAsia="en-US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Receiver-operating characteristic (ROC) curve analysis for predictive values of SUA/Cr in detecting </w:t>
      </w:r>
      <w:proofErr w:type="spellStart"/>
      <w:r>
        <w:rPr>
          <w:rFonts w:ascii="Arial" w:hAnsi="Arial" w:cs="Arial"/>
          <w:sz w:val="20"/>
          <w:szCs w:val="20"/>
        </w:rPr>
        <w:t>sudomotor</w:t>
      </w:r>
      <w:proofErr w:type="spellEnd"/>
      <w:r>
        <w:rPr>
          <w:rFonts w:ascii="Arial" w:hAnsi="Arial" w:cs="Arial"/>
          <w:sz w:val="20"/>
          <w:szCs w:val="20"/>
        </w:rPr>
        <w:t xml:space="preserve"> dysfunction in </w:t>
      </w:r>
      <w:r>
        <w:rPr>
          <w:szCs w:val="20"/>
        </w:rPr>
        <w:t>patients with T2DM</w:t>
      </w:r>
      <w:r>
        <w:rPr>
          <w:rFonts w:ascii="Arial" w:hAnsi="Arial" w:cs="Arial"/>
          <w:sz w:val="20"/>
          <w:szCs w:val="20"/>
        </w:rPr>
        <w:t>.</w:t>
      </w: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 w:rsidP="00B759E2">
      <w:r>
        <w:rPr>
          <w:rFonts w:hint="eastAsia"/>
          <w:noProof/>
        </w:rPr>
        <w:lastRenderedPageBreak/>
        <w:drawing>
          <wp:inline distT="0" distB="0" distL="114300" distR="114300" wp14:anchorId="2A2EA1A3" wp14:editId="59FBBEBC">
            <wp:extent cx="5266690" cy="3990340"/>
            <wp:effectExtent l="0" t="0" r="6350" b="2540"/>
            <wp:docPr id="3" name="图片 3" descr="calibration performance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alibration performance_0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9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9E2" w:rsidRDefault="00B759E2" w:rsidP="00B759E2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Supplemental Figure </w:t>
      </w:r>
      <w:r>
        <w:rPr>
          <w:rFonts w:ascii="Arial" w:hAnsi="Arial" w:cs="Arial" w:hint="eastAsia"/>
          <w:b/>
          <w:bCs/>
          <w:sz w:val="20"/>
          <w:szCs w:val="20"/>
        </w:rPr>
        <w:t>S3</w:t>
      </w:r>
      <w:r>
        <w:rPr>
          <w:rFonts w:ascii="Arial" w:hAnsi="Arial" w:cs="Arial"/>
          <w:b/>
          <w:bCs/>
          <w:sz w:val="20"/>
          <w:szCs w:val="20"/>
        </w:rPr>
        <w:t>:</w:t>
      </w:r>
      <w:r>
        <w:rPr>
          <w:rFonts w:ascii="Arial" w:hAnsi="Arial" w:cs="Arial"/>
          <w:sz w:val="20"/>
          <w:szCs w:val="20"/>
        </w:rPr>
        <w:t xml:space="preserve"> Calibration Plot of the </w:t>
      </w:r>
      <w:r>
        <w:rPr>
          <w:rFonts w:ascii="Arial" w:hAnsi="Arial" w:cs="Arial" w:hint="eastAsia"/>
          <w:sz w:val="20"/>
          <w:szCs w:val="20"/>
        </w:rPr>
        <w:t>p</w:t>
      </w:r>
      <w:r>
        <w:rPr>
          <w:rFonts w:ascii="Arial" w:hAnsi="Arial" w:cs="Arial"/>
          <w:sz w:val="20"/>
          <w:szCs w:val="20"/>
        </w:rPr>
        <w:t xml:space="preserve">rediction </w:t>
      </w:r>
      <w:r>
        <w:rPr>
          <w:rFonts w:ascii="Arial" w:hAnsi="Arial" w:cs="Arial" w:hint="eastAsia"/>
          <w:sz w:val="20"/>
          <w:szCs w:val="20"/>
        </w:rPr>
        <w:t>m</w:t>
      </w:r>
      <w:r>
        <w:rPr>
          <w:rFonts w:ascii="Arial" w:hAnsi="Arial" w:cs="Arial"/>
          <w:sz w:val="20"/>
          <w:szCs w:val="20"/>
        </w:rPr>
        <w:t xml:space="preserve">odel for </w:t>
      </w:r>
      <w:proofErr w:type="spellStart"/>
      <w:r>
        <w:rPr>
          <w:rFonts w:ascii="Arial" w:hAnsi="Arial" w:cs="Arial" w:hint="eastAsia"/>
          <w:sz w:val="20"/>
          <w:szCs w:val="20"/>
        </w:rPr>
        <w:t>s</w:t>
      </w:r>
      <w:r>
        <w:rPr>
          <w:rFonts w:ascii="Arial" w:hAnsi="Arial" w:cs="Arial"/>
          <w:sz w:val="20"/>
          <w:szCs w:val="20"/>
        </w:rPr>
        <w:t>udomotor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 w:hint="eastAsia"/>
          <w:sz w:val="20"/>
          <w:szCs w:val="20"/>
        </w:rPr>
        <w:t>d</w:t>
      </w:r>
      <w:r>
        <w:rPr>
          <w:rFonts w:ascii="Arial" w:hAnsi="Arial" w:cs="Arial"/>
          <w:sz w:val="20"/>
          <w:szCs w:val="20"/>
        </w:rPr>
        <w:t xml:space="preserve">ysfunction in </w:t>
      </w:r>
      <w:r>
        <w:rPr>
          <w:rFonts w:ascii="Arial" w:hAnsi="Arial" w:cs="Arial" w:hint="eastAsia"/>
          <w:sz w:val="20"/>
          <w:szCs w:val="20"/>
        </w:rPr>
        <w:t>p</w:t>
      </w:r>
      <w:r>
        <w:rPr>
          <w:rFonts w:ascii="Arial" w:hAnsi="Arial" w:cs="Arial"/>
          <w:sz w:val="20"/>
          <w:szCs w:val="20"/>
        </w:rPr>
        <w:t>atients with T2DM</w:t>
      </w:r>
    </w:p>
    <w:p w:rsidR="00B759E2" w:rsidRPr="00B759E2" w:rsidRDefault="00B759E2">
      <w:pPr>
        <w:rPr>
          <w:rFonts w:ascii="Arial" w:hAnsi="Arial" w:cs="Arial" w:hint="eastAsia"/>
          <w:sz w:val="20"/>
          <w:szCs w:val="20"/>
        </w:rPr>
      </w:pPr>
    </w:p>
    <w:p w:rsidR="00B759E2" w:rsidRDefault="00B759E2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>
      <w:pPr>
        <w:rPr>
          <w:rFonts w:ascii="Arial" w:hAnsi="Arial" w:cs="Arial" w:hint="eastAsia"/>
          <w:sz w:val="20"/>
          <w:szCs w:val="20"/>
        </w:rPr>
      </w:pPr>
    </w:p>
    <w:p w:rsidR="00A82346" w:rsidRDefault="00A82346" w:rsidP="00A82346">
      <w:pPr>
        <w:widowControl/>
        <w:spacing w:line="480" w:lineRule="auto"/>
        <w:rPr>
          <w:rFonts w:ascii="Arial" w:hAnsi="Arial" w:cs="Arial"/>
          <w:b/>
          <w:kern w:val="0"/>
          <w:sz w:val="20"/>
        </w:rPr>
      </w:pPr>
      <w:bookmarkStart w:id="0" w:name="_Hlk191246724"/>
      <w:r>
        <w:rPr>
          <w:rFonts w:ascii="Arial" w:hAnsi="Arial" w:cs="Arial"/>
          <w:b/>
          <w:kern w:val="0"/>
          <w:sz w:val="20"/>
        </w:rPr>
        <w:t>T</w:t>
      </w:r>
      <w:r>
        <w:rPr>
          <w:rFonts w:ascii="Arial" w:hAnsi="Arial" w:cs="Arial"/>
          <w:b/>
          <w:kern w:val="0"/>
          <w:sz w:val="20"/>
          <w:lang w:eastAsia="en-US"/>
        </w:rPr>
        <w:t>able S</w:t>
      </w:r>
      <w:r>
        <w:rPr>
          <w:rFonts w:ascii="Arial" w:hAnsi="Arial" w:cs="Arial" w:hint="eastAsia"/>
          <w:b/>
          <w:kern w:val="0"/>
          <w:sz w:val="20"/>
        </w:rPr>
        <w:t>1</w:t>
      </w:r>
      <w:r>
        <w:rPr>
          <w:rFonts w:ascii="Arial" w:hAnsi="Arial" w:cs="Arial"/>
          <w:b/>
          <w:kern w:val="0"/>
          <w:sz w:val="20"/>
          <w:lang w:eastAsia="en-US"/>
        </w:rPr>
        <w:t>. Multicollinearity analysis</w:t>
      </w:r>
      <w:r>
        <w:rPr>
          <w:rFonts w:ascii="Arial" w:hAnsi="Arial" w:cs="Arial"/>
          <w:b/>
          <w:kern w:val="0"/>
          <w:sz w:val="20"/>
        </w:rPr>
        <w:t xml:space="preserve"> for HESC and FESC as dependent variable, respectively</w:t>
      </w:r>
    </w:p>
    <w:p w:rsidR="00A82346" w:rsidRDefault="00A82346" w:rsidP="00A82346">
      <w:pPr>
        <w:widowControl/>
        <w:spacing w:line="480" w:lineRule="auto"/>
        <w:jc w:val="left"/>
        <w:rPr>
          <w:rFonts w:ascii="Arial" w:hAnsi="Arial" w:cs="Arial"/>
          <w:bCs/>
          <w:kern w:val="0"/>
          <w:sz w:val="20"/>
        </w:rPr>
      </w:pPr>
    </w:p>
    <w:tbl>
      <w:tblPr>
        <w:tblW w:w="0" w:type="auto"/>
        <w:tblBorders>
          <w:top w:val="single" w:sz="8" w:space="0" w:color="auto"/>
          <w:bottom w:val="single" w:sz="8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36"/>
        <w:gridCol w:w="946"/>
        <w:gridCol w:w="924"/>
      </w:tblGrid>
      <w:tr w:rsidR="00A82346" w:rsidTr="002D56B9">
        <w:tc>
          <w:tcPr>
            <w:tcW w:w="0" w:type="auto"/>
            <w:vMerge w:val="restart"/>
            <w:tcBorders>
              <w:top w:val="single" w:sz="8" w:space="0" w:color="auto"/>
            </w:tcBorders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/>
                <w:bCs/>
                <w:kern w:val="0"/>
                <w:sz w:val="20"/>
                <w:lang w:eastAsia="en-US"/>
              </w:rPr>
              <w:t>Variable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/>
                <w:bCs/>
                <w:kern w:val="0"/>
                <w:sz w:val="20"/>
              </w:rPr>
              <w:t>HESC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/>
                <w:bCs/>
                <w:kern w:val="0"/>
                <w:sz w:val="20"/>
              </w:rPr>
              <w:t>FESC</w:t>
            </w:r>
          </w:p>
        </w:tc>
      </w:tr>
      <w:tr w:rsidR="00A82346" w:rsidTr="002D56B9">
        <w:tc>
          <w:tcPr>
            <w:tcW w:w="0" w:type="auto"/>
            <w:vMerge/>
            <w:tcBorders>
              <w:bottom w:val="single" w:sz="8" w:space="0" w:color="auto"/>
            </w:tcBorders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/>
                <w:bCs/>
                <w:kern w:val="0"/>
                <w:sz w:val="20"/>
                <w:lang w:eastAsia="en-US"/>
              </w:rPr>
              <w:t>VIF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/>
                <w:bCs/>
                <w:kern w:val="0"/>
                <w:sz w:val="20"/>
                <w:lang w:eastAsia="en-US"/>
              </w:rPr>
              <w:t>VIF</w:t>
            </w:r>
          </w:p>
        </w:tc>
      </w:tr>
      <w:tr w:rsidR="00A82346" w:rsidTr="002D56B9">
        <w:tc>
          <w:tcPr>
            <w:tcW w:w="0" w:type="auto"/>
            <w:tcBorders>
              <w:top w:val="single" w:sz="8" w:space="0" w:color="auto"/>
            </w:tcBorders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</w:rPr>
            </w:pPr>
            <w:r>
              <w:rPr>
                <w:rFonts w:ascii="Arial" w:hAnsi="Arial" w:cs="Arial"/>
                <w:bCs/>
                <w:kern w:val="0"/>
                <w:sz w:val="20"/>
              </w:rPr>
              <w:t>SUA/Cr ratio</w:t>
            </w:r>
          </w:p>
        </w:tc>
        <w:tc>
          <w:tcPr>
            <w:tcW w:w="0" w:type="auto"/>
            <w:tcBorders>
              <w:top w:val="single" w:sz="8" w:space="0" w:color="auto"/>
            </w:tcBorders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1.245</w:t>
            </w:r>
          </w:p>
        </w:tc>
        <w:tc>
          <w:tcPr>
            <w:tcW w:w="0" w:type="auto"/>
            <w:tcBorders>
              <w:top w:val="single" w:sz="8" w:space="0" w:color="auto"/>
            </w:tcBorders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1.245</w:t>
            </w:r>
          </w:p>
        </w:tc>
      </w:tr>
      <w:tr w:rsidR="00A82346" w:rsidTr="002D56B9"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/>
                <w:bCs/>
                <w:kern w:val="0"/>
                <w:sz w:val="20"/>
              </w:rPr>
              <w:t>Age (years)</w:t>
            </w:r>
          </w:p>
        </w:tc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1.535</w:t>
            </w:r>
          </w:p>
        </w:tc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1.535</w:t>
            </w:r>
          </w:p>
        </w:tc>
      </w:tr>
      <w:tr w:rsidR="00A82346" w:rsidTr="002D56B9"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</w:rPr>
            </w:pPr>
            <w:r>
              <w:rPr>
                <w:rFonts w:ascii="Arial" w:hAnsi="Arial" w:cs="Arial"/>
                <w:bCs/>
                <w:kern w:val="0"/>
                <w:sz w:val="20"/>
              </w:rPr>
              <w:t xml:space="preserve">Sex </w:t>
            </w:r>
            <w:r>
              <w:rPr>
                <w:rFonts w:ascii="Arial" w:hAnsi="Arial" w:cs="Arial"/>
                <w:bCs/>
                <w:kern w:val="0"/>
                <w:sz w:val="20"/>
                <w:lang w:eastAsia="en-US"/>
              </w:rPr>
              <w:t>(</w:t>
            </w:r>
            <w:r>
              <w:rPr>
                <w:rFonts w:ascii="Arial" w:hAnsi="Arial" w:cs="Arial"/>
                <w:bCs/>
                <w:kern w:val="0"/>
                <w:sz w:val="20"/>
              </w:rPr>
              <w:t xml:space="preserve">Men, </w:t>
            </w:r>
            <w:r>
              <w:rPr>
                <w:rFonts w:ascii="Arial" w:hAnsi="Arial" w:cs="Arial"/>
                <w:bCs/>
                <w:kern w:val="0"/>
                <w:sz w:val="20"/>
                <w:lang w:eastAsia="en-US"/>
              </w:rPr>
              <w:t>%</w:t>
            </w:r>
            <w:r>
              <w:rPr>
                <w:rFonts w:ascii="Arial" w:hAnsi="Arial" w:cs="Arial"/>
                <w:bCs/>
                <w:kern w:val="0"/>
                <w:sz w:val="20"/>
              </w:rPr>
              <w:t xml:space="preserve"> </w:t>
            </w:r>
            <w:r>
              <w:rPr>
                <w:rFonts w:ascii="Arial" w:hAnsi="Arial" w:cs="Arial"/>
                <w:bCs/>
                <w:kern w:val="0"/>
                <w:sz w:val="20"/>
                <w:lang w:eastAsia="en-US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1.352</w:t>
            </w:r>
          </w:p>
        </w:tc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1.352</w:t>
            </w:r>
          </w:p>
        </w:tc>
      </w:tr>
      <w:tr w:rsidR="00A82346" w:rsidTr="002D56B9"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</w:rPr>
            </w:pPr>
            <w:r>
              <w:rPr>
                <w:rFonts w:ascii="Arial" w:hAnsi="Arial" w:cs="Arial"/>
                <w:bCs/>
                <w:kern w:val="0"/>
                <w:sz w:val="20"/>
              </w:rPr>
              <w:t>Diabetes duration (year)</w:t>
            </w:r>
          </w:p>
        </w:tc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1.326</w:t>
            </w:r>
          </w:p>
        </w:tc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1.326</w:t>
            </w:r>
          </w:p>
        </w:tc>
      </w:tr>
      <w:tr w:rsidR="00A82346" w:rsidTr="002D56B9"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/>
                <w:bCs/>
                <w:kern w:val="0"/>
                <w:sz w:val="20"/>
              </w:rPr>
              <w:t>Body mass index (kg/m2)</w:t>
            </w:r>
          </w:p>
        </w:tc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1.248</w:t>
            </w:r>
          </w:p>
        </w:tc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1.248</w:t>
            </w:r>
          </w:p>
        </w:tc>
      </w:tr>
      <w:tr w:rsidR="00A82346" w:rsidTr="002D56B9"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bookmarkStart w:id="1" w:name="_Hlk165026046"/>
            <w:r>
              <w:rPr>
                <w:rFonts w:ascii="Arial" w:hAnsi="Arial" w:cs="Arial"/>
                <w:bCs/>
                <w:kern w:val="0"/>
                <w:sz w:val="20"/>
              </w:rPr>
              <w:t>Systolic blood pressure</w:t>
            </w:r>
            <w:bookmarkEnd w:id="1"/>
            <w:r>
              <w:rPr>
                <w:rFonts w:ascii="Arial" w:hAnsi="Arial" w:cs="Arial"/>
                <w:bCs/>
                <w:kern w:val="0"/>
                <w:sz w:val="20"/>
              </w:rPr>
              <w:t xml:space="preserve"> (mmHg)</w:t>
            </w:r>
          </w:p>
        </w:tc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1.103</w:t>
            </w:r>
          </w:p>
        </w:tc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1.103</w:t>
            </w:r>
          </w:p>
        </w:tc>
      </w:tr>
      <w:tr w:rsidR="00A82346" w:rsidTr="002D56B9"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/>
                <w:bCs/>
                <w:kern w:val="0"/>
                <w:sz w:val="20"/>
              </w:rPr>
              <w:t>Smoking (%)</w:t>
            </w:r>
          </w:p>
        </w:tc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1.201</w:t>
            </w:r>
          </w:p>
        </w:tc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1.201</w:t>
            </w:r>
          </w:p>
        </w:tc>
      </w:tr>
      <w:tr w:rsidR="00A82346" w:rsidTr="002D56B9"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/>
                <w:bCs/>
                <w:kern w:val="0"/>
                <w:sz w:val="20"/>
              </w:rPr>
              <w:t>Triglycerides (</w:t>
            </w:r>
            <w:proofErr w:type="spellStart"/>
            <w:r>
              <w:rPr>
                <w:rFonts w:ascii="Arial" w:hAnsi="Arial" w:cs="Arial"/>
                <w:bCs/>
                <w:kern w:val="0"/>
                <w:sz w:val="20"/>
              </w:rPr>
              <w:t>mmol</w:t>
            </w:r>
            <w:proofErr w:type="spellEnd"/>
            <w:r>
              <w:rPr>
                <w:rFonts w:ascii="Arial" w:hAnsi="Arial" w:cs="Arial"/>
                <w:bCs/>
                <w:kern w:val="0"/>
                <w:sz w:val="20"/>
              </w:rPr>
              <w:t>/L)</w:t>
            </w:r>
          </w:p>
        </w:tc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1.200</w:t>
            </w:r>
          </w:p>
        </w:tc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1.200</w:t>
            </w:r>
          </w:p>
        </w:tc>
      </w:tr>
      <w:tr w:rsidR="00A82346" w:rsidTr="002D56B9"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/>
                <w:bCs/>
                <w:kern w:val="0"/>
                <w:sz w:val="20"/>
              </w:rPr>
              <w:t>HDL-C (</w:t>
            </w:r>
            <w:proofErr w:type="spellStart"/>
            <w:r>
              <w:rPr>
                <w:rFonts w:ascii="Arial" w:hAnsi="Arial" w:cs="Arial"/>
                <w:bCs/>
                <w:kern w:val="0"/>
                <w:sz w:val="20"/>
              </w:rPr>
              <w:t>mmol</w:t>
            </w:r>
            <w:proofErr w:type="spellEnd"/>
            <w:r>
              <w:rPr>
                <w:rFonts w:ascii="Arial" w:hAnsi="Arial" w:cs="Arial"/>
                <w:bCs/>
                <w:kern w:val="0"/>
                <w:sz w:val="20"/>
              </w:rPr>
              <w:t>/L)</w:t>
            </w:r>
          </w:p>
        </w:tc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1.260</w:t>
            </w:r>
          </w:p>
        </w:tc>
        <w:tc>
          <w:tcPr>
            <w:tcW w:w="0" w:type="auto"/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1.260</w:t>
            </w:r>
          </w:p>
        </w:tc>
      </w:tr>
      <w:tr w:rsidR="00A82346" w:rsidTr="002D56B9">
        <w:tc>
          <w:tcPr>
            <w:tcW w:w="0" w:type="auto"/>
            <w:tcBorders>
              <w:top w:val="nil"/>
              <w:bottom w:val="single" w:sz="8" w:space="0" w:color="auto"/>
            </w:tcBorders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/>
                <w:bCs/>
                <w:kern w:val="0"/>
                <w:sz w:val="20"/>
              </w:rPr>
              <w:t>FPG (</w:t>
            </w:r>
            <w:proofErr w:type="spellStart"/>
            <w:r>
              <w:rPr>
                <w:rFonts w:ascii="Arial" w:hAnsi="Arial" w:cs="Arial"/>
                <w:bCs/>
                <w:kern w:val="0"/>
                <w:sz w:val="20"/>
              </w:rPr>
              <w:t>mmol</w:t>
            </w:r>
            <w:proofErr w:type="spellEnd"/>
            <w:r>
              <w:rPr>
                <w:rFonts w:ascii="Arial" w:hAnsi="Arial" w:cs="Arial"/>
                <w:bCs/>
                <w:kern w:val="0"/>
                <w:sz w:val="20"/>
              </w:rPr>
              <w:t>/L</w:t>
            </w:r>
            <w:r>
              <w:rPr>
                <w:rFonts w:ascii="Arial" w:hAnsi="Arial" w:cs="Arial"/>
                <w:bCs/>
                <w:kern w:val="0"/>
                <w:sz w:val="20"/>
              </w:rPr>
              <w:t>）</w:t>
            </w:r>
          </w:p>
        </w:tc>
        <w:tc>
          <w:tcPr>
            <w:tcW w:w="0" w:type="auto"/>
            <w:tcBorders>
              <w:top w:val="nil"/>
              <w:bottom w:val="single" w:sz="8" w:space="0" w:color="auto"/>
            </w:tcBorders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1.061</w:t>
            </w:r>
          </w:p>
        </w:tc>
        <w:tc>
          <w:tcPr>
            <w:tcW w:w="0" w:type="auto"/>
            <w:tcBorders>
              <w:top w:val="nil"/>
              <w:bottom w:val="single" w:sz="8" w:space="0" w:color="auto"/>
            </w:tcBorders>
            <w:shd w:val="clear" w:color="auto" w:fill="FFFFFF" w:themeFill="background1"/>
            <w:tcMar>
              <w:top w:w="90" w:type="dxa"/>
              <w:left w:w="195" w:type="dxa"/>
              <w:bottom w:w="90" w:type="dxa"/>
              <w:right w:w="195" w:type="dxa"/>
            </w:tcMar>
          </w:tcPr>
          <w:p w:rsidR="00A82346" w:rsidRDefault="00A82346" w:rsidP="002D56B9">
            <w:pPr>
              <w:widowControl/>
              <w:spacing w:line="360" w:lineRule="auto"/>
              <w:jc w:val="left"/>
              <w:rPr>
                <w:rFonts w:ascii="Arial" w:hAnsi="Arial" w:cs="Arial"/>
                <w:bCs/>
                <w:kern w:val="0"/>
                <w:sz w:val="20"/>
                <w:lang w:eastAsia="en-US"/>
              </w:rPr>
            </w:pPr>
            <w:r>
              <w:rPr>
                <w:rFonts w:ascii="Arial" w:hAnsi="Arial" w:cs="Arial" w:hint="eastAsia"/>
                <w:bCs/>
                <w:kern w:val="0"/>
                <w:sz w:val="20"/>
              </w:rPr>
              <w:t>1.061</w:t>
            </w:r>
          </w:p>
        </w:tc>
      </w:tr>
    </w:tbl>
    <w:bookmarkEnd w:id="0"/>
    <w:p w:rsidR="00A82346" w:rsidRDefault="00A82346" w:rsidP="00A82346">
      <w:pPr>
        <w:widowControl/>
        <w:spacing w:line="480" w:lineRule="auto"/>
        <w:jc w:val="left"/>
        <w:rPr>
          <w:rFonts w:ascii="Arial" w:hAnsi="Arial" w:cs="Arial"/>
          <w:bCs/>
          <w:kern w:val="0"/>
          <w:sz w:val="20"/>
        </w:rPr>
      </w:pPr>
      <w:r>
        <w:rPr>
          <w:rFonts w:ascii="Arial" w:hAnsi="Arial" w:cs="Arial"/>
          <w:bCs/>
          <w:kern w:val="0"/>
          <w:sz w:val="20"/>
          <w:lang w:eastAsia="en-US"/>
        </w:rPr>
        <w:t>A VIF value exceeding 5 indicates potential multicollinearity.</w:t>
      </w:r>
      <w:r>
        <w:rPr>
          <w:rFonts w:ascii="Arial" w:hAnsi="Arial" w:cs="Arial"/>
          <w:bCs/>
          <w:kern w:val="0"/>
          <w:sz w:val="20"/>
        </w:rPr>
        <w:t xml:space="preserve"> HESC, hand electrochemical skin conductance; FESC, foot electrochemical skin conductance; SUA, </w:t>
      </w:r>
      <w:r>
        <w:rPr>
          <w:rFonts w:ascii="Arial" w:hAnsi="Arial" w:cs="Arial"/>
          <w:bCs/>
          <w:kern w:val="0"/>
          <w:sz w:val="20"/>
          <w:lang w:eastAsia="en-US"/>
        </w:rPr>
        <w:t>serum uric acid</w:t>
      </w:r>
      <w:r>
        <w:rPr>
          <w:rFonts w:ascii="Arial" w:hAnsi="Arial" w:cs="Arial"/>
          <w:bCs/>
          <w:kern w:val="0"/>
          <w:sz w:val="20"/>
        </w:rPr>
        <w:t>; Cr, c</w:t>
      </w:r>
      <w:r>
        <w:rPr>
          <w:rFonts w:ascii="Arial" w:hAnsi="Arial" w:cs="Arial"/>
          <w:bCs/>
          <w:kern w:val="0"/>
          <w:sz w:val="20"/>
          <w:lang w:eastAsia="en-US"/>
        </w:rPr>
        <w:t>reatinine</w:t>
      </w:r>
      <w:r>
        <w:rPr>
          <w:rFonts w:ascii="Arial" w:hAnsi="Arial" w:cs="Arial"/>
          <w:bCs/>
          <w:kern w:val="0"/>
          <w:sz w:val="20"/>
        </w:rPr>
        <w:t>; HDL-C, high-density lipoprotein cholesterol; FPG, fasting plasma glucose</w:t>
      </w:r>
      <w:r>
        <w:rPr>
          <w:rFonts w:ascii="Arial" w:hAnsi="Arial" w:cs="Arial" w:hint="eastAsia"/>
          <w:bCs/>
          <w:kern w:val="0"/>
          <w:sz w:val="20"/>
        </w:rPr>
        <w:t>.</w:t>
      </w:r>
    </w:p>
    <w:p w:rsidR="00B759E2" w:rsidRDefault="00B759E2">
      <w:pPr>
        <w:rPr>
          <w:rFonts w:ascii="Arial" w:hAnsi="Arial" w:cs="Arial"/>
          <w:sz w:val="20"/>
          <w:szCs w:val="20"/>
        </w:rPr>
      </w:pPr>
      <w:bookmarkStart w:id="2" w:name="_GoBack"/>
      <w:bookmarkEnd w:id="2"/>
    </w:p>
    <w:sectPr w:rsidR="00B759E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23BBE" w:rsidRDefault="00823BBE" w:rsidP="00B759E2">
      <w:r>
        <w:separator/>
      </w:r>
    </w:p>
  </w:endnote>
  <w:endnote w:type="continuationSeparator" w:id="0">
    <w:p w:rsidR="00823BBE" w:rsidRDefault="00823BBE" w:rsidP="00B759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23BBE" w:rsidRDefault="00823BBE" w:rsidP="00B759E2">
      <w:r>
        <w:separator/>
      </w:r>
    </w:p>
  </w:footnote>
  <w:footnote w:type="continuationSeparator" w:id="0">
    <w:p w:rsidR="00823BBE" w:rsidRDefault="00823BBE" w:rsidP="00B759E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3984"/>
    <w:rsid w:val="00823BBE"/>
    <w:rsid w:val="00A82346"/>
    <w:rsid w:val="00B759E2"/>
    <w:rsid w:val="00E33984"/>
    <w:rsid w:val="2AC619A1"/>
    <w:rsid w:val="6DE051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B759E2"/>
    <w:rPr>
      <w:sz w:val="18"/>
      <w:szCs w:val="18"/>
    </w:rPr>
  </w:style>
  <w:style w:type="character" w:customStyle="1" w:styleId="Char">
    <w:name w:val="批注框文本 Char"/>
    <w:basedOn w:val="a0"/>
    <w:link w:val="a3"/>
    <w:rsid w:val="00B759E2"/>
    <w:rPr>
      <w:kern w:val="2"/>
      <w:sz w:val="18"/>
      <w:szCs w:val="18"/>
    </w:rPr>
  </w:style>
  <w:style w:type="paragraph" w:styleId="a4">
    <w:name w:val="header"/>
    <w:basedOn w:val="a"/>
    <w:link w:val="Char0"/>
    <w:rsid w:val="00B759E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B759E2"/>
    <w:rPr>
      <w:kern w:val="2"/>
      <w:sz w:val="18"/>
      <w:szCs w:val="18"/>
    </w:rPr>
  </w:style>
  <w:style w:type="paragraph" w:styleId="a5">
    <w:name w:val="footer"/>
    <w:basedOn w:val="a"/>
    <w:link w:val="Char1"/>
    <w:rsid w:val="00B759E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rsid w:val="00B759E2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B759E2"/>
    <w:rPr>
      <w:sz w:val="18"/>
      <w:szCs w:val="18"/>
    </w:rPr>
  </w:style>
  <w:style w:type="character" w:customStyle="1" w:styleId="Char">
    <w:name w:val="批注框文本 Char"/>
    <w:basedOn w:val="a0"/>
    <w:link w:val="a3"/>
    <w:rsid w:val="00B759E2"/>
    <w:rPr>
      <w:kern w:val="2"/>
      <w:sz w:val="18"/>
      <w:szCs w:val="18"/>
    </w:rPr>
  </w:style>
  <w:style w:type="paragraph" w:styleId="a4">
    <w:name w:val="header"/>
    <w:basedOn w:val="a"/>
    <w:link w:val="Char0"/>
    <w:rsid w:val="00B759E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B759E2"/>
    <w:rPr>
      <w:kern w:val="2"/>
      <w:sz w:val="18"/>
      <w:szCs w:val="18"/>
    </w:rPr>
  </w:style>
  <w:style w:type="paragraph" w:styleId="a5">
    <w:name w:val="footer"/>
    <w:basedOn w:val="a"/>
    <w:link w:val="Char1"/>
    <w:rsid w:val="00B759E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rsid w:val="00B759E2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211</Words>
  <Characters>1209</Characters>
  <Application>Microsoft Office Word</Application>
  <DocSecurity>0</DocSecurity>
  <Lines>10</Lines>
  <Paragraphs>2</Paragraphs>
  <ScaleCrop>false</ScaleCrop>
  <Company/>
  <LinksUpToDate>false</LinksUpToDate>
  <CharactersWithSpaces>1418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Thinkpad</dc:creator>
  <cp:lastModifiedBy>shansheep</cp:lastModifiedBy>
  <cp:revision>3</cp:revision>
  <dcterms:created xsi:type="dcterms:W3CDTF">2025-11-22T15:04:00Z</dcterms:created>
  <dcterms:modified xsi:type="dcterms:W3CDTF">2025-12-02T02:04:00Z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eyJoZGlkIjoiMmJmM2RjMjRmYWVmZWZhOGJhMWY5OTQ0Nzk5OWQzZGEiLCJ1c2VySWQiOiIyMzgxNjc1ODAifQ==</vt:lpwstr>
  </property>
  <property fmtid="{D5CDD505-2E9C-101B-9397-08002B2CF9AE}" pid="4" name="ICV">
    <vt:lpwstr>E5F08FEAE0E949318928512EACBB272D_12</vt:lpwstr>
  </property>
</Properties>
</file>