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4F32" w14:textId="16506BEE" w:rsidR="00B55782" w:rsidRPr="00DA6191" w:rsidRDefault="006526E9" w:rsidP="000D68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Table 1</w:t>
      </w:r>
      <w:r w:rsidR="000D689C" w:rsidRPr="00DA6191">
        <w:rPr>
          <w:rFonts w:ascii="Arial" w:hAnsi="Arial" w:cs="Arial"/>
          <w:sz w:val="20"/>
          <w:szCs w:val="20"/>
        </w:rPr>
        <w:t>. Full descriptive statistics and group comparisons of coping strategies according to anxiety, depression, disease impact, and dyspnea severity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120"/>
        <w:gridCol w:w="787"/>
        <w:gridCol w:w="1188"/>
        <w:gridCol w:w="1569"/>
        <w:gridCol w:w="824"/>
        <w:gridCol w:w="1000"/>
        <w:gridCol w:w="1350"/>
      </w:tblGrid>
      <w:tr w:rsidR="000D689C" w:rsidRPr="00DA6191" w14:paraId="7A77321E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223F054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Grouping variable</w:t>
            </w:r>
          </w:p>
        </w:tc>
        <w:tc>
          <w:tcPr>
            <w:tcW w:w="1134" w:type="dxa"/>
            <w:noWrap/>
            <w:hideMark/>
          </w:tcPr>
          <w:p w14:paraId="66BA33A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796" w:type="dxa"/>
            <w:noWrap/>
            <w:hideMark/>
          </w:tcPr>
          <w:p w14:paraId="105C9D1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03" w:type="dxa"/>
            <w:noWrap/>
            <w:hideMark/>
          </w:tcPr>
          <w:p w14:paraId="4C02FB6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Mean ± SD / Median (IQR)</w:t>
            </w:r>
          </w:p>
        </w:tc>
        <w:tc>
          <w:tcPr>
            <w:tcW w:w="1519" w:type="dxa"/>
            <w:noWrap/>
            <w:hideMark/>
          </w:tcPr>
          <w:p w14:paraId="29748BC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Test statistic (df)</w:t>
            </w:r>
          </w:p>
        </w:tc>
        <w:tc>
          <w:tcPr>
            <w:tcW w:w="827" w:type="dxa"/>
            <w:noWrap/>
            <w:hideMark/>
          </w:tcPr>
          <w:p w14:paraId="7722D21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  <w:tc>
          <w:tcPr>
            <w:tcW w:w="971" w:type="dxa"/>
            <w:noWrap/>
            <w:hideMark/>
          </w:tcPr>
          <w:p w14:paraId="0DE3A2A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Effect size (η² / ε²)</w:t>
            </w:r>
          </w:p>
        </w:tc>
        <w:tc>
          <w:tcPr>
            <w:tcW w:w="1368" w:type="dxa"/>
            <w:noWrap/>
            <w:hideMark/>
          </w:tcPr>
          <w:p w14:paraId="70E41E9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Post-hoc differences</w:t>
            </w:r>
          </w:p>
        </w:tc>
      </w:tr>
      <w:tr w:rsidR="000D689C" w:rsidRPr="00DA6191" w14:paraId="1FD2AEB2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49CA950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HADS-A – Avoidant coping</w:t>
            </w:r>
          </w:p>
        </w:tc>
        <w:tc>
          <w:tcPr>
            <w:tcW w:w="1134" w:type="dxa"/>
            <w:noWrap/>
            <w:hideMark/>
          </w:tcPr>
          <w:p w14:paraId="7BC3BED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796" w:type="dxa"/>
            <w:noWrap/>
            <w:hideMark/>
          </w:tcPr>
          <w:p w14:paraId="1F7D897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03" w:type="dxa"/>
            <w:noWrap/>
            <w:hideMark/>
          </w:tcPr>
          <w:p w14:paraId="2E0F4CC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20.0 (19.0–21.0)</w:t>
            </w:r>
          </w:p>
        </w:tc>
        <w:tc>
          <w:tcPr>
            <w:tcW w:w="1519" w:type="dxa"/>
            <w:noWrap/>
            <w:hideMark/>
          </w:tcPr>
          <w:p w14:paraId="1C026BF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χ²(2)=0.298</w:t>
            </w:r>
          </w:p>
        </w:tc>
        <w:tc>
          <w:tcPr>
            <w:tcW w:w="827" w:type="dxa"/>
            <w:noWrap/>
            <w:hideMark/>
          </w:tcPr>
          <w:p w14:paraId="23F53A4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0.858</w:t>
            </w:r>
          </w:p>
        </w:tc>
        <w:tc>
          <w:tcPr>
            <w:tcW w:w="971" w:type="dxa"/>
            <w:noWrap/>
            <w:hideMark/>
          </w:tcPr>
          <w:p w14:paraId="11CA65B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 = 0.003</w:t>
            </w:r>
          </w:p>
        </w:tc>
        <w:tc>
          <w:tcPr>
            <w:tcW w:w="1368" w:type="dxa"/>
            <w:noWrap/>
            <w:hideMark/>
          </w:tcPr>
          <w:p w14:paraId="1CAC7A0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2F3CF94C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7084AD1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F04D2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Borderline</w:t>
            </w:r>
          </w:p>
        </w:tc>
        <w:tc>
          <w:tcPr>
            <w:tcW w:w="796" w:type="dxa"/>
            <w:noWrap/>
            <w:hideMark/>
          </w:tcPr>
          <w:p w14:paraId="19CD95A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03" w:type="dxa"/>
            <w:noWrap/>
            <w:hideMark/>
          </w:tcPr>
          <w:p w14:paraId="7EF4285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20.5 (19.0–21.0)</w:t>
            </w:r>
          </w:p>
        </w:tc>
        <w:tc>
          <w:tcPr>
            <w:tcW w:w="1519" w:type="dxa"/>
            <w:noWrap/>
            <w:hideMark/>
          </w:tcPr>
          <w:p w14:paraId="77BCCD0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21115DC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324780F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7C2B969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00EECB95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5134956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95369A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Abnormal</w:t>
            </w:r>
          </w:p>
        </w:tc>
        <w:tc>
          <w:tcPr>
            <w:tcW w:w="796" w:type="dxa"/>
            <w:noWrap/>
            <w:hideMark/>
          </w:tcPr>
          <w:p w14:paraId="4008129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3" w:type="dxa"/>
            <w:noWrap/>
            <w:hideMark/>
          </w:tcPr>
          <w:p w14:paraId="10BE012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20.0 (19.0–23.0)</w:t>
            </w:r>
          </w:p>
        </w:tc>
        <w:tc>
          <w:tcPr>
            <w:tcW w:w="1519" w:type="dxa"/>
            <w:noWrap/>
            <w:hideMark/>
          </w:tcPr>
          <w:p w14:paraId="643FD86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005E35C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3941A98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71237A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3C4BFE34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6404BD8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HADS-A – Emotion-focused coping</w:t>
            </w:r>
          </w:p>
        </w:tc>
        <w:tc>
          <w:tcPr>
            <w:tcW w:w="1134" w:type="dxa"/>
            <w:noWrap/>
            <w:hideMark/>
          </w:tcPr>
          <w:p w14:paraId="24E829A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796" w:type="dxa"/>
            <w:noWrap/>
            <w:hideMark/>
          </w:tcPr>
          <w:p w14:paraId="7991EA4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03" w:type="dxa"/>
            <w:noWrap/>
            <w:hideMark/>
          </w:tcPr>
          <w:p w14:paraId="6DD5184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25.0 (24.0–28.0)</w:t>
            </w:r>
          </w:p>
        </w:tc>
        <w:tc>
          <w:tcPr>
            <w:tcW w:w="1519" w:type="dxa"/>
            <w:noWrap/>
            <w:hideMark/>
          </w:tcPr>
          <w:p w14:paraId="23124DD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χ²(2)=5.375</w:t>
            </w:r>
          </w:p>
        </w:tc>
        <w:tc>
          <w:tcPr>
            <w:tcW w:w="827" w:type="dxa"/>
            <w:noWrap/>
            <w:hideMark/>
          </w:tcPr>
          <w:p w14:paraId="1041F5E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0.066</w:t>
            </w:r>
          </w:p>
        </w:tc>
        <w:tc>
          <w:tcPr>
            <w:tcW w:w="971" w:type="dxa"/>
            <w:noWrap/>
            <w:hideMark/>
          </w:tcPr>
          <w:p w14:paraId="4D84220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 = 0.058</w:t>
            </w:r>
          </w:p>
        </w:tc>
        <w:tc>
          <w:tcPr>
            <w:tcW w:w="1368" w:type="dxa"/>
            <w:noWrap/>
            <w:hideMark/>
          </w:tcPr>
          <w:p w14:paraId="6119F80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405EDFD2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4A63E17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4CC69A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Borderline</w:t>
            </w:r>
          </w:p>
        </w:tc>
        <w:tc>
          <w:tcPr>
            <w:tcW w:w="796" w:type="dxa"/>
            <w:noWrap/>
            <w:hideMark/>
          </w:tcPr>
          <w:p w14:paraId="60FD9E4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03" w:type="dxa"/>
            <w:noWrap/>
            <w:hideMark/>
          </w:tcPr>
          <w:p w14:paraId="7CAD102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24.0 (22.0–26.0)</w:t>
            </w:r>
          </w:p>
        </w:tc>
        <w:tc>
          <w:tcPr>
            <w:tcW w:w="1519" w:type="dxa"/>
            <w:noWrap/>
            <w:hideMark/>
          </w:tcPr>
          <w:p w14:paraId="1652BC7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7F15999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7AB3218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451B38C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78D26B2D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12BD62D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85ACF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Abnormal</w:t>
            </w:r>
          </w:p>
        </w:tc>
        <w:tc>
          <w:tcPr>
            <w:tcW w:w="796" w:type="dxa"/>
            <w:noWrap/>
            <w:hideMark/>
          </w:tcPr>
          <w:p w14:paraId="514A72C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3" w:type="dxa"/>
            <w:noWrap/>
            <w:hideMark/>
          </w:tcPr>
          <w:p w14:paraId="3022025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24.0 (20.75–25.25)</w:t>
            </w:r>
          </w:p>
        </w:tc>
        <w:tc>
          <w:tcPr>
            <w:tcW w:w="1519" w:type="dxa"/>
            <w:noWrap/>
            <w:hideMark/>
          </w:tcPr>
          <w:p w14:paraId="23C10A2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FAFD46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577584B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5271F50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3DE52F25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3B66A8C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HADS-A – Problem-focused coping</w:t>
            </w:r>
          </w:p>
        </w:tc>
        <w:tc>
          <w:tcPr>
            <w:tcW w:w="1134" w:type="dxa"/>
            <w:noWrap/>
            <w:hideMark/>
          </w:tcPr>
          <w:p w14:paraId="6C66289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796" w:type="dxa"/>
            <w:noWrap/>
            <w:hideMark/>
          </w:tcPr>
          <w:p w14:paraId="262F450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03" w:type="dxa"/>
            <w:noWrap/>
            <w:hideMark/>
          </w:tcPr>
          <w:p w14:paraId="7E78DFA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28.5 (27.0–32.0)</w:t>
            </w:r>
          </w:p>
        </w:tc>
        <w:tc>
          <w:tcPr>
            <w:tcW w:w="1519" w:type="dxa"/>
            <w:noWrap/>
            <w:hideMark/>
          </w:tcPr>
          <w:p w14:paraId="7E292B5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χ²(2)=5.081</w:t>
            </w:r>
          </w:p>
        </w:tc>
        <w:tc>
          <w:tcPr>
            <w:tcW w:w="827" w:type="dxa"/>
            <w:noWrap/>
            <w:hideMark/>
          </w:tcPr>
          <w:p w14:paraId="0C71680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0.076</w:t>
            </w:r>
          </w:p>
        </w:tc>
        <w:tc>
          <w:tcPr>
            <w:tcW w:w="971" w:type="dxa"/>
            <w:noWrap/>
            <w:hideMark/>
          </w:tcPr>
          <w:p w14:paraId="75B094E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 = 0.055</w:t>
            </w:r>
          </w:p>
        </w:tc>
        <w:tc>
          <w:tcPr>
            <w:tcW w:w="1368" w:type="dxa"/>
            <w:noWrap/>
            <w:hideMark/>
          </w:tcPr>
          <w:p w14:paraId="124D633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583E6700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1C4E6E5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7EAE50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Borderline</w:t>
            </w:r>
          </w:p>
        </w:tc>
        <w:tc>
          <w:tcPr>
            <w:tcW w:w="796" w:type="dxa"/>
            <w:noWrap/>
            <w:hideMark/>
          </w:tcPr>
          <w:p w14:paraId="596121F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03" w:type="dxa"/>
            <w:noWrap/>
            <w:hideMark/>
          </w:tcPr>
          <w:p w14:paraId="7E602A0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28.0 (26.0–29.0)</w:t>
            </w:r>
          </w:p>
        </w:tc>
        <w:tc>
          <w:tcPr>
            <w:tcW w:w="1519" w:type="dxa"/>
            <w:noWrap/>
            <w:hideMark/>
          </w:tcPr>
          <w:p w14:paraId="4A39956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1E256D4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1CDD327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6CE6405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6D3403FD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6D02435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ADE405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Abnormal</w:t>
            </w:r>
          </w:p>
        </w:tc>
        <w:tc>
          <w:tcPr>
            <w:tcW w:w="796" w:type="dxa"/>
            <w:noWrap/>
            <w:hideMark/>
          </w:tcPr>
          <w:p w14:paraId="0B580F0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3" w:type="dxa"/>
            <w:noWrap/>
            <w:hideMark/>
          </w:tcPr>
          <w:p w14:paraId="4C45077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27.0 (25.75–27.5)</w:t>
            </w:r>
          </w:p>
        </w:tc>
        <w:tc>
          <w:tcPr>
            <w:tcW w:w="1519" w:type="dxa"/>
            <w:noWrap/>
            <w:hideMark/>
          </w:tcPr>
          <w:p w14:paraId="0F3D03A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2C0FA5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30501CE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0C712F6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33DCABEE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7F89F9F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lastRenderedPageBreak/>
              <w:t>HADS-D – Avoidant coping</w:t>
            </w:r>
          </w:p>
        </w:tc>
        <w:tc>
          <w:tcPr>
            <w:tcW w:w="1134" w:type="dxa"/>
            <w:noWrap/>
            <w:hideMark/>
          </w:tcPr>
          <w:p w14:paraId="6B48737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796" w:type="dxa"/>
            <w:noWrap/>
            <w:hideMark/>
          </w:tcPr>
          <w:p w14:paraId="55838A1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03" w:type="dxa"/>
            <w:noWrap/>
            <w:hideMark/>
          </w:tcPr>
          <w:p w14:paraId="325605D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20.0 (19.0–21.0)</w:t>
            </w:r>
          </w:p>
        </w:tc>
        <w:tc>
          <w:tcPr>
            <w:tcW w:w="1519" w:type="dxa"/>
            <w:noWrap/>
            <w:hideMark/>
          </w:tcPr>
          <w:p w14:paraId="292B401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χ²(2)=0.298</w:t>
            </w:r>
          </w:p>
        </w:tc>
        <w:tc>
          <w:tcPr>
            <w:tcW w:w="827" w:type="dxa"/>
            <w:noWrap/>
            <w:hideMark/>
          </w:tcPr>
          <w:p w14:paraId="7B462ED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0.858</w:t>
            </w:r>
          </w:p>
        </w:tc>
        <w:tc>
          <w:tcPr>
            <w:tcW w:w="971" w:type="dxa"/>
            <w:noWrap/>
            <w:hideMark/>
          </w:tcPr>
          <w:p w14:paraId="4E7F8CF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 = 0.003</w:t>
            </w:r>
          </w:p>
        </w:tc>
        <w:tc>
          <w:tcPr>
            <w:tcW w:w="1368" w:type="dxa"/>
            <w:noWrap/>
            <w:hideMark/>
          </w:tcPr>
          <w:p w14:paraId="0E50265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6BA150DA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33BCA3C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E2D1D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Borderline</w:t>
            </w:r>
          </w:p>
        </w:tc>
        <w:tc>
          <w:tcPr>
            <w:tcW w:w="796" w:type="dxa"/>
            <w:noWrap/>
            <w:hideMark/>
          </w:tcPr>
          <w:p w14:paraId="269A18A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03" w:type="dxa"/>
            <w:noWrap/>
            <w:hideMark/>
          </w:tcPr>
          <w:p w14:paraId="00B1755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20.5 (19.0–21.0)</w:t>
            </w:r>
          </w:p>
        </w:tc>
        <w:tc>
          <w:tcPr>
            <w:tcW w:w="1519" w:type="dxa"/>
            <w:noWrap/>
            <w:hideMark/>
          </w:tcPr>
          <w:p w14:paraId="32EEA7C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08A740B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136B173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0E659F6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2E10EBF9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26A7AB4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6195A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Abnormal</w:t>
            </w:r>
          </w:p>
        </w:tc>
        <w:tc>
          <w:tcPr>
            <w:tcW w:w="796" w:type="dxa"/>
            <w:noWrap/>
            <w:hideMark/>
          </w:tcPr>
          <w:p w14:paraId="7FB64A7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3" w:type="dxa"/>
            <w:noWrap/>
            <w:hideMark/>
          </w:tcPr>
          <w:p w14:paraId="0F5345D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20.0 (19.0–23.0)</w:t>
            </w:r>
          </w:p>
        </w:tc>
        <w:tc>
          <w:tcPr>
            <w:tcW w:w="1519" w:type="dxa"/>
            <w:noWrap/>
            <w:hideMark/>
          </w:tcPr>
          <w:p w14:paraId="08AB332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2AD553A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54F6FF4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2ABA62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5015D59C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5A397AD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HADS-D – Emotion-focused coping</w:t>
            </w:r>
          </w:p>
        </w:tc>
        <w:tc>
          <w:tcPr>
            <w:tcW w:w="1134" w:type="dxa"/>
            <w:noWrap/>
            <w:hideMark/>
          </w:tcPr>
          <w:p w14:paraId="6A2A333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796" w:type="dxa"/>
            <w:noWrap/>
            <w:hideMark/>
          </w:tcPr>
          <w:p w14:paraId="6FFCA0A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03" w:type="dxa"/>
            <w:noWrap/>
            <w:hideMark/>
          </w:tcPr>
          <w:p w14:paraId="49ABD2F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25.0 (24.0–28.0)</w:t>
            </w:r>
          </w:p>
        </w:tc>
        <w:tc>
          <w:tcPr>
            <w:tcW w:w="1519" w:type="dxa"/>
            <w:noWrap/>
            <w:hideMark/>
          </w:tcPr>
          <w:p w14:paraId="5FC89B9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χ²(2)=5.375</w:t>
            </w:r>
          </w:p>
        </w:tc>
        <w:tc>
          <w:tcPr>
            <w:tcW w:w="827" w:type="dxa"/>
            <w:noWrap/>
            <w:hideMark/>
          </w:tcPr>
          <w:p w14:paraId="2E064F4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0.066</w:t>
            </w:r>
          </w:p>
        </w:tc>
        <w:tc>
          <w:tcPr>
            <w:tcW w:w="971" w:type="dxa"/>
            <w:noWrap/>
            <w:hideMark/>
          </w:tcPr>
          <w:p w14:paraId="431CBCB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 = 0.058</w:t>
            </w:r>
          </w:p>
        </w:tc>
        <w:tc>
          <w:tcPr>
            <w:tcW w:w="1368" w:type="dxa"/>
            <w:noWrap/>
            <w:hideMark/>
          </w:tcPr>
          <w:p w14:paraId="4081D6A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3956E015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70B099E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0E64F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Borderline</w:t>
            </w:r>
          </w:p>
        </w:tc>
        <w:tc>
          <w:tcPr>
            <w:tcW w:w="796" w:type="dxa"/>
            <w:noWrap/>
            <w:hideMark/>
          </w:tcPr>
          <w:p w14:paraId="3D44AE1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03" w:type="dxa"/>
            <w:noWrap/>
            <w:hideMark/>
          </w:tcPr>
          <w:p w14:paraId="0ED7E8C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24.0 (22.0–26.0)</w:t>
            </w:r>
          </w:p>
        </w:tc>
        <w:tc>
          <w:tcPr>
            <w:tcW w:w="1519" w:type="dxa"/>
            <w:noWrap/>
            <w:hideMark/>
          </w:tcPr>
          <w:p w14:paraId="0C09B8C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6C02F47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4868BC2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75076FB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314726FB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54DF5C7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EB557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Abnormal</w:t>
            </w:r>
          </w:p>
        </w:tc>
        <w:tc>
          <w:tcPr>
            <w:tcW w:w="796" w:type="dxa"/>
            <w:noWrap/>
            <w:hideMark/>
          </w:tcPr>
          <w:p w14:paraId="3A398E7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3" w:type="dxa"/>
            <w:noWrap/>
            <w:hideMark/>
          </w:tcPr>
          <w:p w14:paraId="4D1B50D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24.0 (20.75–25.25)</w:t>
            </w:r>
          </w:p>
        </w:tc>
        <w:tc>
          <w:tcPr>
            <w:tcW w:w="1519" w:type="dxa"/>
            <w:noWrap/>
            <w:hideMark/>
          </w:tcPr>
          <w:p w14:paraId="2BF8E0E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05D902D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714ED4C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7846055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6D04048F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11AF3F5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HADS-D – Problem-focused coping</w:t>
            </w:r>
          </w:p>
        </w:tc>
        <w:tc>
          <w:tcPr>
            <w:tcW w:w="1134" w:type="dxa"/>
            <w:noWrap/>
            <w:hideMark/>
          </w:tcPr>
          <w:p w14:paraId="0B1D52A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796" w:type="dxa"/>
            <w:noWrap/>
            <w:hideMark/>
          </w:tcPr>
          <w:p w14:paraId="7EF9BCE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03" w:type="dxa"/>
            <w:noWrap/>
            <w:hideMark/>
          </w:tcPr>
          <w:p w14:paraId="4DD0754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28.5 (27.0–32.0)</w:t>
            </w:r>
          </w:p>
        </w:tc>
        <w:tc>
          <w:tcPr>
            <w:tcW w:w="1519" w:type="dxa"/>
            <w:noWrap/>
            <w:hideMark/>
          </w:tcPr>
          <w:p w14:paraId="5131228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χ²(2)=5.081</w:t>
            </w:r>
          </w:p>
        </w:tc>
        <w:tc>
          <w:tcPr>
            <w:tcW w:w="827" w:type="dxa"/>
            <w:noWrap/>
            <w:hideMark/>
          </w:tcPr>
          <w:p w14:paraId="650766A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0.076</w:t>
            </w:r>
          </w:p>
        </w:tc>
        <w:tc>
          <w:tcPr>
            <w:tcW w:w="971" w:type="dxa"/>
            <w:noWrap/>
            <w:hideMark/>
          </w:tcPr>
          <w:p w14:paraId="67FA9A1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 = 0.055</w:t>
            </w:r>
          </w:p>
        </w:tc>
        <w:tc>
          <w:tcPr>
            <w:tcW w:w="1368" w:type="dxa"/>
            <w:noWrap/>
            <w:hideMark/>
          </w:tcPr>
          <w:p w14:paraId="13F65AB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6987EBE6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4E2FE47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5CDFF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Borderline</w:t>
            </w:r>
          </w:p>
        </w:tc>
        <w:tc>
          <w:tcPr>
            <w:tcW w:w="796" w:type="dxa"/>
            <w:noWrap/>
            <w:hideMark/>
          </w:tcPr>
          <w:p w14:paraId="6C097AD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03" w:type="dxa"/>
            <w:noWrap/>
            <w:hideMark/>
          </w:tcPr>
          <w:p w14:paraId="42BAA86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28.0 (26.0–29.0)</w:t>
            </w:r>
          </w:p>
        </w:tc>
        <w:tc>
          <w:tcPr>
            <w:tcW w:w="1519" w:type="dxa"/>
            <w:noWrap/>
            <w:hideMark/>
          </w:tcPr>
          <w:p w14:paraId="0DDC567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58ED9FD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2F19028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6D8384B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1F4611FA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1E71BB0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21120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Abnormal</w:t>
            </w:r>
          </w:p>
        </w:tc>
        <w:tc>
          <w:tcPr>
            <w:tcW w:w="796" w:type="dxa"/>
            <w:noWrap/>
            <w:hideMark/>
          </w:tcPr>
          <w:p w14:paraId="6BBC59A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03" w:type="dxa"/>
            <w:noWrap/>
            <w:hideMark/>
          </w:tcPr>
          <w:p w14:paraId="33C8125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27.0 (25.75–27.5)</w:t>
            </w:r>
          </w:p>
        </w:tc>
        <w:tc>
          <w:tcPr>
            <w:tcW w:w="1519" w:type="dxa"/>
            <w:noWrap/>
            <w:hideMark/>
          </w:tcPr>
          <w:p w14:paraId="1D756AB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C8B4AF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46C7BBD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777D5C2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6632BD62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5E2C5F6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CAT – Avoidant coping</w:t>
            </w:r>
          </w:p>
        </w:tc>
        <w:tc>
          <w:tcPr>
            <w:tcW w:w="1134" w:type="dxa"/>
            <w:noWrap/>
            <w:hideMark/>
          </w:tcPr>
          <w:p w14:paraId="6754425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Medium impact</w:t>
            </w:r>
          </w:p>
        </w:tc>
        <w:tc>
          <w:tcPr>
            <w:tcW w:w="796" w:type="dxa"/>
            <w:noWrap/>
            <w:hideMark/>
          </w:tcPr>
          <w:p w14:paraId="2680DFB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03" w:type="dxa"/>
            <w:noWrap/>
            <w:hideMark/>
          </w:tcPr>
          <w:p w14:paraId="391425F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20.0 (18.0–21.0)</w:t>
            </w:r>
          </w:p>
        </w:tc>
        <w:tc>
          <w:tcPr>
            <w:tcW w:w="1519" w:type="dxa"/>
            <w:noWrap/>
            <w:hideMark/>
          </w:tcPr>
          <w:p w14:paraId="5502039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χ²(2)=5.067</w:t>
            </w:r>
          </w:p>
        </w:tc>
        <w:tc>
          <w:tcPr>
            <w:tcW w:w="827" w:type="dxa"/>
            <w:noWrap/>
            <w:hideMark/>
          </w:tcPr>
          <w:p w14:paraId="4950D04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0.075</w:t>
            </w:r>
          </w:p>
        </w:tc>
        <w:tc>
          <w:tcPr>
            <w:tcW w:w="971" w:type="dxa"/>
            <w:noWrap/>
            <w:hideMark/>
          </w:tcPr>
          <w:p w14:paraId="3C525F5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 = 0.054</w:t>
            </w:r>
          </w:p>
        </w:tc>
        <w:tc>
          <w:tcPr>
            <w:tcW w:w="1368" w:type="dxa"/>
            <w:noWrap/>
            <w:hideMark/>
          </w:tcPr>
          <w:p w14:paraId="3F20BE5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722259CC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4398582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79C9A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High impact</w:t>
            </w:r>
          </w:p>
        </w:tc>
        <w:tc>
          <w:tcPr>
            <w:tcW w:w="796" w:type="dxa"/>
            <w:noWrap/>
            <w:hideMark/>
          </w:tcPr>
          <w:p w14:paraId="493AA39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03" w:type="dxa"/>
            <w:noWrap/>
            <w:hideMark/>
          </w:tcPr>
          <w:p w14:paraId="69A315C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21.0 (19.25–22.0)</w:t>
            </w:r>
          </w:p>
        </w:tc>
        <w:tc>
          <w:tcPr>
            <w:tcW w:w="1519" w:type="dxa"/>
            <w:noWrap/>
            <w:hideMark/>
          </w:tcPr>
          <w:p w14:paraId="30881E8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7109198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052652F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A49F3F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6C1DF55A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2ADBD0F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14:paraId="4DED205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Very high impact</w:t>
            </w:r>
          </w:p>
        </w:tc>
        <w:tc>
          <w:tcPr>
            <w:tcW w:w="796" w:type="dxa"/>
            <w:noWrap/>
            <w:hideMark/>
          </w:tcPr>
          <w:p w14:paraId="1CFED72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03" w:type="dxa"/>
            <w:noWrap/>
            <w:hideMark/>
          </w:tcPr>
          <w:p w14:paraId="77904DA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20.5 (18.0–23.0)</w:t>
            </w:r>
          </w:p>
        </w:tc>
        <w:tc>
          <w:tcPr>
            <w:tcW w:w="1519" w:type="dxa"/>
            <w:noWrap/>
            <w:hideMark/>
          </w:tcPr>
          <w:p w14:paraId="75FEF34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50C6CF7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7611F3C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9C0FFB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1C539FB4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545A658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CAT – Emotion-focused coping</w:t>
            </w:r>
          </w:p>
        </w:tc>
        <w:tc>
          <w:tcPr>
            <w:tcW w:w="1134" w:type="dxa"/>
            <w:noWrap/>
            <w:hideMark/>
          </w:tcPr>
          <w:p w14:paraId="2AF67C6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Medium impact</w:t>
            </w:r>
          </w:p>
        </w:tc>
        <w:tc>
          <w:tcPr>
            <w:tcW w:w="796" w:type="dxa"/>
            <w:noWrap/>
            <w:hideMark/>
          </w:tcPr>
          <w:p w14:paraId="4D0F85B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03" w:type="dxa"/>
            <w:noWrap/>
            <w:hideMark/>
          </w:tcPr>
          <w:p w14:paraId="678A62F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26.31 ± 2.58</w:t>
            </w:r>
          </w:p>
        </w:tc>
        <w:tc>
          <w:tcPr>
            <w:tcW w:w="1519" w:type="dxa"/>
            <w:noWrap/>
            <w:hideMark/>
          </w:tcPr>
          <w:p w14:paraId="4303D6F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F(2,90)=7.405</w:t>
            </w:r>
          </w:p>
        </w:tc>
        <w:tc>
          <w:tcPr>
            <w:tcW w:w="827" w:type="dxa"/>
            <w:noWrap/>
            <w:hideMark/>
          </w:tcPr>
          <w:p w14:paraId="055A291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971" w:type="dxa"/>
            <w:noWrap/>
            <w:hideMark/>
          </w:tcPr>
          <w:p w14:paraId="6EE6C75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η² = 0.141</w:t>
            </w:r>
          </w:p>
        </w:tc>
        <w:tc>
          <w:tcPr>
            <w:tcW w:w="1368" w:type="dxa"/>
            <w:noWrap/>
            <w:hideMark/>
          </w:tcPr>
          <w:p w14:paraId="2679739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Medium &gt; High</w:t>
            </w:r>
          </w:p>
        </w:tc>
      </w:tr>
      <w:tr w:rsidR="000D689C" w:rsidRPr="00DA6191" w14:paraId="058A62FA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4F2272F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A0440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High impact</w:t>
            </w:r>
          </w:p>
        </w:tc>
        <w:tc>
          <w:tcPr>
            <w:tcW w:w="796" w:type="dxa"/>
            <w:noWrap/>
            <w:hideMark/>
          </w:tcPr>
          <w:p w14:paraId="5A5E3DB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03" w:type="dxa"/>
            <w:noWrap/>
            <w:hideMark/>
          </w:tcPr>
          <w:p w14:paraId="6C71B36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24.13 ± 2.46</w:t>
            </w:r>
          </w:p>
        </w:tc>
        <w:tc>
          <w:tcPr>
            <w:tcW w:w="1519" w:type="dxa"/>
            <w:noWrap/>
            <w:hideMark/>
          </w:tcPr>
          <w:p w14:paraId="60FC32C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463618A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245B7B6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649A10F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63D17FEF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2903B29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E807C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Very high impact</w:t>
            </w:r>
          </w:p>
        </w:tc>
        <w:tc>
          <w:tcPr>
            <w:tcW w:w="796" w:type="dxa"/>
            <w:noWrap/>
            <w:hideMark/>
          </w:tcPr>
          <w:p w14:paraId="19802A5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03" w:type="dxa"/>
            <w:noWrap/>
            <w:hideMark/>
          </w:tcPr>
          <w:p w14:paraId="64E5813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24.50 ± 3.24</w:t>
            </w:r>
          </w:p>
        </w:tc>
        <w:tc>
          <w:tcPr>
            <w:tcW w:w="1519" w:type="dxa"/>
            <w:noWrap/>
            <w:hideMark/>
          </w:tcPr>
          <w:p w14:paraId="539B99A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1362D17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5109CF3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005F51C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5C1A728F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7725CD9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CAT – Problem-focused coping</w:t>
            </w:r>
          </w:p>
        </w:tc>
        <w:tc>
          <w:tcPr>
            <w:tcW w:w="1134" w:type="dxa"/>
            <w:noWrap/>
            <w:hideMark/>
          </w:tcPr>
          <w:p w14:paraId="004CF2F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Medium impact</w:t>
            </w:r>
          </w:p>
        </w:tc>
        <w:tc>
          <w:tcPr>
            <w:tcW w:w="796" w:type="dxa"/>
            <w:noWrap/>
            <w:hideMark/>
          </w:tcPr>
          <w:p w14:paraId="231106B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03" w:type="dxa"/>
            <w:noWrap/>
            <w:hideMark/>
          </w:tcPr>
          <w:p w14:paraId="5F3B0A9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29.0 (28.0–32.0)</w:t>
            </w:r>
          </w:p>
        </w:tc>
        <w:tc>
          <w:tcPr>
            <w:tcW w:w="1519" w:type="dxa"/>
            <w:noWrap/>
            <w:hideMark/>
          </w:tcPr>
          <w:p w14:paraId="7712645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χ²(2)=7.132</w:t>
            </w:r>
          </w:p>
        </w:tc>
        <w:tc>
          <w:tcPr>
            <w:tcW w:w="827" w:type="dxa"/>
            <w:noWrap/>
            <w:hideMark/>
          </w:tcPr>
          <w:p w14:paraId="179FAEB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0.027</w:t>
            </w:r>
          </w:p>
        </w:tc>
        <w:tc>
          <w:tcPr>
            <w:tcW w:w="971" w:type="dxa"/>
            <w:noWrap/>
            <w:hideMark/>
          </w:tcPr>
          <w:p w14:paraId="63FDEE4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 = 0.075</w:t>
            </w:r>
          </w:p>
        </w:tc>
        <w:tc>
          <w:tcPr>
            <w:tcW w:w="1368" w:type="dxa"/>
            <w:noWrap/>
            <w:hideMark/>
          </w:tcPr>
          <w:p w14:paraId="1FAA1CA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Medium &gt; High</w:t>
            </w:r>
          </w:p>
        </w:tc>
      </w:tr>
      <w:tr w:rsidR="000D689C" w:rsidRPr="00DA6191" w14:paraId="0CDB5A18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7DA9B8C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21B80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High impact</w:t>
            </w:r>
          </w:p>
        </w:tc>
        <w:tc>
          <w:tcPr>
            <w:tcW w:w="796" w:type="dxa"/>
            <w:noWrap/>
            <w:hideMark/>
          </w:tcPr>
          <w:p w14:paraId="6F9DBE6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03" w:type="dxa"/>
            <w:noWrap/>
            <w:hideMark/>
          </w:tcPr>
          <w:p w14:paraId="119D875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27.0 (26.0–29.0)</w:t>
            </w:r>
          </w:p>
        </w:tc>
        <w:tc>
          <w:tcPr>
            <w:tcW w:w="1519" w:type="dxa"/>
            <w:noWrap/>
            <w:hideMark/>
          </w:tcPr>
          <w:p w14:paraId="635E41C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20DCD4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5688E4C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5CBE554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4ED14541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561C0C8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189D2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Very high impact</w:t>
            </w:r>
          </w:p>
        </w:tc>
        <w:tc>
          <w:tcPr>
            <w:tcW w:w="796" w:type="dxa"/>
            <w:noWrap/>
            <w:hideMark/>
          </w:tcPr>
          <w:p w14:paraId="04510D4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03" w:type="dxa"/>
            <w:noWrap/>
            <w:hideMark/>
          </w:tcPr>
          <w:p w14:paraId="3476194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28.5 (27.0–32.0)</w:t>
            </w:r>
          </w:p>
        </w:tc>
        <w:tc>
          <w:tcPr>
            <w:tcW w:w="1519" w:type="dxa"/>
            <w:noWrap/>
            <w:hideMark/>
          </w:tcPr>
          <w:p w14:paraId="31B5A2F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203AEC6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0F8CD8A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95F79D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2C3DB00E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4D5AB1E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mMRC – Avoidant coping</w:t>
            </w:r>
          </w:p>
        </w:tc>
        <w:tc>
          <w:tcPr>
            <w:tcW w:w="1134" w:type="dxa"/>
            <w:noWrap/>
            <w:hideMark/>
          </w:tcPr>
          <w:p w14:paraId="2B676B8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Moderate dyspnea</w:t>
            </w:r>
          </w:p>
        </w:tc>
        <w:tc>
          <w:tcPr>
            <w:tcW w:w="796" w:type="dxa"/>
            <w:noWrap/>
            <w:hideMark/>
          </w:tcPr>
          <w:p w14:paraId="3994922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03" w:type="dxa"/>
            <w:noWrap/>
            <w:hideMark/>
          </w:tcPr>
          <w:p w14:paraId="13B89F6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20.0 (18.0–20.75)</w:t>
            </w:r>
          </w:p>
        </w:tc>
        <w:tc>
          <w:tcPr>
            <w:tcW w:w="1519" w:type="dxa"/>
            <w:noWrap/>
            <w:hideMark/>
          </w:tcPr>
          <w:p w14:paraId="2CC881E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KW χ²(1)=21.241</w:t>
            </w:r>
          </w:p>
        </w:tc>
        <w:tc>
          <w:tcPr>
            <w:tcW w:w="827" w:type="dxa"/>
            <w:noWrap/>
            <w:hideMark/>
          </w:tcPr>
          <w:p w14:paraId="232C069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71" w:type="dxa"/>
            <w:noWrap/>
            <w:hideMark/>
          </w:tcPr>
          <w:p w14:paraId="6B064F0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ε²=0.229</w:t>
            </w:r>
          </w:p>
        </w:tc>
        <w:tc>
          <w:tcPr>
            <w:tcW w:w="1368" w:type="dxa"/>
            <w:noWrap/>
            <w:hideMark/>
          </w:tcPr>
          <w:p w14:paraId="6C12E73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Severe &gt; Moderate</w:t>
            </w:r>
          </w:p>
        </w:tc>
      </w:tr>
      <w:tr w:rsidR="000D689C" w:rsidRPr="00DA6191" w14:paraId="7186F629" w14:textId="77777777" w:rsidTr="00AC71EB">
        <w:trPr>
          <w:trHeight w:val="372"/>
        </w:trPr>
        <w:tc>
          <w:tcPr>
            <w:tcW w:w="1532" w:type="dxa"/>
            <w:noWrap/>
            <w:hideMark/>
          </w:tcPr>
          <w:p w14:paraId="5597D90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6E00D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Severe dyspnea</w:t>
            </w:r>
          </w:p>
        </w:tc>
        <w:tc>
          <w:tcPr>
            <w:tcW w:w="796" w:type="dxa"/>
            <w:noWrap/>
            <w:hideMark/>
          </w:tcPr>
          <w:p w14:paraId="4023186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03" w:type="dxa"/>
            <w:noWrap/>
            <w:hideMark/>
          </w:tcPr>
          <w:p w14:paraId="1D6B777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21.0 (20.0–23.0)</w:t>
            </w:r>
          </w:p>
        </w:tc>
        <w:tc>
          <w:tcPr>
            <w:tcW w:w="1519" w:type="dxa"/>
            <w:noWrap/>
            <w:hideMark/>
          </w:tcPr>
          <w:p w14:paraId="3ED2E07B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AFA96C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3A76AD01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75D7C3F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45E0EB26" w14:textId="77777777" w:rsidTr="00AC71EB">
        <w:trPr>
          <w:trHeight w:val="480"/>
        </w:trPr>
        <w:tc>
          <w:tcPr>
            <w:tcW w:w="1532" w:type="dxa"/>
            <w:noWrap/>
            <w:hideMark/>
          </w:tcPr>
          <w:p w14:paraId="619E6BB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mMRC – Emotion-focused coping</w:t>
            </w:r>
          </w:p>
        </w:tc>
        <w:tc>
          <w:tcPr>
            <w:tcW w:w="1134" w:type="dxa"/>
            <w:noWrap/>
            <w:hideMark/>
          </w:tcPr>
          <w:p w14:paraId="1597502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Moderate dyspnea</w:t>
            </w:r>
          </w:p>
        </w:tc>
        <w:tc>
          <w:tcPr>
            <w:tcW w:w="796" w:type="dxa"/>
            <w:noWrap/>
            <w:hideMark/>
          </w:tcPr>
          <w:p w14:paraId="68EBC27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03" w:type="dxa"/>
            <w:noWrap/>
            <w:hideMark/>
          </w:tcPr>
          <w:p w14:paraId="3790FDB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26.12 ± 2.75</w:t>
            </w:r>
          </w:p>
        </w:tc>
        <w:tc>
          <w:tcPr>
            <w:tcW w:w="1519" w:type="dxa"/>
            <w:noWrap/>
            <w:hideMark/>
          </w:tcPr>
          <w:p w14:paraId="50623A2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F(1,91)=22.221</w:t>
            </w:r>
          </w:p>
        </w:tc>
        <w:tc>
          <w:tcPr>
            <w:tcW w:w="827" w:type="dxa"/>
            <w:noWrap/>
            <w:hideMark/>
          </w:tcPr>
          <w:p w14:paraId="635EFBB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71" w:type="dxa"/>
            <w:noWrap/>
            <w:hideMark/>
          </w:tcPr>
          <w:p w14:paraId="4DEB386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η²=0.196</w:t>
            </w:r>
          </w:p>
        </w:tc>
        <w:tc>
          <w:tcPr>
            <w:tcW w:w="1368" w:type="dxa"/>
            <w:noWrap/>
            <w:hideMark/>
          </w:tcPr>
          <w:p w14:paraId="53DFA59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Moderate &gt; Severe</w:t>
            </w:r>
          </w:p>
        </w:tc>
      </w:tr>
      <w:tr w:rsidR="000D689C" w:rsidRPr="00DA6191" w14:paraId="5F177E9A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60A9E15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0371DA6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Severe dyspnea</w:t>
            </w:r>
          </w:p>
        </w:tc>
        <w:tc>
          <w:tcPr>
            <w:tcW w:w="796" w:type="dxa"/>
            <w:noWrap/>
            <w:hideMark/>
          </w:tcPr>
          <w:p w14:paraId="0D794EF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03" w:type="dxa"/>
            <w:noWrap/>
            <w:hideMark/>
          </w:tcPr>
          <w:p w14:paraId="01D7DFC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23.67 ± 2.14</w:t>
            </w:r>
          </w:p>
        </w:tc>
        <w:tc>
          <w:tcPr>
            <w:tcW w:w="1519" w:type="dxa"/>
            <w:noWrap/>
            <w:hideMark/>
          </w:tcPr>
          <w:p w14:paraId="51AFD08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60DF5D4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7409566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2544E525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89C" w:rsidRPr="00DA6191" w14:paraId="0DA50FAE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2360C2B2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mMRC – Problem-focused coping</w:t>
            </w:r>
          </w:p>
        </w:tc>
        <w:tc>
          <w:tcPr>
            <w:tcW w:w="1134" w:type="dxa"/>
            <w:noWrap/>
            <w:hideMark/>
          </w:tcPr>
          <w:p w14:paraId="5219FDF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Moderate dyspnea</w:t>
            </w:r>
          </w:p>
        </w:tc>
        <w:tc>
          <w:tcPr>
            <w:tcW w:w="796" w:type="dxa"/>
            <w:noWrap/>
            <w:hideMark/>
          </w:tcPr>
          <w:p w14:paraId="4A306AE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03" w:type="dxa"/>
            <w:noWrap/>
            <w:hideMark/>
          </w:tcPr>
          <w:p w14:paraId="3E831EE0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29.73 ± 2.89</w:t>
            </w:r>
          </w:p>
        </w:tc>
        <w:tc>
          <w:tcPr>
            <w:tcW w:w="1519" w:type="dxa"/>
            <w:noWrap/>
            <w:hideMark/>
          </w:tcPr>
          <w:p w14:paraId="47445F3A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F(1,91)=20.333</w:t>
            </w:r>
          </w:p>
        </w:tc>
        <w:tc>
          <w:tcPr>
            <w:tcW w:w="827" w:type="dxa"/>
            <w:noWrap/>
            <w:hideMark/>
          </w:tcPr>
          <w:p w14:paraId="2506047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71" w:type="dxa"/>
            <w:noWrap/>
            <w:hideMark/>
          </w:tcPr>
          <w:p w14:paraId="72E6459C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η²=0.182</w:t>
            </w:r>
          </w:p>
        </w:tc>
        <w:tc>
          <w:tcPr>
            <w:tcW w:w="1368" w:type="dxa"/>
            <w:noWrap/>
            <w:hideMark/>
          </w:tcPr>
          <w:p w14:paraId="07095F98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Moderate &gt; Severe</w:t>
            </w:r>
          </w:p>
        </w:tc>
      </w:tr>
      <w:tr w:rsidR="000D689C" w:rsidRPr="00DA6191" w14:paraId="3A8596B0" w14:textId="77777777" w:rsidTr="00AC71EB">
        <w:trPr>
          <w:trHeight w:val="312"/>
        </w:trPr>
        <w:tc>
          <w:tcPr>
            <w:tcW w:w="1532" w:type="dxa"/>
            <w:noWrap/>
            <w:hideMark/>
          </w:tcPr>
          <w:p w14:paraId="1057484D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14:paraId="7F7D6D6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Severe dyspnea</w:t>
            </w:r>
          </w:p>
        </w:tc>
        <w:tc>
          <w:tcPr>
            <w:tcW w:w="796" w:type="dxa"/>
            <w:noWrap/>
            <w:hideMark/>
          </w:tcPr>
          <w:p w14:paraId="09DA70BF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03" w:type="dxa"/>
            <w:noWrap/>
            <w:hideMark/>
          </w:tcPr>
          <w:p w14:paraId="1C23F394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27.24 ± 2.31</w:t>
            </w:r>
          </w:p>
        </w:tc>
        <w:tc>
          <w:tcPr>
            <w:tcW w:w="1519" w:type="dxa"/>
            <w:noWrap/>
            <w:hideMark/>
          </w:tcPr>
          <w:p w14:paraId="2A444457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17FE93B3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1" w:type="dxa"/>
            <w:noWrap/>
            <w:hideMark/>
          </w:tcPr>
          <w:p w14:paraId="1C75088E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14:paraId="50D5F0D9" w14:textId="77777777" w:rsidR="000D689C" w:rsidRPr="00DA6191" w:rsidRDefault="000D689C" w:rsidP="000D6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1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71EB" w:rsidRPr="00DA6191" w14:paraId="66B60BEF" w14:textId="77777777" w:rsidTr="00F735E7">
        <w:trPr>
          <w:trHeight w:val="312"/>
        </w:trPr>
        <w:tc>
          <w:tcPr>
            <w:tcW w:w="9350" w:type="dxa"/>
            <w:gridSpan w:val="8"/>
            <w:noWrap/>
          </w:tcPr>
          <w:p w14:paraId="48873FD2" w14:textId="77777777" w:rsidR="00AC71EB" w:rsidRDefault="00AC71EB" w:rsidP="00AC71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1EB">
              <w:rPr>
                <w:rFonts w:ascii="Arial" w:hAnsi="Arial" w:cs="Arial"/>
                <w:sz w:val="20"/>
                <w:szCs w:val="20"/>
              </w:rPr>
              <w:t>Data are presented as mean ± standard deviation (SD) or median (interquartile range, IQR) depending on variable distribution. Group comparisons across three categories (HADS-A, HADS-D, CAT) were conducted using the Kruskal–Wallis test for non-normally distributed variables and one-way ANOVA for normally distributed variables, followed by post-hoc comparisons when significant. Comparisons across two categories (mMRC) were performed using the Mann–Whitney U test or independent-samples t-test based on distribution. Effect sizes are reported as η² for ANOVA and ε² for Kruskal–Wallis tests.</w:t>
            </w:r>
          </w:p>
          <w:p w14:paraId="45018772" w14:textId="11A89A4D" w:rsidR="00AC71EB" w:rsidRPr="00DA6191" w:rsidRDefault="00AC71EB" w:rsidP="00AC71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1EB">
              <w:rPr>
                <w:rFonts w:ascii="Arial" w:hAnsi="Arial" w:cs="Arial"/>
                <w:sz w:val="20"/>
                <w:szCs w:val="20"/>
              </w:rPr>
              <w:t xml:space="preserve">HADS-A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C71EB">
              <w:rPr>
                <w:rFonts w:ascii="Arial" w:hAnsi="Arial" w:cs="Arial"/>
                <w:sz w:val="20"/>
                <w:szCs w:val="20"/>
              </w:rPr>
              <w:t xml:space="preserve"> Hospital Anxiety and Depression Scale, Anxiety subscale; HADS-D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C71EB">
              <w:rPr>
                <w:rFonts w:ascii="Arial" w:hAnsi="Arial" w:cs="Arial"/>
                <w:sz w:val="20"/>
                <w:szCs w:val="20"/>
              </w:rPr>
              <w:t xml:space="preserve"> Hospital Anxiety and Depression Scale, Depression subscale; CAT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C71EB">
              <w:rPr>
                <w:rFonts w:ascii="Arial" w:hAnsi="Arial" w:cs="Arial"/>
                <w:sz w:val="20"/>
                <w:szCs w:val="20"/>
              </w:rPr>
              <w:t xml:space="preserve"> COPD Assessment Test; mMRC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C71EB">
              <w:rPr>
                <w:rFonts w:ascii="Arial" w:hAnsi="Arial" w:cs="Arial"/>
                <w:sz w:val="20"/>
                <w:szCs w:val="20"/>
              </w:rPr>
              <w:t xml:space="preserve"> modified Medical Research Council dyspnea scale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5D407E1" w14:textId="77777777" w:rsidR="000D689C" w:rsidRPr="00DA6191" w:rsidRDefault="000D689C" w:rsidP="000D689C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0D689C" w:rsidRPr="00DA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C"/>
    <w:rsid w:val="000D689C"/>
    <w:rsid w:val="0039292A"/>
    <w:rsid w:val="004025D3"/>
    <w:rsid w:val="00464115"/>
    <w:rsid w:val="006526E9"/>
    <w:rsid w:val="00AC71EB"/>
    <w:rsid w:val="00B55782"/>
    <w:rsid w:val="00BE5EC9"/>
    <w:rsid w:val="00C04A8E"/>
    <w:rsid w:val="00DA6191"/>
    <w:rsid w:val="00D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E0C2"/>
  <w15:chartTrackingRefBased/>
  <w15:docId w15:val="{6B4B6E7E-3BDC-48EB-924B-7392B9B2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9C"/>
  </w:style>
  <w:style w:type="paragraph" w:styleId="Heading1">
    <w:name w:val="heading 1"/>
    <w:basedOn w:val="Normal"/>
    <w:next w:val="Normal"/>
    <w:link w:val="Heading1Char"/>
    <w:uiPriority w:val="9"/>
    <w:qFormat/>
    <w:rsid w:val="000D6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 Alexandru</dc:creator>
  <cp:keywords/>
  <dc:description/>
  <cp:lastModifiedBy>Crisan Alexandru</cp:lastModifiedBy>
  <cp:revision>4</cp:revision>
  <dcterms:created xsi:type="dcterms:W3CDTF">2025-08-16T05:34:00Z</dcterms:created>
  <dcterms:modified xsi:type="dcterms:W3CDTF">2025-11-13T06:10:00Z</dcterms:modified>
</cp:coreProperties>
</file>