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D2CC11D" w:rsidR="00140C32" w:rsidRPr="00CE66BC" w:rsidRDefault="003E176F" w:rsidP="00681CAE">
      <w:pPr>
        <w:spacing w:before="120" w:line="480" w:lineRule="auto"/>
        <w:jc w:val="center"/>
        <w:rPr>
          <w:rFonts w:ascii="Arial" w:hAnsi="Arial" w:cs="Arial"/>
          <w:b/>
          <w:sz w:val="28"/>
          <w:szCs w:val="28"/>
        </w:rPr>
      </w:pPr>
      <w:r w:rsidRPr="00CE66BC">
        <w:rPr>
          <w:rFonts w:ascii="Arial" w:hAnsi="Arial" w:cs="Arial"/>
          <w:b/>
          <w:sz w:val="28"/>
          <w:szCs w:val="28"/>
        </w:rPr>
        <w:t>Multivalent atezolizumab-liposome conjugates as active immunotherapeutic platforms for enhanced PD-L1 blockade in melanoma (</w:t>
      </w:r>
      <w:r w:rsidR="005D6AD4" w:rsidRPr="00CE66BC">
        <w:rPr>
          <w:rFonts w:ascii="Arial" w:hAnsi="Arial" w:cs="Arial"/>
          <w:b/>
          <w:sz w:val="28"/>
          <w:szCs w:val="28"/>
        </w:rPr>
        <w:t>Supplementary material</w:t>
      </w:r>
      <w:r w:rsidRPr="00CE66BC">
        <w:rPr>
          <w:rFonts w:ascii="Arial" w:hAnsi="Arial" w:cs="Arial"/>
          <w:b/>
          <w:sz w:val="28"/>
          <w:szCs w:val="28"/>
        </w:rPr>
        <w:t>)</w:t>
      </w:r>
    </w:p>
    <w:p w14:paraId="4569252D" w14:textId="77777777" w:rsidR="00681CAE" w:rsidRPr="00CE66BC" w:rsidRDefault="00681CAE" w:rsidP="00681CAE">
      <w:pPr>
        <w:spacing w:beforeLines="50" w:before="120" w:afterLines="50" w:after="120" w:line="480" w:lineRule="auto"/>
        <w:rPr>
          <w:rFonts w:ascii="Arial" w:hAnsi="Arial" w:cs="Arial"/>
          <w:sz w:val="20"/>
          <w:szCs w:val="20"/>
          <w:lang w:eastAsia="zh-CN"/>
        </w:rPr>
      </w:pPr>
      <w:r w:rsidRPr="00CE66BC">
        <w:rPr>
          <w:rFonts w:ascii="Arial" w:hAnsi="Arial" w:cs="Arial"/>
          <w:sz w:val="20"/>
          <w:szCs w:val="20"/>
        </w:rPr>
        <w:t>Ziyun Cheng</w:t>
      </w:r>
      <w:r w:rsidRPr="00CE66BC">
        <w:rPr>
          <w:rFonts w:ascii="Arial" w:hAnsi="Arial" w:cs="Arial"/>
          <w:sz w:val="20"/>
          <w:szCs w:val="20"/>
          <w:vertAlign w:val="superscript"/>
        </w:rPr>
        <w:t>1,2</w:t>
      </w:r>
      <w:r w:rsidRPr="00CE66BC">
        <w:rPr>
          <w:rFonts w:ascii="Arial" w:hAnsi="Arial" w:cs="Arial"/>
          <w:sz w:val="20"/>
          <w:szCs w:val="20"/>
        </w:rPr>
        <w:t>, Mohamadreza Amin</w:t>
      </w:r>
      <w:r w:rsidRPr="00CE66BC">
        <w:rPr>
          <w:rFonts w:ascii="Arial" w:hAnsi="Arial" w:cs="Arial"/>
          <w:sz w:val="20"/>
          <w:szCs w:val="20"/>
          <w:vertAlign w:val="superscript"/>
        </w:rPr>
        <w:t>1</w:t>
      </w:r>
      <w:r w:rsidRPr="00CE66BC">
        <w:rPr>
          <w:rFonts w:ascii="Arial" w:hAnsi="Arial" w:cs="Arial"/>
          <w:sz w:val="20"/>
          <w:szCs w:val="20"/>
        </w:rPr>
        <w:t xml:space="preserve">, </w:t>
      </w:r>
      <w:bookmarkStart w:id="0" w:name="OLE_LINK37"/>
      <w:r w:rsidRPr="00CE66BC">
        <w:rPr>
          <w:rFonts w:ascii="Arial" w:hAnsi="Arial" w:cs="Arial"/>
          <w:sz w:val="20"/>
          <w:szCs w:val="20"/>
        </w:rPr>
        <w:t>Mandy van Brakel</w:t>
      </w:r>
      <w:bookmarkEnd w:id="0"/>
      <w:r w:rsidRPr="00CE66BC">
        <w:rPr>
          <w:rFonts w:ascii="Arial" w:hAnsi="Arial" w:cs="Arial"/>
          <w:sz w:val="20"/>
          <w:szCs w:val="20"/>
          <w:vertAlign w:val="superscript"/>
        </w:rPr>
        <w:t>2</w:t>
      </w:r>
      <w:r w:rsidRPr="00CE66BC">
        <w:rPr>
          <w:rFonts w:ascii="Arial" w:hAnsi="Arial" w:cs="Arial"/>
          <w:sz w:val="20"/>
          <w:szCs w:val="20"/>
        </w:rPr>
        <w:t xml:space="preserve">, </w:t>
      </w:r>
      <w:bookmarkStart w:id="1" w:name="OLE_LINK35"/>
      <w:r w:rsidRPr="00CE66BC">
        <w:rPr>
          <w:rFonts w:ascii="Arial" w:hAnsi="Arial" w:cs="Arial"/>
          <w:sz w:val="20"/>
          <w:szCs w:val="20"/>
        </w:rPr>
        <w:t>Andrea Sacchetti</w:t>
      </w:r>
      <w:bookmarkEnd w:id="1"/>
      <w:r w:rsidRPr="00CE66BC">
        <w:rPr>
          <w:rFonts w:ascii="Arial" w:hAnsi="Arial" w:cs="Arial"/>
          <w:sz w:val="20"/>
          <w:szCs w:val="20"/>
          <w:vertAlign w:val="superscript"/>
        </w:rPr>
        <w:t>3</w:t>
      </w:r>
      <w:r w:rsidRPr="00CE66BC">
        <w:rPr>
          <w:rFonts w:ascii="Arial" w:hAnsi="Arial" w:cs="Arial"/>
          <w:sz w:val="20"/>
          <w:szCs w:val="20"/>
        </w:rPr>
        <w:t xml:space="preserve">, </w:t>
      </w:r>
      <w:bookmarkStart w:id="2" w:name="OLE_LINK25"/>
      <w:r w:rsidRPr="00CE66BC">
        <w:rPr>
          <w:rFonts w:ascii="Arial" w:hAnsi="Arial" w:cs="Arial"/>
          <w:sz w:val="20"/>
          <w:szCs w:val="20"/>
        </w:rPr>
        <w:t>Robbert Q. Kim</w:t>
      </w:r>
      <w:bookmarkEnd w:id="2"/>
      <w:r w:rsidRPr="00CE66BC">
        <w:rPr>
          <w:rFonts w:ascii="Arial" w:hAnsi="Arial" w:cs="Arial"/>
          <w:sz w:val="20"/>
          <w:szCs w:val="20"/>
          <w:vertAlign w:val="superscript"/>
          <w:lang w:eastAsia="zh-CN"/>
        </w:rPr>
        <w:t>4</w:t>
      </w:r>
      <w:r w:rsidRPr="00CE66BC">
        <w:rPr>
          <w:rFonts w:ascii="Arial" w:hAnsi="Arial" w:cs="Arial"/>
          <w:sz w:val="20"/>
          <w:szCs w:val="20"/>
          <w:lang w:eastAsia="zh-CN"/>
        </w:rPr>
        <w:t xml:space="preserve">, </w:t>
      </w:r>
      <w:r w:rsidRPr="00CE66BC">
        <w:rPr>
          <w:rFonts w:ascii="Arial" w:hAnsi="Arial" w:cs="Arial"/>
          <w:sz w:val="20"/>
          <w:szCs w:val="20"/>
        </w:rPr>
        <w:t>Ann L. B. Seynhaeve</w:t>
      </w:r>
      <w:r w:rsidRPr="00CE66BC">
        <w:rPr>
          <w:rFonts w:ascii="Arial" w:hAnsi="Arial" w:cs="Arial"/>
          <w:sz w:val="20"/>
          <w:szCs w:val="20"/>
          <w:vertAlign w:val="superscript"/>
        </w:rPr>
        <w:t>1</w:t>
      </w:r>
      <w:r w:rsidRPr="00CE66BC">
        <w:rPr>
          <w:rFonts w:ascii="Arial" w:hAnsi="Arial" w:cs="Arial"/>
          <w:sz w:val="20"/>
          <w:szCs w:val="20"/>
        </w:rPr>
        <w:t>, Reno Debets</w:t>
      </w:r>
      <w:r w:rsidRPr="00CE66BC">
        <w:rPr>
          <w:rFonts w:ascii="Arial" w:hAnsi="Arial" w:cs="Arial"/>
          <w:sz w:val="20"/>
          <w:szCs w:val="20"/>
          <w:vertAlign w:val="superscript"/>
        </w:rPr>
        <w:t>2</w:t>
      </w:r>
      <w:r w:rsidRPr="00CE66BC">
        <w:rPr>
          <w:rFonts w:ascii="Arial" w:hAnsi="Arial" w:cs="Arial"/>
          <w:sz w:val="20"/>
          <w:szCs w:val="20"/>
        </w:rPr>
        <w:t>, Timo L. M. ten Hagen</w:t>
      </w:r>
      <w:r w:rsidRPr="00CE66BC">
        <w:rPr>
          <w:rFonts w:ascii="Arial" w:hAnsi="Arial" w:cs="Arial"/>
          <w:sz w:val="20"/>
          <w:szCs w:val="20"/>
          <w:vertAlign w:val="superscript"/>
        </w:rPr>
        <w:t>1</w:t>
      </w:r>
    </w:p>
    <w:p w14:paraId="6DC3FACC" w14:textId="77777777" w:rsidR="00681CAE" w:rsidRPr="00CE66BC" w:rsidRDefault="00681CAE" w:rsidP="00681CAE">
      <w:pPr>
        <w:spacing w:beforeLines="50" w:before="120" w:afterLines="50" w:after="120" w:line="480" w:lineRule="auto"/>
        <w:rPr>
          <w:rFonts w:ascii="Arial" w:hAnsi="Arial" w:cs="Arial"/>
          <w:sz w:val="20"/>
          <w:szCs w:val="20"/>
        </w:rPr>
      </w:pPr>
      <w:r w:rsidRPr="00CE66BC">
        <w:rPr>
          <w:rFonts w:ascii="Arial" w:hAnsi="Arial" w:cs="Arial"/>
          <w:sz w:val="20"/>
          <w:szCs w:val="20"/>
          <w:vertAlign w:val="superscript"/>
          <w:lang w:eastAsia="zh-CN"/>
        </w:rPr>
        <w:t xml:space="preserve">1 </w:t>
      </w:r>
      <w:bookmarkStart w:id="3" w:name="OLE_LINK36"/>
      <w:r w:rsidRPr="00CE66BC">
        <w:rPr>
          <w:rFonts w:ascii="Arial" w:hAnsi="Arial" w:cs="Arial"/>
          <w:sz w:val="20"/>
          <w:szCs w:val="20"/>
        </w:rPr>
        <w:t>Precision Medicine in Oncology (PrMiO) and Nanomedicine Innovation Center Erasmus (NICE), Department of Pathology, Erasmus MC Cancer Institute, Erasmus MC, Rotterdam, the Netherlands</w:t>
      </w:r>
    </w:p>
    <w:bookmarkEnd w:id="3"/>
    <w:p w14:paraId="127960F1" w14:textId="77777777" w:rsidR="00681CAE" w:rsidRPr="00CE66BC" w:rsidRDefault="00681CAE" w:rsidP="00681CAE">
      <w:pPr>
        <w:spacing w:beforeLines="50" w:before="120" w:afterLines="50" w:after="120" w:line="480" w:lineRule="auto"/>
        <w:rPr>
          <w:rFonts w:ascii="Arial" w:hAnsi="Arial" w:cs="Arial"/>
          <w:sz w:val="20"/>
          <w:szCs w:val="20"/>
        </w:rPr>
      </w:pPr>
      <w:r w:rsidRPr="00CE66BC">
        <w:rPr>
          <w:rFonts w:ascii="Arial" w:hAnsi="Arial" w:cs="Arial"/>
          <w:sz w:val="20"/>
          <w:szCs w:val="20"/>
          <w:vertAlign w:val="superscript"/>
          <w:lang w:eastAsia="zh-CN"/>
        </w:rPr>
        <w:t xml:space="preserve">2 </w:t>
      </w:r>
      <w:r w:rsidRPr="00CE66BC">
        <w:rPr>
          <w:rFonts w:ascii="Arial" w:hAnsi="Arial" w:cs="Arial"/>
          <w:sz w:val="20"/>
          <w:szCs w:val="20"/>
        </w:rPr>
        <w:t>Laboratory of Tumor Immunology, Department of Medical Oncology, Erasmus MC Cancer Institute, Erasmus MC, Rotterdam, the Netherlands</w:t>
      </w:r>
    </w:p>
    <w:p w14:paraId="5588C8B4" w14:textId="77777777" w:rsidR="00681CAE" w:rsidRPr="00CE66BC" w:rsidRDefault="00681CAE" w:rsidP="00681CAE">
      <w:pPr>
        <w:spacing w:beforeLines="50" w:before="120" w:afterLines="50" w:after="120" w:line="480" w:lineRule="auto"/>
        <w:rPr>
          <w:rFonts w:ascii="Arial" w:hAnsi="Arial" w:cs="Arial"/>
          <w:sz w:val="20"/>
          <w:szCs w:val="20"/>
        </w:rPr>
      </w:pPr>
      <w:r w:rsidRPr="00CE66BC">
        <w:rPr>
          <w:rFonts w:ascii="Arial" w:hAnsi="Arial" w:cs="Arial"/>
          <w:sz w:val="20"/>
          <w:szCs w:val="20"/>
          <w:vertAlign w:val="superscript"/>
        </w:rPr>
        <w:t>3</w:t>
      </w:r>
      <w:bookmarkStart w:id="4" w:name="OLE_LINK9"/>
      <w:r w:rsidRPr="00CE66BC">
        <w:rPr>
          <w:rFonts w:ascii="Arial" w:hAnsi="Arial" w:cs="Arial"/>
          <w:sz w:val="20"/>
          <w:szCs w:val="20"/>
          <w:vertAlign w:val="superscript"/>
          <w:lang w:eastAsia="zh-CN"/>
        </w:rPr>
        <w:t xml:space="preserve"> </w:t>
      </w:r>
      <w:r w:rsidRPr="00CE66BC">
        <w:rPr>
          <w:rFonts w:ascii="Arial" w:hAnsi="Arial" w:cs="Arial"/>
          <w:sz w:val="20"/>
          <w:szCs w:val="20"/>
        </w:rPr>
        <w:t>Department of</w:t>
      </w:r>
      <w:bookmarkEnd w:id="4"/>
      <w:r w:rsidRPr="00CE66BC">
        <w:rPr>
          <w:rFonts w:ascii="Arial" w:hAnsi="Arial" w:cs="Arial"/>
          <w:sz w:val="20"/>
          <w:szCs w:val="20"/>
        </w:rPr>
        <w:t xml:space="preserve"> Pathology, Erasmus MC, University Medical Center Rotterdam, the Netherlands</w:t>
      </w:r>
    </w:p>
    <w:p w14:paraId="72733039" w14:textId="72D5B3B9" w:rsidR="00836686" w:rsidRPr="00CE66BC" w:rsidRDefault="00681CAE" w:rsidP="00EA0B85">
      <w:pPr>
        <w:spacing w:beforeLines="50" w:before="120" w:afterLines="50" w:after="120" w:line="480" w:lineRule="auto"/>
        <w:rPr>
          <w:rFonts w:ascii="Arial" w:hAnsi="Arial" w:cs="Arial"/>
          <w:sz w:val="20"/>
          <w:szCs w:val="20"/>
          <w:lang w:eastAsia="zh-CN"/>
        </w:rPr>
      </w:pPr>
      <w:r w:rsidRPr="00CE66BC">
        <w:rPr>
          <w:rFonts w:ascii="Arial" w:hAnsi="Arial" w:cs="Arial"/>
          <w:sz w:val="20"/>
          <w:szCs w:val="20"/>
          <w:vertAlign w:val="superscript"/>
          <w:lang w:eastAsia="zh-CN"/>
        </w:rPr>
        <w:t xml:space="preserve">4 </w:t>
      </w:r>
      <w:r w:rsidRPr="00CE66BC">
        <w:rPr>
          <w:rFonts w:ascii="Arial" w:hAnsi="Arial" w:cs="Arial"/>
          <w:sz w:val="20"/>
          <w:szCs w:val="20"/>
        </w:rPr>
        <w:t>Department of</w:t>
      </w:r>
      <w:r w:rsidRPr="00CE66BC">
        <w:rPr>
          <w:rFonts w:ascii="Arial" w:hAnsi="Arial" w:cs="Arial"/>
          <w:sz w:val="20"/>
          <w:szCs w:val="20"/>
          <w:lang w:eastAsia="zh-CN"/>
        </w:rPr>
        <w:t xml:space="preserve"> Cell and Chemical Biology, Leiden University Medical Center, Leiden, </w:t>
      </w:r>
      <w:r w:rsidRPr="00CE66BC">
        <w:rPr>
          <w:rFonts w:ascii="Arial" w:hAnsi="Arial" w:cs="Arial"/>
          <w:sz w:val="20"/>
          <w:szCs w:val="20"/>
        </w:rPr>
        <w:t>the Netherlands</w:t>
      </w:r>
      <w:bookmarkStart w:id="5" w:name="OLE_LINK24"/>
    </w:p>
    <w:p w14:paraId="30365BA4" w14:textId="101B6FBC" w:rsidR="00EA0B85" w:rsidRPr="00CE66BC" w:rsidRDefault="00EA0B85" w:rsidP="00EA0B85">
      <w:pPr>
        <w:spacing w:before="100" w:beforeAutospacing="1" w:after="100" w:afterAutospacing="1" w:line="240" w:lineRule="auto"/>
        <w:rPr>
          <w:rFonts w:ascii="SimSun" w:eastAsia="SimSun" w:hAnsi="SimSun" w:cs="SimSun"/>
          <w:lang w:eastAsia="zh-CN"/>
        </w:rPr>
      </w:pPr>
      <w:r w:rsidRPr="00CE66BC">
        <w:rPr>
          <w:rFonts w:ascii="SimSun" w:eastAsia="SimSun" w:hAnsi="SimSun" w:cs="SimSun"/>
          <w:noProof/>
          <w:lang w:eastAsia="zh-CN"/>
        </w:rPr>
        <w:lastRenderedPageBreak/>
        <w:drawing>
          <wp:inline distT="0" distB="0" distL="0" distR="0" wp14:anchorId="1479870D" wp14:editId="1334A6A6">
            <wp:extent cx="5911850" cy="5867503"/>
            <wp:effectExtent l="0" t="0" r="0" b="0"/>
            <wp:docPr id="2"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示&#10;&#10;描述已自动生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8404" cy="5883933"/>
                    </a:xfrm>
                    <a:prstGeom prst="rect">
                      <a:avLst/>
                    </a:prstGeom>
                    <a:noFill/>
                    <a:ln>
                      <a:noFill/>
                    </a:ln>
                  </pic:spPr>
                </pic:pic>
              </a:graphicData>
            </a:graphic>
          </wp:inline>
        </w:drawing>
      </w:r>
    </w:p>
    <w:p w14:paraId="46E1F637" w14:textId="4D9B4DA1" w:rsidR="003E49D1" w:rsidRPr="00CE66BC" w:rsidRDefault="005D6AD4" w:rsidP="6E35FCD5">
      <w:pPr>
        <w:spacing w:beforeLines="50" w:before="120" w:afterLines="50" w:after="120" w:line="480" w:lineRule="auto"/>
        <w:rPr>
          <w:rFonts w:ascii="Arial" w:hAnsi="Arial" w:cs="Arial"/>
          <w:b/>
          <w:bCs/>
          <w:sz w:val="20"/>
          <w:szCs w:val="20"/>
          <w:lang w:eastAsia="zh-CN"/>
        </w:rPr>
      </w:pPr>
      <w:r w:rsidRPr="6E35FCD5">
        <w:rPr>
          <w:rFonts w:ascii="Arial" w:hAnsi="Arial" w:cs="Arial"/>
          <w:b/>
          <w:bCs/>
          <w:sz w:val="20"/>
          <w:szCs w:val="20"/>
        </w:rPr>
        <w:t>Supplementary Figure 1</w:t>
      </w:r>
      <w:bookmarkEnd w:id="5"/>
      <w:r w:rsidR="00B8094A" w:rsidRPr="6E35FCD5">
        <w:rPr>
          <w:rFonts w:ascii="Arial" w:hAnsi="Arial" w:cs="Arial"/>
          <w:b/>
          <w:bCs/>
          <w:sz w:val="20"/>
          <w:szCs w:val="20"/>
        </w:rPr>
        <w:t xml:space="preserve"> </w:t>
      </w:r>
      <w:r w:rsidR="00BD2965" w:rsidRPr="6E35FCD5">
        <w:rPr>
          <w:rFonts w:ascii="Arial" w:hAnsi="Arial" w:cs="Arial"/>
          <w:b/>
          <w:bCs/>
          <w:sz w:val="20"/>
          <w:szCs w:val="20"/>
        </w:rPr>
        <w:t xml:space="preserve">Antibody-lipid conjugation efficiency and SDS-PAGE confirmation of anti-PD-L1 conjugates. </w:t>
      </w:r>
      <w:r w:rsidRPr="6E35FCD5">
        <w:rPr>
          <w:rFonts w:ascii="Arial" w:hAnsi="Arial" w:cs="Arial"/>
          <w:b/>
          <w:bCs/>
          <w:sz w:val="20"/>
          <w:szCs w:val="20"/>
        </w:rPr>
        <w:t>A</w:t>
      </w:r>
      <w:r w:rsidRPr="6E35FCD5">
        <w:rPr>
          <w:rFonts w:ascii="Arial" w:hAnsi="Arial" w:cs="Arial"/>
          <w:sz w:val="20"/>
          <w:szCs w:val="20"/>
        </w:rPr>
        <w:t xml:space="preserve"> Quantification of antibody-lipid conjugation efficiency for three batches. Conjugation efficiency=Amount of conjugated protein/Total protein (Protein amount was measured using Image J analysis). </w:t>
      </w:r>
      <w:r w:rsidRPr="6E35FCD5">
        <w:rPr>
          <w:rFonts w:ascii="Arial" w:hAnsi="Arial" w:cs="Arial"/>
          <w:b/>
          <w:bCs/>
          <w:sz w:val="20"/>
          <w:szCs w:val="20"/>
        </w:rPr>
        <w:t>B</w:t>
      </w:r>
      <w:r w:rsidR="6F7654DE" w:rsidRPr="6E35FCD5">
        <w:rPr>
          <w:rFonts w:ascii="Arial" w:hAnsi="Arial" w:cs="Arial"/>
          <w:b/>
          <w:bCs/>
          <w:sz w:val="20"/>
          <w:szCs w:val="20"/>
        </w:rPr>
        <w:t>-D</w:t>
      </w:r>
      <w:r w:rsidRPr="6E35FCD5">
        <w:rPr>
          <w:rFonts w:ascii="Arial" w:hAnsi="Arial" w:cs="Arial"/>
          <w:sz w:val="20"/>
          <w:szCs w:val="20"/>
        </w:rPr>
        <w:t xml:space="preserve"> Presentation of atezolizumab (anti-PD-L1) before and after conjugation with DSPE-PEG(2000)-Maleimide was shown in SDS-PAGE. Lane 1: protein marker; Lane 2-</w:t>
      </w:r>
      <w:r w:rsidR="00B770A5">
        <w:rPr>
          <w:rFonts w:ascii="Arial" w:hAnsi="Arial" w:cs="Arial" w:hint="eastAsia"/>
          <w:sz w:val="20"/>
          <w:szCs w:val="20"/>
          <w:lang w:eastAsia="zh-CN"/>
        </w:rPr>
        <w:t>6</w:t>
      </w:r>
      <w:r w:rsidRPr="6E35FCD5">
        <w:rPr>
          <w:rFonts w:ascii="Arial" w:hAnsi="Arial" w:cs="Arial"/>
          <w:sz w:val="20"/>
          <w:szCs w:val="20"/>
        </w:rPr>
        <w:t xml:space="preserve">: anti-PD-L1-lipid conjugates (four different Maleimide/Ab molar ratios); anti-PD-L1 reduced by TCEP. Abbreviation: </w:t>
      </w:r>
      <w:r w:rsidRPr="6E35FCD5">
        <w:rPr>
          <w:rFonts w:ascii="Arial" w:hAnsi="Arial" w:cs="Arial"/>
          <w:sz w:val="20"/>
          <w:szCs w:val="20"/>
        </w:rPr>
        <w:lastRenderedPageBreak/>
        <w:t xml:space="preserve">TCEP, Tris-(2-Carboxyethyl) phosphine. </w:t>
      </w:r>
      <w:r w:rsidR="7786FA6E" w:rsidRPr="6E35FCD5">
        <w:rPr>
          <w:rFonts w:ascii="Arial" w:hAnsi="Arial" w:cs="Arial"/>
          <w:i/>
          <w:iCs/>
          <w:sz w:val="20"/>
          <w:szCs w:val="20"/>
        </w:rPr>
        <w:t>p</w:t>
      </w:r>
      <w:r w:rsidR="003E49D1" w:rsidRPr="6E35FCD5">
        <w:rPr>
          <w:rFonts w:ascii="Arial" w:hAnsi="Arial" w:cs="Arial"/>
          <w:sz w:val="20"/>
          <w:szCs w:val="20"/>
        </w:rPr>
        <w:t>-value &lt; 0.05 was considered statistically significant (***</w:t>
      </w:r>
      <w:r w:rsidR="00AF37FD" w:rsidRPr="6E35FCD5">
        <w:rPr>
          <w:rFonts w:ascii="Arial" w:hAnsi="Arial" w:cs="Arial"/>
          <w:sz w:val="20"/>
          <w:szCs w:val="20"/>
          <w:lang w:eastAsia="zh-CN"/>
        </w:rPr>
        <w:t>*</w:t>
      </w:r>
      <w:r w:rsidR="3D6B38E1" w:rsidRPr="6E35FCD5">
        <w:rPr>
          <w:rFonts w:ascii="Arial" w:hAnsi="Arial" w:cs="Arial"/>
          <w:i/>
          <w:iCs/>
          <w:sz w:val="20"/>
          <w:szCs w:val="20"/>
        </w:rPr>
        <w:t>p</w:t>
      </w:r>
      <w:r w:rsidR="003E49D1" w:rsidRPr="6E35FCD5">
        <w:rPr>
          <w:rFonts w:ascii="Arial" w:hAnsi="Arial" w:cs="Arial"/>
          <w:sz w:val="20"/>
          <w:szCs w:val="20"/>
        </w:rPr>
        <w:t xml:space="preserve"> &lt; 0.00</w:t>
      </w:r>
      <w:r w:rsidR="00AF37FD" w:rsidRPr="6E35FCD5">
        <w:rPr>
          <w:rFonts w:ascii="Arial" w:hAnsi="Arial" w:cs="Arial"/>
          <w:sz w:val="20"/>
          <w:szCs w:val="20"/>
          <w:lang w:eastAsia="zh-CN"/>
        </w:rPr>
        <w:t>0</w:t>
      </w:r>
      <w:r w:rsidR="003E49D1" w:rsidRPr="6E35FCD5">
        <w:rPr>
          <w:rFonts w:ascii="Arial" w:hAnsi="Arial" w:cs="Arial"/>
          <w:sz w:val="20"/>
          <w:szCs w:val="20"/>
        </w:rPr>
        <w:t>1).</w:t>
      </w:r>
    </w:p>
    <w:p w14:paraId="09F28F28" w14:textId="0FB54379" w:rsidR="008C47FB" w:rsidRPr="00CE66BC" w:rsidRDefault="0083475E" w:rsidP="00D30807">
      <w:pPr>
        <w:spacing w:before="120" w:line="480" w:lineRule="auto"/>
        <w:jc w:val="center"/>
        <w:rPr>
          <w:rFonts w:ascii="Arial" w:hAnsi="Arial" w:cs="Arial"/>
          <w:b/>
          <w:bCs/>
          <w:sz w:val="22"/>
          <w:szCs w:val="22"/>
        </w:rPr>
      </w:pPr>
      <w:r w:rsidRPr="00CE66BC">
        <w:rPr>
          <w:rFonts w:ascii="Arial" w:hAnsi="Arial" w:cs="Arial"/>
          <w:b/>
          <w:bCs/>
          <w:noProof/>
          <w:sz w:val="22"/>
          <w:szCs w:val="22"/>
        </w:rPr>
        <w:drawing>
          <wp:inline distT="0" distB="0" distL="0" distR="0" wp14:anchorId="2C506BA7" wp14:editId="36D2F6B3">
            <wp:extent cx="3341099" cy="2587925"/>
            <wp:effectExtent l="0" t="0" r="0" b="3175"/>
            <wp:docPr id="356905305" name="图片 6" descr="图表,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905305" name="图片 6" descr="图表, 图示&#10;&#10;描述已自动生成"/>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4866" cy="2606334"/>
                    </a:xfrm>
                    <a:prstGeom prst="rect">
                      <a:avLst/>
                    </a:prstGeom>
                    <a:noFill/>
                    <a:ln>
                      <a:noFill/>
                    </a:ln>
                  </pic:spPr>
                </pic:pic>
              </a:graphicData>
            </a:graphic>
          </wp:inline>
        </w:drawing>
      </w:r>
    </w:p>
    <w:p w14:paraId="452B1B9C" w14:textId="5E962BA6" w:rsidR="00BD2965" w:rsidRPr="00CE66BC" w:rsidRDefault="00BD2965" w:rsidP="00570FC0">
      <w:pPr>
        <w:spacing w:before="120" w:line="480" w:lineRule="auto"/>
        <w:rPr>
          <w:rFonts w:ascii="Arial" w:hAnsi="Arial" w:cs="Arial"/>
          <w:b/>
          <w:bCs/>
          <w:sz w:val="20"/>
          <w:szCs w:val="20"/>
        </w:rPr>
      </w:pPr>
      <w:r w:rsidRPr="00CE66BC">
        <w:rPr>
          <w:rFonts w:ascii="Arial" w:hAnsi="Arial" w:cs="Arial"/>
          <w:b/>
          <w:bCs/>
          <w:sz w:val="20"/>
          <w:szCs w:val="20"/>
        </w:rPr>
        <w:t>Supplementary Figure 2</w:t>
      </w:r>
      <w:r w:rsidR="00B8094A" w:rsidRPr="00CE66BC">
        <w:rPr>
          <w:rFonts w:ascii="Arial" w:hAnsi="Arial" w:cs="Arial"/>
          <w:b/>
          <w:bCs/>
          <w:sz w:val="20"/>
          <w:szCs w:val="20"/>
        </w:rPr>
        <w:t xml:space="preserve"> </w:t>
      </w:r>
      <w:r w:rsidRPr="00CE66BC">
        <w:rPr>
          <w:rFonts w:ascii="Arial" w:hAnsi="Arial" w:cs="Arial"/>
          <w:b/>
          <w:bCs/>
          <w:sz w:val="20"/>
          <w:szCs w:val="20"/>
        </w:rPr>
        <w:t>Quantitation of anti-PD-L1 coupling to LPs using a functional E</w:t>
      </w:r>
      <w:r w:rsidR="00750857" w:rsidRPr="00CE66BC">
        <w:rPr>
          <w:rFonts w:ascii="Arial" w:hAnsi="Arial" w:cs="Arial"/>
          <w:b/>
          <w:bCs/>
          <w:sz w:val="20"/>
          <w:szCs w:val="20"/>
        </w:rPr>
        <w:t>LISA</w:t>
      </w:r>
      <w:r w:rsidRPr="00CE66BC">
        <w:rPr>
          <w:rFonts w:ascii="Arial" w:hAnsi="Arial" w:cs="Arial"/>
          <w:b/>
          <w:bCs/>
          <w:sz w:val="20"/>
          <w:szCs w:val="20"/>
        </w:rPr>
        <w:t xml:space="preserve">. </w:t>
      </w:r>
      <w:r w:rsidR="00750857" w:rsidRPr="00CE66BC">
        <w:rPr>
          <w:rFonts w:ascii="Arial" w:hAnsi="Arial" w:cs="Arial"/>
          <w:b/>
          <w:bCs/>
          <w:sz w:val="20"/>
          <w:szCs w:val="20"/>
        </w:rPr>
        <w:t xml:space="preserve">A </w:t>
      </w:r>
      <w:r w:rsidR="00750857" w:rsidRPr="00CE66BC">
        <w:rPr>
          <w:rFonts w:ascii="Arial" w:hAnsi="Arial" w:cs="Arial"/>
          <w:bCs/>
          <w:sz w:val="20"/>
          <w:szCs w:val="20"/>
        </w:rPr>
        <w:t xml:space="preserve">Parental antibodies (atezolizumab) </w:t>
      </w:r>
      <w:r w:rsidRPr="00CE66BC">
        <w:rPr>
          <w:rFonts w:ascii="Arial" w:hAnsi="Arial" w:cs="Arial"/>
          <w:bCs/>
          <w:sz w:val="20"/>
          <w:szCs w:val="20"/>
        </w:rPr>
        <w:t>were use</w:t>
      </w:r>
      <w:r w:rsidR="00750857" w:rsidRPr="00CE66BC">
        <w:rPr>
          <w:rFonts w:ascii="Arial" w:hAnsi="Arial" w:cs="Arial"/>
          <w:bCs/>
          <w:sz w:val="20"/>
          <w:szCs w:val="20"/>
        </w:rPr>
        <w:t>d to generate a standard curve</w:t>
      </w:r>
      <w:r w:rsidRPr="00CE66BC">
        <w:rPr>
          <w:rFonts w:ascii="Arial" w:hAnsi="Arial" w:cs="Arial"/>
          <w:bCs/>
          <w:sz w:val="20"/>
          <w:szCs w:val="20"/>
        </w:rPr>
        <w:t>.</w:t>
      </w:r>
      <w:r w:rsidR="00750857" w:rsidRPr="00CE66BC">
        <w:rPr>
          <w:rFonts w:ascii="Arial" w:hAnsi="Arial" w:cs="Arial"/>
          <w:bCs/>
          <w:sz w:val="20"/>
          <w:szCs w:val="20"/>
        </w:rPr>
        <w:t xml:space="preserve"> </w:t>
      </w:r>
      <w:r w:rsidR="00750857" w:rsidRPr="00CE66BC">
        <w:rPr>
          <w:rFonts w:ascii="Arial" w:hAnsi="Arial" w:cs="Arial"/>
          <w:b/>
          <w:bCs/>
          <w:sz w:val="20"/>
          <w:szCs w:val="20"/>
        </w:rPr>
        <w:t>B</w:t>
      </w:r>
      <w:r w:rsidR="00750857" w:rsidRPr="00CE66BC">
        <w:rPr>
          <w:rFonts w:ascii="Arial" w:hAnsi="Arial" w:cs="Arial"/>
          <w:bCs/>
          <w:sz w:val="20"/>
          <w:szCs w:val="20"/>
        </w:rPr>
        <w:t xml:space="preserve"> </w:t>
      </w:r>
      <w:r w:rsidR="00D3456A" w:rsidRPr="00CE66BC">
        <w:rPr>
          <w:rFonts w:ascii="Arial" w:hAnsi="Arial" w:cs="Arial"/>
          <w:bCs/>
          <w:sz w:val="20"/>
          <w:szCs w:val="20"/>
        </w:rPr>
        <w:t>Antibody</w:t>
      </w:r>
      <w:r w:rsidRPr="00CE66BC">
        <w:rPr>
          <w:rFonts w:ascii="Arial" w:hAnsi="Arial" w:cs="Arial"/>
          <w:bCs/>
          <w:sz w:val="20"/>
          <w:szCs w:val="20"/>
        </w:rPr>
        <w:t xml:space="preserve"> signals were quantified by measuring absorbance at 450 nm using a plate reader. </w:t>
      </w:r>
    </w:p>
    <w:p w14:paraId="4FED1774" w14:textId="03DC7F4E" w:rsidR="00642E09" w:rsidRPr="00CE66BC" w:rsidRDefault="00642E09" w:rsidP="00D30807">
      <w:pPr>
        <w:pStyle w:val="NormalWeb"/>
        <w:spacing w:before="120" w:beforeAutospacing="0" w:after="160" w:afterAutospacing="0" w:line="480" w:lineRule="auto"/>
        <w:jc w:val="center"/>
        <w:rPr>
          <w:rFonts w:ascii="Arial" w:hAnsi="Arial" w:cs="Arial"/>
          <w:noProof/>
          <w:sz w:val="20"/>
          <w:szCs w:val="20"/>
        </w:rPr>
      </w:pPr>
      <w:r w:rsidRPr="00CE66BC">
        <w:rPr>
          <w:rFonts w:ascii="Arial" w:hAnsi="Arial" w:cs="Arial"/>
          <w:noProof/>
          <w:sz w:val="20"/>
          <w:szCs w:val="20"/>
        </w:rPr>
        <w:lastRenderedPageBreak/>
        <w:drawing>
          <wp:inline distT="0" distB="0" distL="0" distR="0" wp14:anchorId="0AE3602B" wp14:editId="06A303BC">
            <wp:extent cx="4309345" cy="6599208"/>
            <wp:effectExtent l="0" t="0" r="0" b="0"/>
            <wp:docPr id="2853293" name="图片 8"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293" name="图片 8" descr="图表&#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7996" cy="6643083"/>
                    </a:xfrm>
                    <a:prstGeom prst="rect">
                      <a:avLst/>
                    </a:prstGeom>
                    <a:noFill/>
                    <a:ln>
                      <a:noFill/>
                    </a:ln>
                  </pic:spPr>
                </pic:pic>
              </a:graphicData>
            </a:graphic>
          </wp:inline>
        </w:drawing>
      </w:r>
    </w:p>
    <w:p w14:paraId="113380B5" w14:textId="15302C91" w:rsidR="005D6AD4" w:rsidRPr="00CE66BC" w:rsidRDefault="00750857" w:rsidP="00570FC0">
      <w:pPr>
        <w:pStyle w:val="NormalWeb"/>
        <w:spacing w:before="120" w:beforeAutospacing="0" w:after="160" w:afterAutospacing="0" w:line="480" w:lineRule="auto"/>
        <w:rPr>
          <w:rFonts w:ascii="Arial" w:hAnsi="Arial" w:cs="Arial"/>
          <w:sz w:val="20"/>
          <w:szCs w:val="20"/>
        </w:rPr>
      </w:pPr>
      <w:r w:rsidRPr="00CE66BC">
        <w:rPr>
          <w:rFonts w:ascii="Arial" w:hAnsi="Arial" w:cs="Arial"/>
          <w:b/>
          <w:bCs/>
          <w:sz w:val="20"/>
          <w:szCs w:val="20"/>
        </w:rPr>
        <w:t>Supplementary Figure 3</w:t>
      </w:r>
      <w:r w:rsidR="00B8094A" w:rsidRPr="00CE66BC">
        <w:rPr>
          <w:rFonts w:ascii="Arial" w:hAnsi="Arial" w:cs="Arial"/>
          <w:sz w:val="20"/>
          <w:szCs w:val="20"/>
        </w:rPr>
        <w:t xml:space="preserve"> </w:t>
      </w:r>
      <w:r w:rsidRPr="00CE66BC">
        <w:rPr>
          <w:rFonts w:ascii="Arial" w:hAnsi="Arial" w:cs="Arial"/>
          <w:b/>
          <w:sz w:val="20"/>
          <w:szCs w:val="20"/>
        </w:rPr>
        <w:t>Physicochemical Characterization and Stability of Anti-PD-L1 Liposomes. A-C</w:t>
      </w:r>
      <w:r w:rsidRPr="00CE66BC">
        <w:rPr>
          <w:rFonts w:ascii="Arial" w:hAnsi="Arial" w:cs="Arial"/>
          <w:sz w:val="20"/>
          <w:szCs w:val="20"/>
        </w:rPr>
        <w:t xml:space="preserve"> The size, polydispersity index (PDI), and zeta potential (charge) of each batch were measured using dynamic light scattering (DLS). The same samples were analyzed at months 0, 1, 2, 3, and 6 to monitor stability over time. </w:t>
      </w:r>
      <w:r w:rsidR="00427D8C" w:rsidRPr="00CE66BC">
        <w:rPr>
          <w:rFonts w:ascii="Arial" w:eastAsiaTheme="minorEastAsia" w:hAnsi="Arial" w:cs="Arial" w:hint="eastAsia"/>
          <w:sz w:val="20"/>
          <w:szCs w:val="20"/>
        </w:rPr>
        <w:t>NS</w:t>
      </w:r>
      <w:r w:rsidR="00427D8C" w:rsidRPr="00CE66BC">
        <w:rPr>
          <w:rFonts w:ascii="Arial" w:hAnsi="Arial" w:cs="Arial"/>
          <w:sz w:val="20"/>
          <w:szCs w:val="20"/>
        </w:rPr>
        <w:t xml:space="preserve"> = not significant.</w:t>
      </w:r>
    </w:p>
    <w:p w14:paraId="546EA4D5" w14:textId="79159AE4" w:rsidR="00565F4C" w:rsidRPr="00CE66BC" w:rsidRDefault="00565F4C" w:rsidP="00D30807">
      <w:pPr>
        <w:pStyle w:val="NormalWeb"/>
        <w:spacing w:before="120" w:beforeAutospacing="0" w:after="160" w:afterAutospacing="0" w:line="480" w:lineRule="auto"/>
        <w:jc w:val="center"/>
        <w:rPr>
          <w:rFonts w:ascii="Arial" w:hAnsi="Arial" w:cs="Arial"/>
          <w:noProof/>
          <w:sz w:val="20"/>
          <w:szCs w:val="20"/>
        </w:rPr>
      </w:pPr>
      <w:r w:rsidRPr="00CE66BC">
        <w:rPr>
          <w:rFonts w:ascii="Arial" w:hAnsi="Arial" w:cs="Arial"/>
          <w:noProof/>
          <w:sz w:val="20"/>
          <w:szCs w:val="20"/>
        </w:rPr>
        <w:drawing>
          <wp:inline distT="0" distB="0" distL="0" distR="0" wp14:anchorId="348E5C10" wp14:editId="4CE4146A">
            <wp:extent cx="5650230" cy="8246284"/>
            <wp:effectExtent l="0" t="0" r="7620" b="2540"/>
            <wp:docPr id="44056267" name="图片 10"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6267" name="图片 10" descr="图示&#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89881" cy="8304153"/>
                    </a:xfrm>
                    <a:prstGeom prst="rect">
                      <a:avLst/>
                    </a:prstGeom>
                    <a:noFill/>
                    <a:ln>
                      <a:noFill/>
                    </a:ln>
                  </pic:spPr>
                </pic:pic>
              </a:graphicData>
            </a:graphic>
          </wp:inline>
        </w:drawing>
      </w:r>
    </w:p>
    <w:p w14:paraId="3E4BBECE" w14:textId="08B12FE6" w:rsidR="00FD1BD8" w:rsidRPr="00CE66BC" w:rsidRDefault="00FD1BD8" w:rsidP="00570FC0">
      <w:pPr>
        <w:spacing w:before="120" w:line="480" w:lineRule="auto"/>
        <w:rPr>
          <w:rFonts w:ascii="Arial" w:hAnsi="Arial" w:cs="Arial"/>
          <w:sz w:val="20"/>
          <w:szCs w:val="20"/>
        </w:rPr>
      </w:pPr>
      <w:r w:rsidRPr="00CE66BC">
        <w:rPr>
          <w:rFonts w:ascii="Arial" w:hAnsi="Arial" w:cs="Arial"/>
          <w:b/>
          <w:bCs/>
          <w:sz w:val="20"/>
          <w:szCs w:val="20"/>
        </w:rPr>
        <w:t>Supplementary Figure 4</w:t>
      </w:r>
      <w:r w:rsidR="00B8094A" w:rsidRPr="00CE66BC">
        <w:rPr>
          <w:rFonts w:ascii="Arial" w:hAnsi="Arial" w:cs="Arial"/>
          <w:sz w:val="20"/>
          <w:szCs w:val="20"/>
        </w:rPr>
        <w:t xml:space="preserve"> </w:t>
      </w:r>
      <w:r w:rsidRPr="00CE66BC">
        <w:rPr>
          <w:rFonts w:ascii="Arial" w:hAnsi="Arial" w:cs="Arial"/>
          <w:b/>
          <w:sz w:val="20"/>
          <w:szCs w:val="20"/>
        </w:rPr>
        <w:t>Correlation of antibody density with binding efficiency and cytotoxicity of liposomes in melanoma cells. A</w:t>
      </w:r>
      <w:r w:rsidR="00A478C1" w:rsidRPr="00CE66BC">
        <w:rPr>
          <w:rFonts w:ascii="Arial" w:hAnsi="Arial" w:cs="Arial" w:hint="eastAsia"/>
          <w:b/>
          <w:sz w:val="20"/>
          <w:szCs w:val="20"/>
          <w:lang w:eastAsia="zh-CN"/>
        </w:rPr>
        <w:t>-D</w:t>
      </w:r>
      <w:r w:rsidRPr="00CE66BC">
        <w:rPr>
          <w:rFonts w:ascii="Arial" w:hAnsi="Arial" w:cs="Arial"/>
          <w:sz w:val="20"/>
          <w:szCs w:val="20"/>
        </w:rPr>
        <w:t xml:space="preserve"> The correlation between protein/lipid levels and binding capacity was assessed using the Pearson Correlation Coefficient (r) in GraphPad Prism </w:t>
      </w:r>
      <w:r w:rsidR="00A83D26" w:rsidRPr="00CE66BC">
        <w:rPr>
          <w:rFonts w:ascii="Arial" w:hAnsi="Arial" w:cs="Arial" w:hint="eastAsia"/>
          <w:sz w:val="20"/>
          <w:szCs w:val="20"/>
          <w:lang w:eastAsia="zh-CN"/>
        </w:rPr>
        <w:t>(</w:t>
      </w:r>
      <w:r w:rsidR="00132B8D" w:rsidRPr="00CE66BC">
        <w:rPr>
          <w:rFonts w:ascii="Arial" w:hAnsi="Arial" w:cs="Arial" w:hint="eastAsia"/>
          <w:b/>
          <w:bCs/>
          <w:sz w:val="20"/>
          <w:szCs w:val="20"/>
          <w:lang w:eastAsia="zh-CN"/>
        </w:rPr>
        <w:t>A</w:t>
      </w:r>
      <w:r w:rsidR="00132B8D" w:rsidRPr="00CE66BC">
        <w:rPr>
          <w:rFonts w:ascii="Arial" w:hAnsi="Arial" w:cs="Arial" w:hint="eastAsia"/>
          <w:sz w:val="20"/>
          <w:szCs w:val="20"/>
          <w:lang w:eastAsia="zh-CN"/>
        </w:rPr>
        <w:t xml:space="preserve"> </w:t>
      </w:r>
      <w:r w:rsidRPr="00CE66BC">
        <w:rPr>
          <w:rFonts w:ascii="Arial" w:hAnsi="Arial" w:cs="Arial"/>
          <w:sz w:val="20"/>
          <w:szCs w:val="20"/>
        </w:rPr>
        <w:t>MZ2Mel43</w:t>
      </w:r>
      <w:r w:rsidR="00A13C12" w:rsidRPr="00CE66BC">
        <w:rPr>
          <w:rFonts w:ascii="Arial" w:hAnsi="Arial" w:cs="Arial" w:hint="eastAsia"/>
          <w:sz w:val="20"/>
          <w:szCs w:val="20"/>
          <w:lang w:eastAsia="zh-CN"/>
        </w:rPr>
        <w:t xml:space="preserve">; </w:t>
      </w:r>
      <w:r w:rsidR="00A13C12" w:rsidRPr="00CE66BC">
        <w:rPr>
          <w:rFonts w:ascii="Arial" w:hAnsi="Arial" w:cs="Arial" w:hint="eastAsia"/>
          <w:b/>
          <w:bCs/>
          <w:sz w:val="20"/>
          <w:szCs w:val="20"/>
          <w:lang w:eastAsia="zh-CN"/>
        </w:rPr>
        <w:t>B</w:t>
      </w:r>
      <w:r w:rsidR="00A13C12" w:rsidRPr="00CE66BC">
        <w:rPr>
          <w:rFonts w:ascii="Arial" w:hAnsi="Arial" w:cs="Arial" w:hint="eastAsia"/>
          <w:sz w:val="20"/>
          <w:szCs w:val="20"/>
          <w:lang w:eastAsia="zh-CN"/>
        </w:rPr>
        <w:t xml:space="preserve"> </w:t>
      </w:r>
      <w:r w:rsidR="00A13C12" w:rsidRPr="00CE66BC">
        <w:rPr>
          <w:rFonts w:ascii="Arial" w:hAnsi="Arial" w:cs="Arial"/>
          <w:sz w:val="20"/>
          <w:szCs w:val="20"/>
        </w:rPr>
        <w:t>MZ2Mel43</w:t>
      </w:r>
      <w:r w:rsidRPr="00CE66BC">
        <w:rPr>
          <w:rFonts w:ascii="Arial" w:hAnsi="Arial" w:cs="Arial"/>
          <w:sz w:val="20"/>
          <w:szCs w:val="20"/>
        </w:rPr>
        <w:t xml:space="preserve"> </w:t>
      </w:r>
      <w:r w:rsidR="00A13C12" w:rsidRPr="00CE66BC">
        <w:rPr>
          <w:rFonts w:ascii="Arial" w:hAnsi="Arial" w:cs="Arial"/>
          <w:sz w:val="20"/>
          <w:szCs w:val="20"/>
        </w:rPr>
        <w:t xml:space="preserve">with IFN-γ </w:t>
      </w:r>
      <w:r w:rsidR="00A83D26" w:rsidRPr="00CE66BC">
        <w:rPr>
          <w:rFonts w:ascii="Arial" w:hAnsi="Arial" w:cs="Arial"/>
          <w:sz w:val="20"/>
          <w:szCs w:val="20"/>
        </w:rPr>
        <w:t>stimulation</w:t>
      </w:r>
      <w:r w:rsidR="00A83D26" w:rsidRPr="00CE66BC">
        <w:rPr>
          <w:rFonts w:ascii="Arial" w:hAnsi="Arial" w:cs="Arial"/>
          <w:sz w:val="20"/>
          <w:szCs w:val="20"/>
          <w:lang w:eastAsia="zh-CN"/>
        </w:rPr>
        <w:t xml:space="preserve">; </w:t>
      </w:r>
      <w:r w:rsidR="00A83D26" w:rsidRPr="00CE66BC">
        <w:rPr>
          <w:rFonts w:ascii="Arial" w:hAnsi="Arial" w:cs="Arial"/>
          <w:b/>
          <w:bCs/>
          <w:sz w:val="20"/>
          <w:szCs w:val="20"/>
        </w:rPr>
        <w:t>C</w:t>
      </w:r>
      <w:r w:rsidR="00B000DA" w:rsidRPr="00CE66BC">
        <w:rPr>
          <w:rFonts w:ascii="Arial" w:hAnsi="Arial" w:cs="Arial" w:hint="eastAsia"/>
          <w:b/>
          <w:bCs/>
          <w:sz w:val="20"/>
          <w:szCs w:val="20"/>
          <w:lang w:eastAsia="zh-CN"/>
        </w:rPr>
        <w:t xml:space="preserve"> </w:t>
      </w:r>
      <w:r w:rsidR="00B000DA" w:rsidRPr="00CE66BC">
        <w:rPr>
          <w:rFonts w:ascii="Arial" w:hAnsi="Arial" w:cs="Arial" w:hint="eastAsia"/>
          <w:sz w:val="20"/>
          <w:szCs w:val="20"/>
          <w:lang w:eastAsia="zh-CN"/>
        </w:rPr>
        <w:t xml:space="preserve">BLM; </w:t>
      </w:r>
      <w:r w:rsidR="00B000DA" w:rsidRPr="00CE66BC">
        <w:rPr>
          <w:rFonts w:ascii="Arial" w:hAnsi="Arial" w:cs="Arial" w:hint="eastAsia"/>
          <w:b/>
          <w:bCs/>
          <w:sz w:val="20"/>
          <w:szCs w:val="20"/>
          <w:lang w:eastAsia="zh-CN"/>
        </w:rPr>
        <w:t>D</w:t>
      </w:r>
      <w:r w:rsidR="00B000DA" w:rsidRPr="00CE66BC">
        <w:rPr>
          <w:rFonts w:ascii="Arial" w:hAnsi="Arial" w:cs="Arial" w:hint="eastAsia"/>
          <w:sz w:val="20"/>
          <w:szCs w:val="20"/>
          <w:lang w:eastAsia="zh-CN"/>
        </w:rPr>
        <w:t xml:space="preserve"> BLM</w:t>
      </w:r>
      <w:r w:rsidR="00B000DA" w:rsidRPr="00CE66BC">
        <w:rPr>
          <w:rFonts w:ascii="Arial" w:hAnsi="Arial" w:cs="Arial"/>
          <w:sz w:val="20"/>
          <w:szCs w:val="20"/>
        </w:rPr>
        <w:t xml:space="preserve"> with IFN-γ</w:t>
      </w:r>
      <w:r w:rsidR="00A83D26" w:rsidRPr="00CE66BC">
        <w:rPr>
          <w:rFonts w:ascii="Arial" w:hAnsi="Arial" w:cs="Arial" w:hint="eastAsia"/>
          <w:sz w:val="20"/>
          <w:szCs w:val="20"/>
          <w:lang w:eastAsia="zh-CN"/>
        </w:rPr>
        <w:t>).</w:t>
      </w:r>
      <w:r w:rsidR="00B000DA" w:rsidRPr="00CE66BC">
        <w:rPr>
          <w:rFonts w:ascii="Arial" w:hAnsi="Arial" w:cs="Arial"/>
          <w:sz w:val="20"/>
          <w:szCs w:val="20"/>
        </w:rPr>
        <w:t xml:space="preserve"> </w:t>
      </w:r>
      <w:r w:rsidR="00B07A95" w:rsidRPr="00CE66BC">
        <w:rPr>
          <w:rFonts w:ascii="Arial" w:hAnsi="Arial" w:cs="Arial" w:hint="eastAsia"/>
          <w:b/>
          <w:sz w:val="20"/>
          <w:szCs w:val="20"/>
          <w:lang w:eastAsia="zh-CN"/>
        </w:rPr>
        <w:t>E-</w:t>
      </w:r>
      <w:r w:rsidR="004A064F" w:rsidRPr="00CE66BC">
        <w:rPr>
          <w:rFonts w:ascii="Arial" w:hAnsi="Arial" w:cs="Arial" w:hint="eastAsia"/>
          <w:b/>
          <w:sz w:val="20"/>
          <w:szCs w:val="20"/>
          <w:lang w:eastAsia="zh-CN"/>
        </w:rPr>
        <w:t>J</w:t>
      </w:r>
      <w:r w:rsidRPr="00CE66BC">
        <w:rPr>
          <w:rFonts w:ascii="Arial" w:hAnsi="Arial" w:cs="Arial"/>
          <w:sz w:val="20"/>
          <w:szCs w:val="20"/>
        </w:rPr>
        <w:t xml:space="preserve"> The toxicities of liposomes (at phosphorus concentrations of 1 µM, 10 µM, and 100 µM) were evaluated in MZ2Mel43 and BLM cells over 72 </w:t>
      </w:r>
      <w:r w:rsidR="003E7878" w:rsidRPr="00CE66BC">
        <w:rPr>
          <w:rFonts w:ascii="Arial" w:hAnsi="Arial" w:cs="Arial" w:hint="eastAsia"/>
          <w:sz w:val="20"/>
          <w:szCs w:val="20"/>
          <w:lang w:eastAsia="zh-CN"/>
        </w:rPr>
        <w:t>h</w:t>
      </w:r>
      <w:r w:rsidRPr="00CE66BC">
        <w:rPr>
          <w:rFonts w:ascii="Arial" w:hAnsi="Arial" w:cs="Arial"/>
          <w:sz w:val="20"/>
          <w:szCs w:val="20"/>
        </w:rPr>
        <w:t>. Cell growth was monitored using Incucyte</w:t>
      </w:r>
      <w:r w:rsidR="008B671B" w:rsidRPr="00CE66BC">
        <w:rPr>
          <w:rFonts w:ascii="Arial" w:hAnsi="Arial" w:cs="Arial" w:hint="eastAsia"/>
          <w:sz w:val="20"/>
          <w:szCs w:val="20"/>
          <w:lang w:eastAsia="zh-CN"/>
        </w:rPr>
        <w:t xml:space="preserve"> (</w:t>
      </w:r>
      <w:r w:rsidR="008B671B" w:rsidRPr="00CE66BC">
        <w:rPr>
          <w:rFonts w:ascii="Arial" w:hAnsi="Arial" w:cs="Arial" w:hint="eastAsia"/>
          <w:b/>
          <w:bCs/>
          <w:sz w:val="20"/>
          <w:szCs w:val="20"/>
          <w:lang w:eastAsia="zh-CN"/>
        </w:rPr>
        <w:t>E</w:t>
      </w:r>
      <w:r w:rsidR="008B671B" w:rsidRPr="00CE66BC">
        <w:rPr>
          <w:rFonts w:ascii="Arial" w:hAnsi="Arial" w:cs="Arial" w:hint="eastAsia"/>
          <w:sz w:val="20"/>
          <w:szCs w:val="20"/>
          <w:lang w:eastAsia="zh-CN"/>
        </w:rPr>
        <w:t xml:space="preserve"> </w:t>
      </w:r>
      <w:r w:rsidR="008B671B" w:rsidRPr="00CE66BC">
        <w:rPr>
          <w:rFonts w:ascii="Arial" w:hAnsi="Arial" w:cs="Arial"/>
          <w:sz w:val="20"/>
          <w:szCs w:val="20"/>
        </w:rPr>
        <w:t>MZ2Mel43</w:t>
      </w:r>
      <w:r w:rsidR="008B671B" w:rsidRPr="00CE66BC">
        <w:rPr>
          <w:rFonts w:ascii="Arial" w:hAnsi="Arial" w:cs="Arial" w:hint="eastAsia"/>
          <w:sz w:val="20"/>
          <w:szCs w:val="20"/>
          <w:lang w:eastAsia="zh-CN"/>
        </w:rPr>
        <w:t>, li</w:t>
      </w:r>
      <w:r w:rsidR="00EF0880" w:rsidRPr="00CE66BC">
        <w:rPr>
          <w:rFonts w:ascii="Arial" w:hAnsi="Arial" w:cs="Arial" w:hint="eastAsia"/>
          <w:sz w:val="20"/>
          <w:szCs w:val="20"/>
          <w:lang w:eastAsia="zh-CN"/>
        </w:rPr>
        <w:t>pid concentration: 100uM</w:t>
      </w:r>
      <w:r w:rsidR="008B671B" w:rsidRPr="00CE66BC">
        <w:rPr>
          <w:rFonts w:ascii="Arial" w:hAnsi="Arial" w:cs="Arial" w:hint="eastAsia"/>
          <w:sz w:val="20"/>
          <w:szCs w:val="20"/>
          <w:lang w:eastAsia="zh-CN"/>
        </w:rPr>
        <w:t xml:space="preserve">; </w:t>
      </w:r>
      <w:r w:rsidR="00EF0880" w:rsidRPr="00CE66BC">
        <w:rPr>
          <w:rFonts w:ascii="Arial" w:hAnsi="Arial" w:cs="Arial" w:hint="eastAsia"/>
          <w:b/>
          <w:bCs/>
          <w:sz w:val="20"/>
          <w:szCs w:val="20"/>
          <w:lang w:eastAsia="zh-CN"/>
        </w:rPr>
        <w:t>F</w:t>
      </w:r>
      <w:r w:rsidR="008B671B" w:rsidRPr="00CE66BC">
        <w:rPr>
          <w:rFonts w:ascii="Arial" w:hAnsi="Arial" w:cs="Arial" w:hint="eastAsia"/>
          <w:sz w:val="20"/>
          <w:szCs w:val="20"/>
          <w:lang w:eastAsia="zh-CN"/>
        </w:rPr>
        <w:t xml:space="preserve"> </w:t>
      </w:r>
      <w:r w:rsidR="00EF0880" w:rsidRPr="00CE66BC">
        <w:rPr>
          <w:rFonts w:ascii="Arial" w:hAnsi="Arial" w:cs="Arial" w:hint="eastAsia"/>
          <w:sz w:val="20"/>
          <w:szCs w:val="20"/>
          <w:lang w:eastAsia="zh-CN"/>
        </w:rPr>
        <w:t>BLM, lipid concentration: 100uM;</w:t>
      </w:r>
      <w:r w:rsidR="008B671B" w:rsidRPr="00CE66BC">
        <w:rPr>
          <w:rFonts w:ascii="Arial" w:hAnsi="Arial" w:cs="Arial"/>
          <w:sz w:val="20"/>
          <w:szCs w:val="20"/>
          <w:lang w:eastAsia="zh-CN"/>
        </w:rPr>
        <w:t xml:space="preserve"> </w:t>
      </w:r>
      <w:r w:rsidR="006B5B4B" w:rsidRPr="00CE66BC">
        <w:rPr>
          <w:rFonts w:ascii="Arial" w:hAnsi="Arial" w:cs="Arial" w:hint="eastAsia"/>
          <w:b/>
          <w:bCs/>
          <w:sz w:val="20"/>
          <w:szCs w:val="20"/>
          <w:lang w:eastAsia="zh-CN"/>
        </w:rPr>
        <w:t>G</w:t>
      </w:r>
      <w:r w:rsidR="006B5B4B" w:rsidRPr="00CE66BC">
        <w:rPr>
          <w:rFonts w:ascii="Arial" w:hAnsi="Arial" w:cs="Arial" w:hint="eastAsia"/>
          <w:sz w:val="20"/>
          <w:szCs w:val="20"/>
          <w:lang w:eastAsia="zh-CN"/>
        </w:rPr>
        <w:t xml:space="preserve"> </w:t>
      </w:r>
      <w:r w:rsidR="006B5B4B" w:rsidRPr="00CE66BC">
        <w:rPr>
          <w:rFonts w:ascii="Arial" w:hAnsi="Arial" w:cs="Arial"/>
          <w:sz w:val="20"/>
          <w:szCs w:val="20"/>
        </w:rPr>
        <w:t>MZ2Mel43</w:t>
      </w:r>
      <w:r w:rsidR="006B5B4B" w:rsidRPr="00CE66BC">
        <w:rPr>
          <w:rFonts w:ascii="Arial" w:hAnsi="Arial" w:cs="Arial" w:hint="eastAsia"/>
          <w:sz w:val="20"/>
          <w:szCs w:val="20"/>
          <w:lang w:eastAsia="zh-CN"/>
        </w:rPr>
        <w:t xml:space="preserve">, lipid concentration: 10uM; </w:t>
      </w:r>
      <w:r w:rsidR="006B5B4B" w:rsidRPr="00CE66BC">
        <w:rPr>
          <w:rFonts w:ascii="Arial" w:hAnsi="Arial" w:cs="Arial" w:hint="eastAsia"/>
          <w:b/>
          <w:bCs/>
          <w:sz w:val="20"/>
          <w:szCs w:val="20"/>
          <w:lang w:eastAsia="zh-CN"/>
        </w:rPr>
        <w:t>H</w:t>
      </w:r>
      <w:r w:rsidR="006B5B4B" w:rsidRPr="00CE66BC">
        <w:rPr>
          <w:rFonts w:ascii="Arial" w:hAnsi="Arial" w:cs="Arial" w:hint="eastAsia"/>
          <w:sz w:val="20"/>
          <w:szCs w:val="20"/>
          <w:lang w:eastAsia="zh-CN"/>
        </w:rPr>
        <w:t xml:space="preserve"> BLM, lipid concentration: 10uM</w:t>
      </w:r>
      <w:r w:rsidR="00224A89" w:rsidRPr="00CE66BC">
        <w:rPr>
          <w:rFonts w:ascii="Arial" w:hAnsi="Arial" w:cs="Arial" w:hint="eastAsia"/>
          <w:sz w:val="20"/>
          <w:szCs w:val="20"/>
          <w:lang w:eastAsia="zh-CN"/>
        </w:rPr>
        <w:t xml:space="preserve">; </w:t>
      </w:r>
      <w:r w:rsidR="00224A89" w:rsidRPr="00CE66BC">
        <w:rPr>
          <w:rFonts w:ascii="Arial" w:hAnsi="Arial" w:cs="Arial" w:hint="eastAsia"/>
          <w:b/>
          <w:bCs/>
          <w:sz w:val="20"/>
          <w:szCs w:val="20"/>
          <w:lang w:eastAsia="zh-CN"/>
        </w:rPr>
        <w:t>I</w:t>
      </w:r>
      <w:r w:rsidR="004A064F" w:rsidRPr="00CE66BC">
        <w:rPr>
          <w:rFonts w:ascii="Arial" w:hAnsi="Arial" w:cs="Arial" w:hint="eastAsia"/>
          <w:sz w:val="20"/>
          <w:szCs w:val="20"/>
          <w:lang w:eastAsia="zh-CN"/>
        </w:rPr>
        <w:t xml:space="preserve"> </w:t>
      </w:r>
      <w:r w:rsidR="004A064F" w:rsidRPr="00CE66BC">
        <w:rPr>
          <w:rFonts w:ascii="Arial" w:hAnsi="Arial" w:cs="Arial"/>
          <w:sz w:val="20"/>
          <w:szCs w:val="20"/>
        </w:rPr>
        <w:t>MZ2Mel43</w:t>
      </w:r>
      <w:r w:rsidR="004A064F" w:rsidRPr="00CE66BC">
        <w:rPr>
          <w:rFonts w:ascii="Arial" w:hAnsi="Arial" w:cs="Arial" w:hint="eastAsia"/>
          <w:sz w:val="20"/>
          <w:szCs w:val="20"/>
          <w:lang w:eastAsia="zh-CN"/>
        </w:rPr>
        <w:t xml:space="preserve">, lipid concentration: 1uM; </w:t>
      </w:r>
      <w:r w:rsidR="00224A89" w:rsidRPr="00CE66BC">
        <w:rPr>
          <w:rFonts w:ascii="Arial" w:hAnsi="Arial" w:cs="Arial" w:hint="eastAsia"/>
          <w:b/>
          <w:bCs/>
          <w:sz w:val="20"/>
          <w:szCs w:val="20"/>
          <w:lang w:eastAsia="zh-CN"/>
        </w:rPr>
        <w:t>J</w:t>
      </w:r>
      <w:r w:rsidR="004A064F" w:rsidRPr="00CE66BC">
        <w:rPr>
          <w:rFonts w:ascii="Arial" w:hAnsi="Arial" w:cs="Arial" w:hint="eastAsia"/>
          <w:sz w:val="20"/>
          <w:szCs w:val="20"/>
          <w:lang w:eastAsia="zh-CN"/>
        </w:rPr>
        <w:t xml:space="preserve"> BLM, lipid concentration: 1uM</w:t>
      </w:r>
      <w:r w:rsidR="008B671B" w:rsidRPr="00CE66BC">
        <w:rPr>
          <w:rFonts w:ascii="Arial" w:hAnsi="Arial" w:cs="Arial" w:hint="eastAsia"/>
          <w:sz w:val="20"/>
          <w:szCs w:val="20"/>
          <w:lang w:eastAsia="zh-CN"/>
        </w:rPr>
        <w:t>)</w:t>
      </w:r>
      <w:r w:rsidRPr="00CE66BC">
        <w:rPr>
          <w:rFonts w:ascii="Arial" w:hAnsi="Arial" w:cs="Arial"/>
          <w:sz w:val="20"/>
          <w:szCs w:val="20"/>
        </w:rPr>
        <w:t>.</w:t>
      </w:r>
    </w:p>
    <w:p w14:paraId="640D37A2" w14:textId="77777777" w:rsidR="004D1473" w:rsidRPr="00CE66BC" w:rsidRDefault="004D1473" w:rsidP="00570FC0">
      <w:pPr>
        <w:spacing w:before="120" w:line="480" w:lineRule="auto"/>
        <w:rPr>
          <w:rFonts w:ascii="Arial" w:hAnsi="Arial" w:cs="Arial"/>
          <w:sz w:val="20"/>
          <w:szCs w:val="20"/>
        </w:rPr>
      </w:pPr>
    </w:p>
    <w:p w14:paraId="1CF5F469" w14:textId="77777777" w:rsidR="003B5F91" w:rsidRPr="00CE66BC" w:rsidRDefault="003B5F91" w:rsidP="003B5F91">
      <w:pPr>
        <w:spacing w:before="120" w:line="480" w:lineRule="auto"/>
        <w:jc w:val="center"/>
        <w:rPr>
          <w:rFonts w:ascii="Arial" w:hAnsi="Arial" w:cs="Arial"/>
          <w:sz w:val="22"/>
          <w:szCs w:val="22"/>
        </w:rPr>
      </w:pPr>
      <w:r w:rsidRPr="00CE66BC">
        <w:rPr>
          <w:rFonts w:ascii="Arial" w:hAnsi="Arial" w:cs="Arial"/>
          <w:b/>
          <w:bCs/>
          <w:sz w:val="22"/>
          <w:szCs w:val="22"/>
        </w:rPr>
        <w:t>Supplementary Table 1: Antibody and lipid concentrations</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0"/>
        <w:gridCol w:w="3197"/>
        <w:gridCol w:w="2445"/>
        <w:gridCol w:w="2078"/>
      </w:tblGrid>
      <w:tr w:rsidR="003B5F91" w:rsidRPr="00CE66BC" w14:paraId="1618C366" w14:textId="77777777" w:rsidTr="004D1473">
        <w:trPr>
          <w:trHeight w:hRule="exact" w:val="454"/>
          <w:jc w:val="center"/>
        </w:trPr>
        <w:tc>
          <w:tcPr>
            <w:tcW w:w="1640" w:type="dxa"/>
            <w:tcBorders>
              <w:top w:val="single" w:sz="4" w:space="0" w:color="auto"/>
              <w:bottom w:val="single" w:sz="4" w:space="0" w:color="auto"/>
            </w:tcBorders>
            <w:vAlign w:val="center"/>
          </w:tcPr>
          <w:p w14:paraId="22AE27B4"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b/>
                <w:bCs/>
                <w:color w:val="000000" w:themeColor="text1"/>
                <w:kern w:val="24"/>
                <w:sz w:val="20"/>
                <w:szCs w:val="20"/>
              </w:rPr>
              <w:t>Batches</w:t>
            </w:r>
          </w:p>
        </w:tc>
        <w:tc>
          <w:tcPr>
            <w:tcW w:w="3197" w:type="dxa"/>
            <w:tcBorders>
              <w:top w:val="single" w:sz="4" w:space="0" w:color="auto"/>
              <w:bottom w:val="single" w:sz="4" w:space="0" w:color="auto"/>
            </w:tcBorders>
            <w:vAlign w:val="center"/>
          </w:tcPr>
          <w:p w14:paraId="0E35E9C7"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b/>
                <w:bCs/>
                <w:sz w:val="20"/>
                <w:szCs w:val="20"/>
              </w:rPr>
              <w:t>Formulation</w:t>
            </w:r>
          </w:p>
        </w:tc>
        <w:tc>
          <w:tcPr>
            <w:tcW w:w="2445" w:type="dxa"/>
            <w:tcBorders>
              <w:top w:val="single" w:sz="4" w:space="0" w:color="auto"/>
              <w:bottom w:val="single" w:sz="4" w:space="0" w:color="auto"/>
            </w:tcBorders>
            <w:vAlign w:val="center"/>
          </w:tcPr>
          <w:p w14:paraId="45563269" w14:textId="121B7A02"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b/>
                <w:bCs/>
                <w:sz w:val="20"/>
                <w:szCs w:val="20"/>
              </w:rPr>
              <w:t>ug/m</w:t>
            </w:r>
            <w:r w:rsidR="00D644B0" w:rsidRPr="00CE66BC">
              <w:rPr>
                <w:rFonts w:ascii="Arial" w:eastAsiaTheme="minorEastAsia" w:hAnsi="Arial" w:cs="Arial" w:hint="eastAsia"/>
                <w:b/>
                <w:bCs/>
                <w:sz w:val="20"/>
                <w:szCs w:val="20"/>
              </w:rPr>
              <w:t>L</w:t>
            </w:r>
            <w:r w:rsidRPr="00CE66BC">
              <w:rPr>
                <w:rFonts w:ascii="Arial" w:hAnsi="Arial" w:cs="Arial"/>
                <w:b/>
                <w:bCs/>
                <w:sz w:val="20"/>
                <w:szCs w:val="20"/>
              </w:rPr>
              <w:t xml:space="preserve"> protein</w:t>
            </w:r>
          </w:p>
        </w:tc>
        <w:tc>
          <w:tcPr>
            <w:tcW w:w="2078" w:type="dxa"/>
            <w:tcBorders>
              <w:top w:val="single" w:sz="4" w:space="0" w:color="auto"/>
              <w:bottom w:val="single" w:sz="4" w:space="0" w:color="auto"/>
            </w:tcBorders>
            <w:vAlign w:val="center"/>
          </w:tcPr>
          <w:p w14:paraId="16D8CC0D" w14:textId="19670980"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b/>
                <w:bCs/>
                <w:sz w:val="20"/>
                <w:szCs w:val="20"/>
                <w:lang w:val="en-GB"/>
              </w:rPr>
              <w:t>uM/m</w:t>
            </w:r>
            <w:r w:rsidR="00D644B0" w:rsidRPr="00CE66BC">
              <w:rPr>
                <w:rFonts w:ascii="Arial" w:eastAsiaTheme="minorEastAsia" w:hAnsi="Arial" w:cs="Arial" w:hint="eastAsia"/>
                <w:b/>
                <w:bCs/>
                <w:sz w:val="20"/>
                <w:szCs w:val="20"/>
                <w:lang w:val="en-GB"/>
              </w:rPr>
              <w:t>L</w:t>
            </w:r>
            <w:r w:rsidRPr="00CE66BC">
              <w:rPr>
                <w:rFonts w:ascii="Arial" w:hAnsi="Arial" w:cs="Arial"/>
                <w:b/>
                <w:bCs/>
                <w:sz w:val="20"/>
                <w:szCs w:val="20"/>
                <w:lang w:val="en-GB"/>
              </w:rPr>
              <w:t xml:space="preserve"> lipid</w:t>
            </w:r>
          </w:p>
        </w:tc>
      </w:tr>
      <w:tr w:rsidR="003B5F91" w:rsidRPr="00CE66BC" w14:paraId="78F360B8" w14:textId="77777777" w:rsidTr="004D1473">
        <w:trPr>
          <w:trHeight w:hRule="exact" w:val="454"/>
          <w:jc w:val="center"/>
        </w:trPr>
        <w:tc>
          <w:tcPr>
            <w:tcW w:w="1640" w:type="dxa"/>
            <w:vMerge w:val="restart"/>
            <w:tcBorders>
              <w:top w:val="single" w:sz="4" w:space="0" w:color="auto"/>
            </w:tcBorders>
            <w:vAlign w:val="center"/>
          </w:tcPr>
          <w:p w14:paraId="4F0CEE21"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Batch 1</w:t>
            </w:r>
          </w:p>
        </w:tc>
        <w:tc>
          <w:tcPr>
            <w:tcW w:w="3197" w:type="dxa"/>
            <w:tcBorders>
              <w:top w:val="single" w:sz="4" w:space="0" w:color="auto"/>
              <w:bottom w:val="nil"/>
            </w:tcBorders>
            <w:vAlign w:val="center"/>
          </w:tcPr>
          <w:p w14:paraId="3E184C2B"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Anti-PD-L1 low-LP</w:t>
            </w:r>
          </w:p>
        </w:tc>
        <w:tc>
          <w:tcPr>
            <w:tcW w:w="2445" w:type="dxa"/>
            <w:tcBorders>
              <w:top w:val="single" w:sz="4" w:space="0" w:color="auto"/>
              <w:bottom w:val="nil"/>
            </w:tcBorders>
            <w:vAlign w:val="center"/>
          </w:tcPr>
          <w:p w14:paraId="452EE1D7"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0.38</w:t>
            </w:r>
          </w:p>
        </w:tc>
        <w:tc>
          <w:tcPr>
            <w:tcW w:w="2078" w:type="dxa"/>
            <w:tcBorders>
              <w:top w:val="single" w:sz="4" w:space="0" w:color="auto"/>
              <w:bottom w:val="nil"/>
            </w:tcBorders>
            <w:vAlign w:val="center"/>
          </w:tcPr>
          <w:p w14:paraId="329AD53D"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5.19</w:t>
            </w:r>
          </w:p>
        </w:tc>
      </w:tr>
      <w:tr w:rsidR="003B5F91" w:rsidRPr="00CE66BC" w14:paraId="26EB3B22" w14:textId="77777777" w:rsidTr="004D1473">
        <w:trPr>
          <w:trHeight w:hRule="exact" w:val="454"/>
          <w:jc w:val="center"/>
        </w:trPr>
        <w:tc>
          <w:tcPr>
            <w:tcW w:w="1640" w:type="dxa"/>
            <w:vMerge/>
            <w:vAlign w:val="center"/>
          </w:tcPr>
          <w:p w14:paraId="2BD271B3"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p>
        </w:tc>
        <w:tc>
          <w:tcPr>
            <w:tcW w:w="3197" w:type="dxa"/>
            <w:tcBorders>
              <w:top w:val="nil"/>
              <w:bottom w:val="single" w:sz="4" w:space="0" w:color="auto"/>
            </w:tcBorders>
            <w:vAlign w:val="center"/>
          </w:tcPr>
          <w:p w14:paraId="4360A76F"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Anti-PD-L1 high-LP</w:t>
            </w:r>
          </w:p>
        </w:tc>
        <w:tc>
          <w:tcPr>
            <w:tcW w:w="2445" w:type="dxa"/>
            <w:tcBorders>
              <w:top w:val="nil"/>
              <w:bottom w:val="single" w:sz="4" w:space="0" w:color="auto"/>
            </w:tcBorders>
            <w:vAlign w:val="center"/>
          </w:tcPr>
          <w:p w14:paraId="6E042B22"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0.94</w:t>
            </w:r>
          </w:p>
        </w:tc>
        <w:tc>
          <w:tcPr>
            <w:tcW w:w="2078" w:type="dxa"/>
            <w:tcBorders>
              <w:top w:val="nil"/>
              <w:bottom w:val="single" w:sz="4" w:space="0" w:color="auto"/>
            </w:tcBorders>
            <w:vAlign w:val="center"/>
          </w:tcPr>
          <w:p w14:paraId="30F7A114"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4.72</w:t>
            </w:r>
          </w:p>
        </w:tc>
      </w:tr>
      <w:tr w:rsidR="003B5F91" w:rsidRPr="00CE66BC" w14:paraId="4A0269AF" w14:textId="77777777" w:rsidTr="004D1473">
        <w:trPr>
          <w:trHeight w:hRule="exact" w:val="454"/>
          <w:jc w:val="center"/>
        </w:trPr>
        <w:tc>
          <w:tcPr>
            <w:tcW w:w="1640" w:type="dxa"/>
            <w:vMerge w:val="restart"/>
            <w:vAlign w:val="center"/>
          </w:tcPr>
          <w:p w14:paraId="29484A0A"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Batch 2</w:t>
            </w:r>
          </w:p>
        </w:tc>
        <w:tc>
          <w:tcPr>
            <w:tcW w:w="3197" w:type="dxa"/>
            <w:tcBorders>
              <w:top w:val="single" w:sz="4" w:space="0" w:color="auto"/>
              <w:bottom w:val="nil"/>
            </w:tcBorders>
            <w:vAlign w:val="center"/>
          </w:tcPr>
          <w:p w14:paraId="554D2E6F"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Anti-PD-L1 low-LP</w:t>
            </w:r>
          </w:p>
        </w:tc>
        <w:tc>
          <w:tcPr>
            <w:tcW w:w="2445" w:type="dxa"/>
            <w:tcBorders>
              <w:top w:val="single" w:sz="4" w:space="0" w:color="auto"/>
              <w:bottom w:val="nil"/>
            </w:tcBorders>
            <w:vAlign w:val="center"/>
          </w:tcPr>
          <w:p w14:paraId="0CFB3923"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0.70</w:t>
            </w:r>
          </w:p>
        </w:tc>
        <w:tc>
          <w:tcPr>
            <w:tcW w:w="2078" w:type="dxa"/>
            <w:tcBorders>
              <w:top w:val="single" w:sz="4" w:space="0" w:color="auto"/>
              <w:bottom w:val="nil"/>
            </w:tcBorders>
            <w:vAlign w:val="center"/>
          </w:tcPr>
          <w:p w14:paraId="1CCB9AE8"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5.87</w:t>
            </w:r>
          </w:p>
        </w:tc>
      </w:tr>
      <w:tr w:rsidR="003B5F91" w:rsidRPr="00CE66BC" w14:paraId="02BAF293" w14:textId="77777777" w:rsidTr="004D1473">
        <w:trPr>
          <w:trHeight w:hRule="exact" w:val="454"/>
          <w:jc w:val="center"/>
        </w:trPr>
        <w:tc>
          <w:tcPr>
            <w:tcW w:w="1640" w:type="dxa"/>
            <w:vMerge/>
            <w:vAlign w:val="center"/>
          </w:tcPr>
          <w:p w14:paraId="599D2947"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p>
        </w:tc>
        <w:tc>
          <w:tcPr>
            <w:tcW w:w="3197" w:type="dxa"/>
            <w:tcBorders>
              <w:top w:val="nil"/>
              <w:bottom w:val="single" w:sz="4" w:space="0" w:color="auto"/>
            </w:tcBorders>
            <w:vAlign w:val="center"/>
          </w:tcPr>
          <w:p w14:paraId="7D45664D"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Anti-PD-L1 high-LP</w:t>
            </w:r>
          </w:p>
        </w:tc>
        <w:tc>
          <w:tcPr>
            <w:tcW w:w="2445" w:type="dxa"/>
            <w:tcBorders>
              <w:top w:val="nil"/>
              <w:bottom w:val="single" w:sz="4" w:space="0" w:color="auto"/>
            </w:tcBorders>
            <w:vAlign w:val="center"/>
          </w:tcPr>
          <w:p w14:paraId="6A728C2F"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0.83</w:t>
            </w:r>
          </w:p>
        </w:tc>
        <w:tc>
          <w:tcPr>
            <w:tcW w:w="2078" w:type="dxa"/>
            <w:tcBorders>
              <w:top w:val="nil"/>
              <w:bottom w:val="single" w:sz="4" w:space="0" w:color="auto"/>
            </w:tcBorders>
            <w:vAlign w:val="center"/>
          </w:tcPr>
          <w:p w14:paraId="4778DCC9"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5.16</w:t>
            </w:r>
          </w:p>
        </w:tc>
      </w:tr>
      <w:tr w:rsidR="003B5F91" w:rsidRPr="00CE66BC" w14:paraId="0D8634FE" w14:textId="77777777" w:rsidTr="004D1473">
        <w:trPr>
          <w:trHeight w:hRule="exact" w:val="454"/>
          <w:jc w:val="center"/>
        </w:trPr>
        <w:tc>
          <w:tcPr>
            <w:tcW w:w="1640" w:type="dxa"/>
            <w:vMerge w:val="restart"/>
            <w:vAlign w:val="center"/>
          </w:tcPr>
          <w:p w14:paraId="58F8A5ED"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Batch 3</w:t>
            </w:r>
          </w:p>
        </w:tc>
        <w:tc>
          <w:tcPr>
            <w:tcW w:w="3197" w:type="dxa"/>
            <w:tcBorders>
              <w:top w:val="single" w:sz="4" w:space="0" w:color="auto"/>
            </w:tcBorders>
            <w:vAlign w:val="center"/>
          </w:tcPr>
          <w:p w14:paraId="56025B9A"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Anti-PD-L1 low-LP</w:t>
            </w:r>
          </w:p>
        </w:tc>
        <w:tc>
          <w:tcPr>
            <w:tcW w:w="2445" w:type="dxa"/>
            <w:tcBorders>
              <w:top w:val="single" w:sz="4" w:space="0" w:color="auto"/>
            </w:tcBorders>
            <w:vAlign w:val="center"/>
          </w:tcPr>
          <w:p w14:paraId="33810002"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0.47</w:t>
            </w:r>
          </w:p>
        </w:tc>
        <w:tc>
          <w:tcPr>
            <w:tcW w:w="2078" w:type="dxa"/>
            <w:tcBorders>
              <w:top w:val="single" w:sz="4" w:space="0" w:color="auto"/>
            </w:tcBorders>
            <w:vAlign w:val="center"/>
          </w:tcPr>
          <w:p w14:paraId="76EA1721"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5.64</w:t>
            </w:r>
          </w:p>
        </w:tc>
      </w:tr>
      <w:tr w:rsidR="003B5F91" w:rsidRPr="00CE66BC" w14:paraId="6F35D05E" w14:textId="77777777" w:rsidTr="004D1473">
        <w:trPr>
          <w:trHeight w:hRule="exact" w:val="454"/>
          <w:jc w:val="center"/>
        </w:trPr>
        <w:tc>
          <w:tcPr>
            <w:tcW w:w="1640" w:type="dxa"/>
            <w:vMerge/>
            <w:vAlign w:val="center"/>
          </w:tcPr>
          <w:p w14:paraId="70ABAC3E"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p>
        </w:tc>
        <w:tc>
          <w:tcPr>
            <w:tcW w:w="3197" w:type="dxa"/>
            <w:vAlign w:val="center"/>
          </w:tcPr>
          <w:p w14:paraId="04FBBAAB"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Anti-PD-L1 high-LP</w:t>
            </w:r>
          </w:p>
        </w:tc>
        <w:tc>
          <w:tcPr>
            <w:tcW w:w="2445" w:type="dxa"/>
            <w:vAlign w:val="center"/>
          </w:tcPr>
          <w:p w14:paraId="4834D437"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0.64</w:t>
            </w:r>
          </w:p>
        </w:tc>
        <w:tc>
          <w:tcPr>
            <w:tcW w:w="2078" w:type="dxa"/>
            <w:vAlign w:val="center"/>
          </w:tcPr>
          <w:p w14:paraId="2DBE0E42" w14:textId="77777777" w:rsidR="003B5F91" w:rsidRPr="00CE66BC" w:rsidRDefault="003B5F91" w:rsidP="009A6DBA">
            <w:pPr>
              <w:pStyle w:val="NormalWeb"/>
              <w:spacing w:before="120" w:beforeAutospacing="0" w:after="160" w:afterAutospacing="0" w:line="480" w:lineRule="auto"/>
              <w:rPr>
                <w:rFonts w:ascii="Arial" w:hAnsi="Arial" w:cs="Arial"/>
                <w:b/>
                <w:bCs/>
                <w:sz w:val="20"/>
                <w:szCs w:val="20"/>
              </w:rPr>
            </w:pPr>
            <w:r w:rsidRPr="00CE66BC">
              <w:rPr>
                <w:rFonts w:ascii="Arial" w:hAnsi="Arial" w:cs="Arial"/>
                <w:sz w:val="20"/>
                <w:szCs w:val="20"/>
              </w:rPr>
              <w:t>4.30</w:t>
            </w:r>
          </w:p>
        </w:tc>
      </w:tr>
    </w:tbl>
    <w:p w14:paraId="55B9BC8A" w14:textId="77777777" w:rsidR="00F81532" w:rsidRPr="00CE66BC" w:rsidRDefault="00F81532" w:rsidP="003B5F91">
      <w:pPr>
        <w:spacing w:before="120" w:line="480" w:lineRule="auto"/>
        <w:jc w:val="center"/>
        <w:rPr>
          <w:rFonts w:ascii="Arial" w:hAnsi="Arial" w:cs="Arial"/>
          <w:b/>
          <w:bCs/>
          <w:sz w:val="22"/>
          <w:szCs w:val="22"/>
        </w:rPr>
      </w:pPr>
    </w:p>
    <w:p w14:paraId="71B1D0C6" w14:textId="4B8202FF" w:rsidR="003B5F91" w:rsidRPr="00CE66BC" w:rsidRDefault="003B5F91" w:rsidP="003B5F91">
      <w:pPr>
        <w:spacing w:before="120" w:line="480" w:lineRule="auto"/>
        <w:jc w:val="center"/>
        <w:rPr>
          <w:rFonts w:ascii="Arial" w:hAnsi="Arial" w:cs="Arial"/>
          <w:b/>
          <w:bCs/>
          <w:sz w:val="22"/>
          <w:szCs w:val="22"/>
        </w:rPr>
      </w:pPr>
      <w:r w:rsidRPr="00CE66BC">
        <w:rPr>
          <w:rFonts w:ascii="Arial" w:hAnsi="Arial" w:cs="Arial"/>
          <w:b/>
          <w:bCs/>
          <w:sz w:val="22"/>
          <w:szCs w:val="22"/>
        </w:rPr>
        <w:t>Supplementary Table 2: PD-L1 expression</w:t>
      </w:r>
    </w:p>
    <w:tbl>
      <w:tblPr>
        <w:tblStyle w:val="TableGrid"/>
        <w:tblW w:w="4995"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8"/>
        <w:gridCol w:w="2338"/>
        <w:gridCol w:w="2338"/>
      </w:tblGrid>
      <w:tr w:rsidR="003B5F91" w:rsidRPr="00CE66BC" w14:paraId="495BC0A7" w14:textId="77777777" w:rsidTr="004D1473">
        <w:trPr>
          <w:trHeight w:hRule="exact" w:val="454"/>
          <w:jc w:val="center"/>
        </w:trPr>
        <w:tc>
          <w:tcPr>
            <w:tcW w:w="1250" w:type="pct"/>
            <w:tcBorders>
              <w:top w:val="single" w:sz="4" w:space="0" w:color="auto"/>
              <w:bottom w:val="single" w:sz="4" w:space="0" w:color="auto"/>
            </w:tcBorders>
            <w:vAlign w:val="center"/>
          </w:tcPr>
          <w:p w14:paraId="4DA3201C" w14:textId="77777777" w:rsidR="003B5F91" w:rsidRPr="00CE66BC" w:rsidRDefault="003B5F91" w:rsidP="009A6DBA">
            <w:pPr>
              <w:pStyle w:val="NormalWeb"/>
              <w:spacing w:before="120" w:beforeAutospacing="0" w:after="160" w:afterAutospacing="0" w:line="480" w:lineRule="auto"/>
              <w:rPr>
                <w:rFonts w:ascii="Arial" w:hAnsi="Arial" w:cs="Arial"/>
                <w:b/>
                <w:sz w:val="20"/>
                <w:szCs w:val="20"/>
              </w:rPr>
            </w:pPr>
            <w:r w:rsidRPr="00CE66BC">
              <w:rPr>
                <w:rFonts w:ascii="Arial" w:hAnsi="Arial" w:cs="Arial"/>
                <w:b/>
                <w:bCs/>
                <w:color w:val="000000" w:themeColor="text1"/>
                <w:kern w:val="24"/>
                <w:sz w:val="20"/>
                <w:szCs w:val="20"/>
              </w:rPr>
              <w:t>Cell lines</w:t>
            </w:r>
          </w:p>
        </w:tc>
        <w:tc>
          <w:tcPr>
            <w:tcW w:w="1250" w:type="pct"/>
            <w:tcBorders>
              <w:top w:val="single" w:sz="4" w:space="0" w:color="auto"/>
              <w:bottom w:val="single" w:sz="4" w:space="0" w:color="auto"/>
            </w:tcBorders>
            <w:vAlign w:val="center"/>
          </w:tcPr>
          <w:p w14:paraId="0613A678" w14:textId="77777777" w:rsidR="003B5F91" w:rsidRPr="00CE66BC" w:rsidRDefault="003B5F91" w:rsidP="009A6DBA">
            <w:pPr>
              <w:pStyle w:val="NormalWeb"/>
              <w:spacing w:before="120" w:beforeAutospacing="0" w:after="160" w:afterAutospacing="0" w:line="480" w:lineRule="auto"/>
              <w:rPr>
                <w:rFonts w:ascii="Arial" w:hAnsi="Arial" w:cs="Arial"/>
                <w:b/>
                <w:sz w:val="20"/>
                <w:szCs w:val="20"/>
              </w:rPr>
            </w:pPr>
            <w:r w:rsidRPr="00CE66BC">
              <w:rPr>
                <w:rFonts w:ascii="Arial" w:hAnsi="Arial" w:cs="Arial"/>
                <w:b/>
                <w:bCs/>
                <w:color w:val="000000" w:themeColor="text1"/>
                <w:kern w:val="24"/>
                <w:sz w:val="20"/>
                <w:szCs w:val="20"/>
              </w:rPr>
              <w:t>Parameters</w:t>
            </w:r>
          </w:p>
        </w:tc>
        <w:tc>
          <w:tcPr>
            <w:tcW w:w="1250" w:type="pct"/>
            <w:tcBorders>
              <w:top w:val="single" w:sz="4" w:space="0" w:color="auto"/>
              <w:bottom w:val="single" w:sz="4" w:space="0" w:color="auto"/>
            </w:tcBorders>
            <w:vAlign w:val="center"/>
          </w:tcPr>
          <w:p w14:paraId="3AE60A55" w14:textId="77777777" w:rsidR="003B5F91" w:rsidRPr="00CE66BC" w:rsidRDefault="003B5F91" w:rsidP="009A6DBA">
            <w:pPr>
              <w:pStyle w:val="NormalWeb"/>
              <w:spacing w:before="120" w:beforeAutospacing="0" w:after="160" w:afterAutospacing="0" w:line="480" w:lineRule="auto"/>
              <w:rPr>
                <w:rFonts w:ascii="Arial" w:hAnsi="Arial" w:cs="Arial"/>
                <w:b/>
                <w:sz w:val="20"/>
                <w:szCs w:val="20"/>
              </w:rPr>
            </w:pPr>
            <w:r w:rsidRPr="00CE66BC">
              <w:rPr>
                <w:rFonts w:ascii="Arial" w:eastAsiaTheme="minorEastAsia" w:hAnsi="Arial" w:cs="Arial"/>
                <w:b/>
                <w:bCs/>
                <w:color w:val="000000" w:themeColor="text1"/>
                <w:kern w:val="24"/>
                <w:sz w:val="20"/>
                <w:szCs w:val="20"/>
              </w:rPr>
              <w:t>Without IFN-γ</w:t>
            </w:r>
          </w:p>
        </w:tc>
        <w:tc>
          <w:tcPr>
            <w:tcW w:w="1250" w:type="pct"/>
            <w:tcBorders>
              <w:top w:val="single" w:sz="4" w:space="0" w:color="auto"/>
              <w:bottom w:val="single" w:sz="4" w:space="0" w:color="auto"/>
            </w:tcBorders>
            <w:vAlign w:val="center"/>
          </w:tcPr>
          <w:p w14:paraId="26273652" w14:textId="77777777" w:rsidR="003B5F91" w:rsidRPr="00CE66BC" w:rsidRDefault="003B5F91" w:rsidP="009A6DBA">
            <w:pPr>
              <w:pStyle w:val="NormalWeb"/>
              <w:spacing w:before="120" w:beforeAutospacing="0" w:after="160" w:afterAutospacing="0" w:line="480" w:lineRule="auto"/>
              <w:rPr>
                <w:rFonts w:ascii="Arial" w:hAnsi="Arial" w:cs="Arial"/>
                <w:b/>
                <w:sz w:val="20"/>
                <w:szCs w:val="20"/>
              </w:rPr>
            </w:pPr>
            <w:r w:rsidRPr="00CE66BC">
              <w:rPr>
                <w:rFonts w:ascii="Arial" w:hAnsi="Arial" w:cs="Arial"/>
                <w:b/>
                <w:bCs/>
                <w:color w:val="000000" w:themeColor="text1"/>
                <w:kern w:val="24"/>
                <w:sz w:val="20"/>
                <w:szCs w:val="20"/>
              </w:rPr>
              <w:t xml:space="preserve">With </w:t>
            </w:r>
            <w:r w:rsidRPr="00CE66BC">
              <w:rPr>
                <w:rFonts w:ascii="Arial" w:eastAsiaTheme="minorEastAsia" w:hAnsi="Arial" w:cs="Arial"/>
                <w:b/>
                <w:bCs/>
                <w:color w:val="000000" w:themeColor="text1"/>
                <w:kern w:val="24"/>
                <w:sz w:val="20"/>
                <w:szCs w:val="20"/>
              </w:rPr>
              <w:t>IFN-γ</w:t>
            </w:r>
          </w:p>
        </w:tc>
      </w:tr>
      <w:tr w:rsidR="003B5F91" w:rsidRPr="00CE66BC" w14:paraId="78BD0D6B" w14:textId="77777777" w:rsidTr="004D1473">
        <w:trPr>
          <w:trHeight w:hRule="exact" w:val="454"/>
          <w:jc w:val="center"/>
        </w:trPr>
        <w:tc>
          <w:tcPr>
            <w:tcW w:w="1250" w:type="pct"/>
            <w:vMerge w:val="restart"/>
            <w:tcBorders>
              <w:top w:val="single" w:sz="4" w:space="0" w:color="auto"/>
            </w:tcBorders>
            <w:vAlign w:val="center"/>
          </w:tcPr>
          <w:p w14:paraId="5FFAB0D7" w14:textId="77777777" w:rsidR="003B5F91" w:rsidRPr="00CE66BC" w:rsidRDefault="003B5F91" w:rsidP="009A6DBA">
            <w:pPr>
              <w:pStyle w:val="NormalWeb"/>
              <w:spacing w:before="120" w:beforeAutospacing="0" w:after="160" w:afterAutospacing="0" w:line="480" w:lineRule="auto"/>
              <w:rPr>
                <w:rFonts w:ascii="Arial" w:hAnsi="Arial" w:cs="Arial"/>
                <w:sz w:val="20"/>
                <w:szCs w:val="20"/>
              </w:rPr>
            </w:pPr>
            <w:r w:rsidRPr="00CE66BC">
              <w:rPr>
                <w:rFonts w:ascii="Arial" w:hAnsi="Arial" w:cs="Arial"/>
                <w:color w:val="000000" w:themeColor="text1"/>
                <w:kern w:val="24"/>
                <w:sz w:val="20"/>
                <w:szCs w:val="20"/>
              </w:rPr>
              <w:t>MZ2Mel43</w:t>
            </w:r>
          </w:p>
        </w:tc>
        <w:tc>
          <w:tcPr>
            <w:tcW w:w="1250" w:type="pct"/>
            <w:tcBorders>
              <w:top w:val="single" w:sz="4" w:space="0" w:color="auto"/>
              <w:bottom w:val="nil"/>
            </w:tcBorders>
            <w:vAlign w:val="center"/>
          </w:tcPr>
          <w:p w14:paraId="2F5F10B5" w14:textId="77777777" w:rsidR="003B5F91" w:rsidRPr="00CE66BC" w:rsidRDefault="003B5F91" w:rsidP="009A6DBA">
            <w:pPr>
              <w:pStyle w:val="NormalWeb"/>
              <w:spacing w:before="120" w:beforeAutospacing="0" w:after="160" w:afterAutospacing="0" w:line="480" w:lineRule="auto"/>
              <w:rPr>
                <w:rFonts w:ascii="Arial" w:hAnsi="Arial" w:cs="Arial"/>
                <w:sz w:val="20"/>
                <w:szCs w:val="20"/>
              </w:rPr>
            </w:pPr>
            <w:r w:rsidRPr="00CE66BC">
              <w:rPr>
                <w:rFonts w:ascii="Arial" w:hAnsi="Arial" w:cs="Arial"/>
                <w:color w:val="000000" w:themeColor="text1"/>
                <w:kern w:val="24"/>
                <w:sz w:val="20"/>
                <w:szCs w:val="20"/>
              </w:rPr>
              <w:t>Percentage</w:t>
            </w:r>
          </w:p>
        </w:tc>
        <w:tc>
          <w:tcPr>
            <w:tcW w:w="1250" w:type="pct"/>
            <w:tcBorders>
              <w:top w:val="single" w:sz="4" w:space="0" w:color="auto"/>
              <w:bottom w:val="nil"/>
            </w:tcBorders>
            <w:vAlign w:val="center"/>
          </w:tcPr>
          <w:p w14:paraId="6D10B91B" w14:textId="77777777" w:rsidR="003B5F91" w:rsidRPr="00CE66BC" w:rsidRDefault="003B5F91" w:rsidP="009A6DBA">
            <w:pPr>
              <w:pStyle w:val="NormalWeb"/>
              <w:spacing w:before="120" w:beforeAutospacing="0" w:after="160" w:afterAutospacing="0" w:line="480" w:lineRule="auto"/>
              <w:rPr>
                <w:rFonts w:ascii="Arial" w:hAnsi="Arial" w:cs="Arial"/>
                <w:sz w:val="20"/>
                <w:szCs w:val="20"/>
              </w:rPr>
            </w:pPr>
            <w:r w:rsidRPr="00CE66BC">
              <w:rPr>
                <w:rFonts w:ascii="Arial" w:hAnsi="Arial" w:cs="Arial"/>
                <w:color w:val="000000" w:themeColor="text1"/>
                <w:kern w:val="24"/>
                <w:sz w:val="20"/>
                <w:szCs w:val="20"/>
              </w:rPr>
              <w:t>65.7%</w:t>
            </w:r>
          </w:p>
        </w:tc>
        <w:tc>
          <w:tcPr>
            <w:tcW w:w="1250" w:type="pct"/>
            <w:tcBorders>
              <w:top w:val="single" w:sz="4" w:space="0" w:color="auto"/>
              <w:bottom w:val="nil"/>
            </w:tcBorders>
            <w:vAlign w:val="center"/>
          </w:tcPr>
          <w:p w14:paraId="359A3A58" w14:textId="77777777" w:rsidR="003B5F91" w:rsidRPr="00CE66BC" w:rsidRDefault="003B5F91" w:rsidP="009A6DBA">
            <w:pPr>
              <w:pStyle w:val="NormalWeb"/>
              <w:spacing w:before="120" w:beforeAutospacing="0" w:after="160" w:afterAutospacing="0" w:line="480" w:lineRule="auto"/>
              <w:rPr>
                <w:rFonts w:ascii="Arial" w:hAnsi="Arial" w:cs="Arial"/>
                <w:sz w:val="20"/>
                <w:szCs w:val="20"/>
              </w:rPr>
            </w:pPr>
            <w:r w:rsidRPr="00CE66BC">
              <w:rPr>
                <w:rFonts w:ascii="Arial" w:hAnsi="Arial" w:cs="Arial"/>
                <w:color w:val="000000" w:themeColor="text1"/>
                <w:kern w:val="24"/>
                <w:sz w:val="20"/>
                <w:szCs w:val="20"/>
              </w:rPr>
              <w:t>100%</w:t>
            </w:r>
          </w:p>
        </w:tc>
      </w:tr>
      <w:tr w:rsidR="003B5F91" w:rsidRPr="00CE66BC" w14:paraId="34732A03" w14:textId="77777777" w:rsidTr="004D1473">
        <w:trPr>
          <w:trHeight w:hRule="exact" w:val="454"/>
          <w:jc w:val="center"/>
        </w:trPr>
        <w:tc>
          <w:tcPr>
            <w:tcW w:w="1250" w:type="pct"/>
            <w:vMerge/>
            <w:vAlign w:val="center"/>
          </w:tcPr>
          <w:p w14:paraId="07B8BEB5" w14:textId="77777777" w:rsidR="003B5F91" w:rsidRPr="00CE66BC" w:rsidRDefault="003B5F91" w:rsidP="009A6DBA">
            <w:pPr>
              <w:pStyle w:val="NormalWeb"/>
              <w:spacing w:before="120" w:beforeAutospacing="0" w:after="160" w:afterAutospacing="0" w:line="480" w:lineRule="auto"/>
              <w:rPr>
                <w:rFonts w:ascii="Arial" w:hAnsi="Arial" w:cs="Arial"/>
                <w:sz w:val="20"/>
                <w:szCs w:val="20"/>
              </w:rPr>
            </w:pPr>
          </w:p>
        </w:tc>
        <w:tc>
          <w:tcPr>
            <w:tcW w:w="1250" w:type="pct"/>
            <w:tcBorders>
              <w:top w:val="nil"/>
              <w:bottom w:val="single" w:sz="4" w:space="0" w:color="auto"/>
            </w:tcBorders>
            <w:vAlign w:val="center"/>
          </w:tcPr>
          <w:p w14:paraId="5578CA8B" w14:textId="77777777" w:rsidR="003B5F91" w:rsidRPr="00CE66BC" w:rsidRDefault="003B5F91" w:rsidP="009A6DBA">
            <w:pPr>
              <w:pStyle w:val="NormalWeb"/>
              <w:spacing w:before="120" w:beforeAutospacing="0" w:after="160" w:afterAutospacing="0" w:line="480" w:lineRule="auto"/>
              <w:rPr>
                <w:rFonts w:ascii="Arial" w:hAnsi="Arial" w:cs="Arial"/>
                <w:sz w:val="20"/>
                <w:szCs w:val="20"/>
              </w:rPr>
            </w:pPr>
            <w:r w:rsidRPr="00CE66BC">
              <w:rPr>
                <w:rFonts w:ascii="Arial" w:hAnsi="Arial" w:cs="Arial"/>
                <w:color w:val="000000" w:themeColor="text1"/>
                <w:kern w:val="24"/>
                <w:sz w:val="20"/>
                <w:szCs w:val="20"/>
              </w:rPr>
              <w:t>MFI</w:t>
            </w:r>
          </w:p>
        </w:tc>
        <w:tc>
          <w:tcPr>
            <w:tcW w:w="1250" w:type="pct"/>
            <w:tcBorders>
              <w:top w:val="nil"/>
              <w:bottom w:val="single" w:sz="4" w:space="0" w:color="auto"/>
            </w:tcBorders>
            <w:vAlign w:val="center"/>
          </w:tcPr>
          <w:p w14:paraId="15FF1775" w14:textId="77777777" w:rsidR="003B5F91" w:rsidRPr="00CE66BC" w:rsidRDefault="003B5F91" w:rsidP="009A6DBA">
            <w:pPr>
              <w:pStyle w:val="NormalWeb"/>
              <w:spacing w:before="120" w:beforeAutospacing="0" w:after="160" w:afterAutospacing="0" w:line="480" w:lineRule="auto"/>
              <w:rPr>
                <w:rFonts w:ascii="Arial" w:hAnsi="Arial" w:cs="Arial"/>
                <w:sz w:val="20"/>
                <w:szCs w:val="20"/>
              </w:rPr>
            </w:pPr>
            <w:r w:rsidRPr="00CE66BC">
              <w:rPr>
                <w:rFonts w:ascii="Arial" w:hAnsi="Arial" w:cs="Arial"/>
                <w:color w:val="000000" w:themeColor="text1"/>
                <w:kern w:val="24"/>
                <w:sz w:val="20"/>
                <w:szCs w:val="20"/>
              </w:rPr>
              <w:t>634</w:t>
            </w:r>
          </w:p>
        </w:tc>
        <w:tc>
          <w:tcPr>
            <w:tcW w:w="1250" w:type="pct"/>
            <w:tcBorders>
              <w:top w:val="nil"/>
              <w:bottom w:val="single" w:sz="4" w:space="0" w:color="auto"/>
            </w:tcBorders>
            <w:vAlign w:val="center"/>
          </w:tcPr>
          <w:p w14:paraId="763398A0" w14:textId="77777777" w:rsidR="003B5F91" w:rsidRPr="00CE66BC" w:rsidRDefault="003B5F91" w:rsidP="009A6DBA">
            <w:pPr>
              <w:pStyle w:val="NormalWeb"/>
              <w:spacing w:before="120" w:beforeAutospacing="0" w:after="160" w:afterAutospacing="0" w:line="480" w:lineRule="auto"/>
              <w:rPr>
                <w:rFonts w:ascii="Arial" w:hAnsi="Arial" w:cs="Arial"/>
                <w:sz w:val="20"/>
                <w:szCs w:val="20"/>
              </w:rPr>
            </w:pPr>
            <w:r w:rsidRPr="00CE66BC">
              <w:rPr>
                <w:rFonts w:ascii="Arial" w:hAnsi="Arial" w:cs="Arial"/>
                <w:color w:val="000000" w:themeColor="text1"/>
                <w:kern w:val="24"/>
                <w:sz w:val="20"/>
                <w:szCs w:val="20"/>
              </w:rPr>
              <w:t>13345</w:t>
            </w:r>
          </w:p>
        </w:tc>
      </w:tr>
      <w:tr w:rsidR="003B5F91" w:rsidRPr="00CE66BC" w14:paraId="29BB1A07" w14:textId="77777777" w:rsidTr="004D1473">
        <w:trPr>
          <w:trHeight w:hRule="exact" w:val="454"/>
          <w:jc w:val="center"/>
        </w:trPr>
        <w:tc>
          <w:tcPr>
            <w:tcW w:w="1250" w:type="pct"/>
            <w:vMerge w:val="restart"/>
            <w:vAlign w:val="center"/>
          </w:tcPr>
          <w:p w14:paraId="411F808B" w14:textId="77777777" w:rsidR="003B5F91" w:rsidRPr="00CE66BC" w:rsidRDefault="003B5F91" w:rsidP="009A6DBA">
            <w:pPr>
              <w:pStyle w:val="NormalWeb"/>
              <w:spacing w:before="120" w:beforeAutospacing="0" w:after="160" w:afterAutospacing="0" w:line="480" w:lineRule="auto"/>
              <w:rPr>
                <w:rFonts w:ascii="Arial" w:hAnsi="Arial" w:cs="Arial"/>
                <w:sz w:val="20"/>
                <w:szCs w:val="20"/>
              </w:rPr>
            </w:pPr>
            <w:r w:rsidRPr="00CE66BC">
              <w:rPr>
                <w:rFonts w:ascii="Arial" w:hAnsi="Arial" w:cs="Arial"/>
                <w:color w:val="000000" w:themeColor="text1"/>
                <w:kern w:val="24"/>
                <w:sz w:val="20"/>
                <w:szCs w:val="20"/>
              </w:rPr>
              <w:t>BLM</w:t>
            </w:r>
          </w:p>
        </w:tc>
        <w:tc>
          <w:tcPr>
            <w:tcW w:w="1250" w:type="pct"/>
            <w:tcBorders>
              <w:top w:val="single" w:sz="4" w:space="0" w:color="auto"/>
            </w:tcBorders>
            <w:vAlign w:val="center"/>
          </w:tcPr>
          <w:p w14:paraId="70932AF6" w14:textId="77777777" w:rsidR="003B5F91" w:rsidRPr="00CE66BC" w:rsidRDefault="003B5F91" w:rsidP="009A6DBA">
            <w:pPr>
              <w:pStyle w:val="NormalWeb"/>
              <w:spacing w:before="120" w:beforeAutospacing="0" w:after="160" w:afterAutospacing="0" w:line="480" w:lineRule="auto"/>
              <w:rPr>
                <w:rFonts w:ascii="Arial" w:hAnsi="Arial" w:cs="Arial"/>
                <w:sz w:val="20"/>
                <w:szCs w:val="20"/>
              </w:rPr>
            </w:pPr>
            <w:r w:rsidRPr="00CE66BC">
              <w:rPr>
                <w:rFonts w:ascii="Arial" w:hAnsi="Arial" w:cs="Arial"/>
                <w:color w:val="000000" w:themeColor="text1"/>
                <w:kern w:val="24"/>
                <w:sz w:val="20"/>
                <w:szCs w:val="20"/>
              </w:rPr>
              <w:t>Percentage</w:t>
            </w:r>
          </w:p>
        </w:tc>
        <w:tc>
          <w:tcPr>
            <w:tcW w:w="1250" w:type="pct"/>
            <w:tcBorders>
              <w:top w:val="single" w:sz="4" w:space="0" w:color="auto"/>
            </w:tcBorders>
            <w:vAlign w:val="center"/>
          </w:tcPr>
          <w:p w14:paraId="58E410BC" w14:textId="77777777" w:rsidR="003B5F91" w:rsidRPr="00CE66BC" w:rsidRDefault="003B5F91" w:rsidP="009A6DBA">
            <w:pPr>
              <w:pStyle w:val="NormalWeb"/>
              <w:spacing w:before="120" w:beforeAutospacing="0" w:after="160" w:afterAutospacing="0" w:line="480" w:lineRule="auto"/>
              <w:rPr>
                <w:rFonts w:ascii="Arial" w:hAnsi="Arial" w:cs="Arial"/>
                <w:sz w:val="20"/>
                <w:szCs w:val="20"/>
              </w:rPr>
            </w:pPr>
            <w:r w:rsidRPr="00CE66BC">
              <w:rPr>
                <w:rFonts w:ascii="Arial" w:hAnsi="Arial" w:cs="Arial"/>
                <w:color w:val="000000" w:themeColor="text1"/>
                <w:kern w:val="24"/>
                <w:sz w:val="20"/>
                <w:szCs w:val="20"/>
              </w:rPr>
              <w:t>100%</w:t>
            </w:r>
          </w:p>
        </w:tc>
        <w:tc>
          <w:tcPr>
            <w:tcW w:w="1250" w:type="pct"/>
            <w:tcBorders>
              <w:top w:val="single" w:sz="4" w:space="0" w:color="auto"/>
            </w:tcBorders>
            <w:vAlign w:val="center"/>
          </w:tcPr>
          <w:p w14:paraId="4062CF65" w14:textId="77777777" w:rsidR="003B5F91" w:rsidRPr="00CE66BC" w:rsidRDefault="003B5F91" w:rsidP="009A6DBA">
            <w:pPr>
              <w:pStyle w:val="NormalWeb"/>
              <w:spacing w:before="120" w:beforeAutospacing="0" w:after="160" w:afterAutospacing="0" w:line="480" w:lineRule="auto"/>
              <w:rPr>
                <w:rFonts w:ascii="Arial" w:hAnsi="Arial" w:cs="Arial"/>
                <w:sz w:val="20"/>
                <w:szCs w:val="20"/>
              </w:rPr>
            </w:pPr>
            <w:r w:rsidRPr="00CE66BC">
              <w:rPr>
                <w:rFonts w:ascii="Arial" w:hAnsi="Arial" w:cs="Arial"/>
                <w:color w:val="000000" w:themeColor="text1"/>
                <w:kern w:val="24"/>
                <w:sz w:val="20"/>
                <w:szCs w:val="20"/>
              </w:rPr>
              <w:t>100%</w:t>
            </w:r>
          </w:p>
        </w:tc>
      </w:tr>
      <w:tr w:rsidR="003B5F91" w:rsidRPr="00CE66BC" w14:paraId="2259D3C4" w14:textId="77777777" w:rsidTr="004D1473">
        <w:trPr>
          <w:trHeight w:hRule="exact" w:val="454"/>
          <w:jc w:val="center"/>
        </w:trPr>
        <w:tc>
          <w:tcPr>
            <w:tcW w:w="1250" w:type="pct"/>
            <w:vMerge/>
            <w:vAlign w:val="center"/>
          </w:tcPr>
          <w:p w14:paraId="09E24B33" w14:textId="77777777" w:rsidR="003B5F91" w:rsidRPr="00CE66BC" w:rsidRDefault="003B5F91" w:rsidP="009A6DBA">
            <w:pPr>
              <w:pStyle w:val="NormalWeb"/>
              <w:spacing w:before="120" w:beforeAutospacing="0" w:after="160" w:afterAutospacing="0" w:line="480" w:lineRule="auto"/>
              <w:rPr>
                <w:rFonts w:ascii="Arial" w:hAnsi="Arial" w:cs="Arial"/>
                <w:sz w:val="20"/>
                <w:szCs w:val="20"/>
              </w:rPr>
            </w:pPr>
          </w:p>
        </w:tc>
        <w:tc>
          <w:tcPr>
            <w:tcW w:w="1250" w:type="pct"/>
            <w:vAlign w:val="center"/>
          </w:tcPr>
          <w:p w14:paraId="496B9009" w14:textId="77777777" w:rsidR="003B5F91" w:rsidRPr="00CE66BC" w:rsidRDefault="003B5F91" w:rsidP="009A6DBA">
            <w:pPr>
              <w:pStyle w:val="NormalWeb"/>
              <w:spacing w:before="120" w:beforeAutospacing="0" w:after="160" w:afterAutospacing="0" w:line="480" w:lineRule="auto"/>
              <w:rPr>
                <w:rFonts w:ascii="Arial" w:hAnsi="Arial" w:cs="Arial"/>
                <w:sz w:val="20"/>
                <w:szCs w:val="20"/>
              </w:rPr>
            </w:pPr>
            <w:r w:rsidRPr="00CE66BC">
              <w:rPr>
                <w:rFonts w:ascii="Arial" w:hAnsi="Arial" w:cs="Arial"/>
                <w:color w:val="000000" w:themeColor="text1"/>
                <w:kern w:val="24"/>
                <w:sz w:val="20"/>
                <w:szCs w:val="20"/>
              </w:rPr>
              <w:t>MFI</w:t>
            </w:r>
          </w:p>
        </w:tc>
        <w:tc>
          <w:tcPr>
            <w:tcW w:w="1250" w:type="pct"/>
            <w:vAlign w:val="center"/>
          </w:tcPr>
          <w:p w14:paraId="3E817F10" w14:textId="77777777" w:rsidR="003B5F91" w:rsidRPr="00CE66BC" w:rsidRDefault="003B5F91" w:rsidP="009A6DBA">
            <w:pPr>
              <w:pStyle w:val="NormalWeb"/>
              <w:spacing w:before="120" w:beforeAutospacing="0" w:after="160" w:afterAutospacing="0" w:line="480" w:lineRule="auto"/>
              <w:rPr>
                <w:rFonts w:ascii="Arial" w:hAnsi="Arial" w:cs="Arial"/>
                <w:sz w:val="20"/>
                <w:szCs w:val="20"/>
              </w:rPr>
            </w:pPr>
            <w:r w:rsidRPr="00CE66BC">
              <w:rPr>
                <w:rFonts w:ascii="Arial" w:hAnsi="Arial" w:cs="Arial"/>
                <w:color w:val="000000" w:themeColor="text1"/>
                <w:kern w:val="24"/>
                <w:sz w:val="20"/>
                <w:szCs w:val="20"/>
              </w:rPr>
              <w:t>34843</w:t>
            </w:r>
          </w:p>
        </w:tc>
        <w:tc>
          <w:tcPr>
            <w:tcW w:w="1250" w:type="pct"/>
            <w:vAlign w:val="center"/>
          </w:tcPr>
          <w:p w14:paraId="08F461D5" w14:textId="77777777" w:rsidR="003B5F91" w:rsidRPr="00CE66BC" w:rsidRDefault="003B5F91" w:rsidP="009A6DBA">
            <w:pPr>
              <w:pStyle w:val="NormalWeb"/>
              <w:spacing w:before="120" w:beforeAutospacing="0" w:after="160" w:afterAutospacing="0" w:line="480" w:lineRule="auto"/>
              <w:rPr>
                <w:rFonts w:ascii="Arial" w:hAnsi="Arial" w:cs="Arial"/>
                <w:sz w:val="20"/>
                <w:szCs w:val="20"/>
              </w:rPr>
            </w:pPr>
            <w:r w:rsidRPr="00CE66BC">
              <w:rPr>
                <w:rFonts w:ascii="Arial" w:hAnsi="Arial" w:cs="Arial"/>
                <w:color w:val="000000" w:themeColor="text1"/>
                <w:kern w:val="24"/>
                <w:sz w:val="20"/>
                <w:szCs w:val="20"/>
              </w:rPr>
              <w:t>39325</w:t>
            </w:r>
          </w:p>
        </w:tc>
      </w:tr>
    </w:tbl>
    <w:p w14:paraId="4CE268A9" w14:textId="404731FF" w:rsidR="003B5F91" w:rsidRPr="00AB138A" w:rsidRDefault="007D7F71" w:rsidP="00570FC0">
      <w:pPr>
        <w:spacing w:before="120" w:line="480" w:lineRule="auto"/>
        <w:rPr>
          <w:rFonts w:ascii="Arial" w:hAnsi="Arial" w:cs="Arial"/>
          <w:sz w:val="20"/>
          <w:szCs w:val="20"/>
          <w:lang w:eastAsia="zh-CN"/>
        </w:rPr>
      </w:pPr>
      <w:r w:rsidRPr="00CE66BC">
        <w:rPr>
          <w:rFonts w:ascii="Arial" w:hAnsi="Arial" w:cs="Arial" w:hint="eastAsia"/>
          <w:sz w:val="20"/>
          <w:szCs w:val="20"/>
          <w:lang w:eastAsia="zh-CN"/>
        </w:rPr>
        <w:t xml:space="preserve">MFI, </w:t>
      </w:r>
      <w:r w:rsidR="00D75908" w:rsidRPr="00CE66BC">
        <w:rPr>
          <w:rFonts w:ascii="Arial" w:hAnsi="Arial" w:cs="Arial"/>
          <w:sz w:val="20"/>
          <w:szCs w:val="20"/>
          <w:lang w:eastAsia="zh-CN"/>
        </w:rPr>
        <w:t>Mean Fluorescence Intensity</w:t>
      </w:r>
      <w:r w:rsidR="00D75908" w:rsidRPr="00CE66BC">
        <w:rPr>
          <w:rFonts w:ascii="Arial" w:hAnsi="Arial" w:cs="Arial" w:hint="eastAsia"/>
          <w:sz w:val="20"/>
          <w:szCs w:val="20"/>
          <w:lang w:eastAsia="zh-CN"/>
        </w:rPr>
        <w:t>.</w:t>
      </w:r>
    </w:p>
    <w:sectPr w:rsidR="003B5F91" w:rsidRPr="00AB138A" w:rsidSect="005D6AD4">
      <w:footerReference w:type="even" r:id="rId10"/>
      <w:footerReference w:type="default" r:id="rId11"/>
      <w:footerReference w:type="firs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69D3A" w14:textId="77777777" w:rsidR="0046677D" w:rsidRDefault="0046677D" w:rsidP="00570FC0">
      <w:pPr>
        <w:spacing w:after="0" w:line="240" w:lineRule="auto"/>
      </w:pPr>
      <w:r>
        <w:separator/>
      </w:r>
    </w:p>
  </w:endnote>
  <w:endnote w:type="continuationSeparator" w:id="0">
    <w:p w14:paraId="76199B71" w14:textId="77777777" w:rsidR="0046677D" w:rsidRDefault="0046677D" w:rsidP="0057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9B84" w14:textId="635B7BA1" w:rsidR="00F918B5" w:rsidRDefault="00F918B5">
    <w:pPr>
      <w:pStyle w:val="Footer"/>
    </w:pPr>
    <w:r>
      <w:rPr>
        <w:noProof/>
      </w:rPr>
      <mc:AlternateContent>
        <mc:Choice Requires="wps">
          <w:drawing>
            <wp:anchor distT="0" distB="0" distL="0" distR="0" simplePos="0" relativeHeight="251659264" behindDoc="0" locked="0" layoutInCell="1" allowOverlap="1" wp14:anchorId="47A2CCFE" wp14:editId="66D53C1E">
              <wp:simplePos x="635" y="635"/>
              <wp:positionH relativeFrom="page">
                <wp:align>left</wp:align>
              </wp:positionH>
              <wp:positionV relativeFrom="page">
                <wp:align>bottom</wp:align>
              </wp:positionV>
              <wp:extent cx="2085975" cy="346710"/>
              <wp:effectExtent l="0" t="0" r="9525" b="0"/>
              <wp:wrapNone/>
              <wp:docPr id="90711460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710"/>
                      </a:xfrm>
                      <a:prstGeom prst="rect">
                        <a:avLst/>
                      </a:prstGeom>
                      <a:noFill/>
                      <a:ln>
                        <a:noFill/>
                      </a:ln>
                    </wps:spPr>
                    <wps:txbx>
                      <w:txbxContent>
                        <w:p w14:paraId="72C54AC1" w14:textId="15D1CBEC" w:rsidR="00F918B5" w:rsidRPr="00F918B5" w:rsidRDefault="00F918B5" w:rsidP="00F918B5">
                          <w:pPr>
                            <w:spacing w:after="0"/>
                            <w:rPr>
                              <w:rFonts w:ascii="Rockwell" w:eastAsia="Rockwell" w:hAnsi="Rockwell" w:cs="Rockwell"/>
                              <w:noProof/>
                              <w:color w:val="0078D7"/>
                              <w:sz w:val="18"/>
                              <w:szCs w:val="18"/>
                            </w:rPr>
                          </w:pPr>
                          <w:r w:rsidRPr="00F918B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A2CCF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" filled="f" stroked="f">
              <v:fill o:detectmouseclick="t"/>
              <v:textbox style="mso-fit-shape-to-text:t" inset="20pt,0,0,15pt">
                <w:txbxContent>
                  <w:p w14:paraId="72C54AC1" w14:textId="15D1CBEC" w:rsidR="00F918B5" w:rsidRPr="00F918B5" w:rsidRDefault="00F918B5" w:rsidP="00F918B5">
                    <w:pPr>
                      <w:spacing w:after="0"/>
                      <w:rPr>
                        <w:rFonts w:ascii="Rockwell" w:eastAsia="Rockwell" w:hAnsi="Rockwell" w:cs="Rockwell"/>
                        <w:noProof/>
                        <w:color w:val="0078D7"/>
                        <w:sz w:val="18"/>
                        <w:szCs w:val="18"/>
                      </w:rPr>
                    </w:pPr>
                    <w:r w:rsidRPr="00F918B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295B" w14:textId="75ADD0C1" w:rsidR="00570FC0" w:rsidRDefault="00F918B5">
    <w:pPr>
      <w:pStyle w:val="Footer"/>
      <w:jc w:val="center"/>
    </w:pPr>
    <w:r>
      <w:rPr>
        <w:noProof/>
      </w:rPr>
      <mc:AlternateContent>
        <mc:Choice Requires="wps">
          <w:drawing>
            <wp:anchor distT="0" distB="0" distL="0" distR="0" simplePos="0" relativeHeight="251660288" behindDoc="0" locked="0" layoutInCell="1" allowOverlap="1" wp14:anchorId="282E80D0" wp14:editId="0952AB47">
              <wp:simplePos x="914400" y="9286875"/>
              <wp:positionH relativeFrom="page">
                <wp:align>left</wp:align>
              </wp:positionH>
              <wp:positionV relativeFrom="page">
                <wp:align>bottom</wp:align>
              </wp:positionV>
              <wp:extent cx="2085975" cy="346710"/>
              <wp:effectExtent l="0" t="0" r="9525" b="0"/>
              <wp:wrapNone/>
              <wp:docPr id="114804506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710"/>
                      </a:xfrm>
                      <a:prstGeom prst="rect">
                        <a:avLst/>
                      </a:prstGeom>
                      <a:noFill/>
                      <a:ln>
                        <a:noFill/>
                      </a:ln>
                    </wps:spPr>
                    <wps:txbx>
                      <w:txbxContent>
                        <w:p w14:paraId="6721273D" w14:textId="7DEB2E2A" w:rsidR="00F918B5" w:rsidRPr="00F918B5" w:rsidRDefault="00F918B5" w:rsidP="00F918B5">
                          <w:pPr>
                            <w:spacing w:after="0"/>
                            <w:rPr>
                              <w:rFonts w:ascii="Rockwell" w:eastAsia="Rockwell" w:hAnsi="Rockwell" w:cs="Rockwell"/>
                              <w:noProof/>
                              <w:color w:val="0078D7"/>
                              <w:sz w:val="18"/>
                              <w:szCs w:val="18"/>
                            </w:rPr>
                          </w:pPr>
                          <w:r w:rsidRPr="00F918B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2E80D0"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7.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" filled="f" stroked="f">
              <v:fill o:detectmouseclick="t"/>
              <v:textbox style="mso-fit-shape-to-text:t" inset="20pt,0,0,15pt">
                <w:txbxContent>
                  <w:p w14:paraId="6721273D" w14:textId="7DEB2E2A" w:rsidR="00F918B5" w:rsidRPr="00F918B5" w:rsidRDefault="00F918B5" w:rsidP="00F918B5">
                    <w:pPr>
                      <w:spacing w:after="0"/>
                      <w:rPr>
                        <w:rFonts w:ascii="Rockwell" w:eastAsia="Rockwell" w:hAnsi="Rockwell" w:cs="Rockwell"/>
                        <w:noProof/>
                        <w:color w:val="0078D7"/>
                        <w:sz w:val="18"/>
                        <w:szCs w:val="18"/>
                      </w:rPr>
                    </w:pPr>
                    <w:r w:rsidRPr="00F918B5">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451244066"/>
        <w:docPartObj>
          <w:docPartGallery w:val="Page Numbers (Bottom of Page)"/>
          <w:docPartUnique/>
        </w:docPartObj>
      </w:sdtPr>
      <w:sdtEndPr>
        <w:rPr>
          <w:noProof/>
        </w:rPr>
      </w:sdtEndPr>
      <w:sdtContent>
        <w:r w:rsidR="00570FC0" w:rsidRPr="00570FC0">
          <w:rPr>
            <w:rFonts w:ascii="Times New Roman" w:hAnsi="Times New Roman" w:cs="Times New Roman"/>
            <w:sz w:val="18"/>
            <w:szCs w:val="18"/>
          </w:rPr>
          <w:fldChar w:fldCharType="begin"/>
        </w:r>
        <w:r w:rsidR="00570FC0" w:rsidRPr="00570FC0">
          <w:rPr>
            <w:rFonts w:ascii="Times New Roman" w:hAnsi="Times New Roman" w:cs="Times New Roman"/>
            <w:sz w:val="18"/>
            <w:szCs w:val="18"/>
          </w:rPr>
          <w:instrText xml:space="preserve"> PAGE   \* MERGEFORMAT </w:instrText>
        </w:r>
        <w:r w:rsidR="00570FC0" w:rsidRPr="00570FC0">
          <w:rPr>
            <w:rFonts w:ascii="Times New Roman" w:hAnsi="Times New Roman" w:cs="Times New Roman"/>
            <w:sz w:val="18"/>
            <w:szCs w:val="18"/>
          </w:rPr>
          <w:fldChar w:fldCharType="separate"/>
        </w:r>
        <w:r w:rsidR="00E20D7D">
          <w:rPr>
            <w:rFonts w:ascii="Times New Roman" w:hAnsi="Times New Roman" w:cs="Times New Roman"/>
            <w:noProof/>
            <w:sz w:val="18"/>
            <w:szCs w:val="18"/>
          </w:rPr>
          <w:t>3</w:t>
        </w:r>
        <w:r w:rsidR="00570FC0" w:rsidRPr="00570FC0">
          <w:rPr>
            <w:rFonts w:ascii="Times New Roman" w:hAnsi="Times New Roman" w:cs="Times New Roman"/>
            <w:noProof/>
            <w:sz w:val="18"/>
            <w:szCs w:val="18"/>
          </w:rPr>
          <w:fldChar w:fldCharType="end"/>
        </w:r>
      </w:sdtContent>
    </w:sdt>
  </w:p>
  <w:p w14:paraId="37F033EB" w14:textId="77777777" w:rsidR="00570FC0" w:rsidRDefault="00570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2C00" w14:textId="205389A4" w:rsidR="00F918B5" w:rsidRDefault="00F918B5">
    <w:pPr>
      <w:pStyle w:val="Footer"/>
    </w:pPr>
    <w:r>
      <w:rPr>
        <w:noProof/>
      </w:rPr>
      <mc:AlternateContent>
        <mc:Choice Requires="wps">
          <w:drawing>
            <wp:anchor distT="0" distB="0" distL="0" distR="0" simplePos="0" relativeHeight="251658240" behindDoc="0" locked="0" layoutInCell="1" allowOverlap="1" wp14:anchorId="3FD411E6" wp14:editId="714EF542">
              <wp:simplePos x="635" y="635"/>
              <wp:positionH relativeFrom="page">
                <wp:align>left</wp:align>
              </wp:positionH>
              <wp:positionV relativeFrom="page">
                <wp:align>bottom</wp:align>
              </wp:positionV>
              <wp:extent cx="2085975" cy="346710"/>
              <wp:effectExtent l="0" t="0" r="9525" b="0"/>
              <wp:wrapNone/>
              <wp:docPr id="105145805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710"/>
                      </a:xfrm>
                      <a:prstGeom prst="rect">
                        <a:avLst/>
                      </a:prstGeom>
                      <a:noFill/>
                      <a:ln>
                        <a:noFill/>
                      </a:ln>
                    </wps:spPr>
                    <wps:txbx>
                      <w:txbxContent>
                        <w:p w14:paraId="5786D7B0" w14:textId="6B0D66E8" w:rsidR="00F918B5" w:rsidRPr="00F918B5" w:rsidRDefault="00F918B5" w:rsidP="00F918B5">
                          <w:pPr>
                            <w:spacing w:after="0"/>
                            <w:rPr>
                              <w:rFonts w:ascii="Rockwell" w:eastAsia="Rockwell" w:hAnsi="Rockwell" w:cs="Rockwell"/>
                              <w:noProof/>
                              <w:color w:val="0078D7"/>
                              <w:sz w:val="18"/>
                              <w:szCs w:val="18"/>
                            </w:rPr>
                          </w:pPr>
                          <w:r w:rsidRPr="00F918B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D411E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" filled="f" stroked="f">
              <v:fill o:detectmouseclick="t"/>
              <v:textbox style="mso-fit-shape-to-text:t" inset="20pt,0,0,15pt">
                <w:txbxContent>
                  <w:p w14:paraId="5786D7B0" w14:textId="6B0D66E8" w:rsidR="00F918B5" w:rsidRPr="00F918B5" w:rsidRDefault="00F918B5" w:rsidP="00F918B5">
                    <w:pPr>
                      <w:spacing w:after="0"/>
                      <w:rPr>
                        <w:rFonts w:ascii="Rockwell" w:eastAsia="Rockwell" w:hAnsi="Rockwell" w:cs="Rockwell"/>
                        <w:noProof/>
                        <w:color w:val="0078D7"/>
                        <w:sz w:val="18"/>
                        <w:szCs w:val="18"/>
                      </w:rPr>
                    </w:pPr>
                    <w:r w:rsidRPr="00F918B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A1DA" w14:textId="77777777" w:rsidR="0046677D" w:rsidRDefault="0046677D" w:rsidP="00570FC0">
      <w:pPr>
        <w:spacing w:after="0" w:line="240" w:lineRule="auto"/>
      </w:pPr>
      <w:r>
        <w:separator/>
      </w:r>
    </w:p>
  </w:footnote>
  <w:footnote w:type="continuationSeparator" w:id="0">
    <w:p w14:paraId="21C186AE" w14:textId="77777777" w:rsidR="0046677D" w:rsidRDefault="0046677D" w:rsidP="00570F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ws7Q0NzE3NLM0NDNV0lEKTi0uzszPAykwrgUAY7elOiwAAAA="/>
  </w:docVars>
  <w:rsids>
    <w:rsidRoot w:val="73C02DFC"/>
    <w:rsid w:val="00017D1D"/>
    <w:rsid w:val="00026464"/>
    <w:rsid w:val="000479FE"/>
    <w:rsid w:val="000703F5"/>
    <w:rsid w:val="000D6BA5"/>
    <w:rsid w:val="00117154"/>
    <w:rsid w:val="00120054"/>
    <w:rsid w:val="00132B8D"/>
    <w:rsid w:val="00140C32"/>
    <w:rsid w:val="0016494C"/>
    <w:rsid w:val="001A234E"/>
    <w:rsid w:val="001F5E9A"/>
    <w:rsid w:val="00224A89"/>
    <w:rsid w:val="002453DA"/>
    <w:rsid w:val="0028306B"/>
    <w:rsid w:val="002A5952"/>
    <w:rsid w:val="002F6F9F"/>
    <w:rsid w:val="00356B1A"/>
    <w:rsid w:val="00373D9E"/>
    <w:rsid w:val="003B5F91"/>
    <w:rsid w:val="003E176F"/>
    <w:rsid w:val="003E49D1"/>
    <w:rsid w:val="003E7878"/>
    <w:rsid w:val="0040016E"/>
    <w:rsid w:val="00427D8C"/>
    <w:rsid w:val="00461552"/>
    <w:rsid w:val="0046677D"/>
    <w:rsid w:val="0048331A"/>
    <w:rsid w:val="004A064F"/>
    <w:rsid w:val="004C5355"/>
    <w:rsid w:val="004D1473"/>
    <w:rsid w:val="00557C01"/>
    <w:rsid w:val="00565F4C"/>
    <w:rsid w:val="00570FC0"/>
    <w:rsid w:val="005C2330"/>
    <w:rsid w:val="005C7A10"/>
    <w:rsid w:val="005D342B"/>
    <w:rsid w:val="005D6AD4"/>
    <w:rsid w:val="005E6B81"/>
    <w:rsid w:val="00642E09"/>
    <w:rsid w:val="00680892"/>
    <w:rsid w:val="00681CAE"/>
    <w:rsid w:val="0069067C"/>
    <w:rsid w:val="006B5B4B"/>
    <w:rsid w:val="00715105"/>
    <w:rsid w:val="00750857"/>
    <w:rsid w:val="007D7F71"/>
    <w:rsid w:val="0083475E"/>
    <w:rsid w:val="00836686"/>
    <w:rsid w:val="008B671B"/>
    <w:rsid w:val="008C176B"/>
    <w:rsid w:val="008C47FB"/>
    <w:rsid w:val="0090531E"/>
    <w:rsid w:val="00A13C12"/>
    <w:rsid w:val="00A21215"/>
    <w:rsid w:val="00A27689"/>
    <w:rsid w:val="00A478C1"/>
    <w:rsid w:val="00A83D26"/>
    <w:rsid w:val="00AB138A"/>
    <w:rsid w:val="00AE17D4"/>
    <w:rsid w:val="00AF37FD"/>
    <w:rsid w:val="00B000DA"/>
    <w:rsid w:val="00B07A95"/>
    <w:rsid w:val="00B6650E"/>
    <w:rsid w:val="00B770A5"/>
    <w:rsid w:val="00B8094A"/>
    <w:rsid w:val="00B8548B"/>
    <w:rsid w:val="00BA1FFE"/>
    <w:rsid w:val="00BC0205"/>
    <w:rsid w:val="00BD2965"/>
    <w:rsid w:val="00C3489A"/>
    <w:rsid w:val="00C60000"/>
    <w:rsid w:val="00CE66BC"/>
    <w:rsid w:val="00D073E9"/>
    <w:rsid w:val="00D14734"/>
    <w:rsid w:val="00D30807"/>
    <w:rsid w:val="00D3456A"/>
    <w:rsid w:val="00D538F1"/>
    <w:rsid w:val="00D644B0"/>
    <w:rsid w:val="00D75908"/>
    <w:rsid w:val="00E20D7D"/>
    <w:rsid w:val="00E77033"/>
    <w:rsid w:val="00EA0B85"/>
    <w:rsid w:val="00EF0880"/>
    <w:rsid w:val="00F015F1"/>
    <w:rsid w:val="00F03028"/>
    <w:rsid w:val="00F64E91"/>
    <w:rsid w:val="00F719A1"/>
    <w:rsid w:val="00F76AA2"/>
    <w:rsid w:val="00F81532"/>
    <w:rsid w:val="00F918B5"/>
    <w:rsid w:val="00FD1BD8"/>
    <w:rsid w:val="3D6B38E1"/>
    <w:rsid w:val="6E35FCD5"/>
    <w:rsid w:val="6F7654DE"/>
    <w:rsid w:val="73C02DFC"/>
    <w:rsid w:val="7786F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02DFC"/>
  <w15:chartTrackingRefBased/>
  <w15:docId w15:val="{10EBA15D-D186-4790-B55F-91F08807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rmalWeb">
    <w:name w:val="Normal (Web)"/>
    <w:basedOn w:val="Normal"/>
    <w:uiPriority w:val="99"/>
    <w:unhideWhenUsed/>
    <w:rsid w:val="005D6AD4"/>
    <w:pPr>
      <w:spacing w:before="100" w:beforeAutospacing="1" w:after="100" w:afterAutospacing="1" w:line="240" w:lineRule="auto"/>
    </w:pPr>
    <w:rPr>
      <w:rFonts w:ascii="Times New Roman" w:eastAsia="Times New Roman" w:hAnsi="Times New Roman" w:cs="Times New Roman"/>
      <w:lang w:eastAsia="zh-CN"/>
    </w:rPr>
  </w:style>
  <w:style w:type="character" w:styleId="LineNumber">
    <w:name w:val="line number"/>
    <w:basedOn w:val="DefaultParagraphFont"/>
    <w:uiPriority w:val="99"/>
    <w:semiHidden/>
    <w:unhideWhenUsed/>
    <w:rsid w:val="005D6AD4"/>
  </w:style>
  <w:style w:type="table" w:styleId="TableGrid">
    <w:name w:val="Table Grid"/>
    <w:basedOn w:val="TableNormal"/>
    <w:uiPriority w:val="39"/>
    <w:rsid w:val="00D34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FC0"/>
  </w:style>
  <w:style w:type="paragraph" w:styleId="Footer">
    <w:name w:val="footer"/>
    <w:basedOn w:val="Normal"/>
    <w:link w:val="FooterChar"/>
    <w:uiPriority w:val="99"/>
    <w:unhideWhenUsed/>
    <w:rsid w:val="00570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652">
      <w:bodyDiv w:val="1"/>
      <w:marLeft w:val="0"/>
      <w:marRight w:val="0"/>
      <w:marTop w:val="0"/>
      <w:marBottom w:val="0"/>
      <w:divBdr>
        <w:top w:val="none" w:sz="0" w:space="0" w:color="auto"/>
        <w:left w:val="none" w:sz="0" w:space="0" w:color="auto"/>
        <w:bottom w:val="none" w:sz="0" w:space="0" w:color="auto"/>
        <w:right w:val="none" w:sz="0" w:space="0" w:color="auto"/>
      </w:divBdr>
    </w:div>
    <w:div w:id="94255662">
      <w:bodyDiv w:val="1"/>
      <w:marLeft w:val="0"/>
      <w:marRight w:val="0"/>
      <w:marTop w:val="0"/>
      <w:marBottom w:val="0"/>
      <w:divBdr>
        <w:top w:val="none" w:sz="0" w:space="0" w:color="auto"/>
        <w:left w:val="none" w:sz="0" w:space="0" w:color="auto"/>
        <w:bottom w:val="none" w:sz="0" w:space="0" w:color="auto"/>
        <w:right w:val="none" w:sz="0" w:space="0" w:color="auto"/>
      </w:divBdr>
    </w:div>
    <w:div w:id="179776914">
      <w:bodyDiv w:val="1"/>
      <w:marLeft w:val="0"/>
      <w:marRight w:val="0"/>
      <w:marTop w:val="0"/>
      <w:marBottom w:val="0"/>
      <w:divBdr>
        <w:top w:val="none" w:sz="0" w:space="0" w:color="auto"/>
        <w:left w:val="none" w:sz="0" w:space="0" w:color="auto"/>
        <w:bottom w:val="none" w:sz="0" w:space="0" w:color="auto"/>
        <w:right w:val="none" w:sz="0" w:space="0" w:color="auto"/>
      </w:divBdr>
    </w:div>
    <w:div w:id="190382102">
      <w:bodyDiv w:val="1"/>
      <w:marLeft w:val="0"/>
      <w:marRight w:val="0"/>
      <w:marTop w:val="0"/>
      <w:marBottom w:val="0"/>
      <w:divBdr>
        <w:top w:val="none" w:sz="0" w:space="0" w:color="auto"/>
        <w:left w:val="none" w:sz="0" w:space="0" w:color="auto"/>
        <w:bottom w:val="none" w:sz="0" w:space="0" w:color="auto"/>
        <w:right w:val="none" w:sz="0" w:space="0" w:color="auto"/>
      </w:divBdr>
    </w:div>
    <w:div w:id="285163749">
      <w:bodyDiv w:val="1"/>
      <w:marLeft w:val="0"/>
      <w:marRight w:val="0"/>
      <w:marTop w:val="0"/>
      <w:marBottom w:val="0"/>
      <w:divBdr>
        <w:top w:val="none" w:sz="0" w:space="0" w:color="auto"/>
        <w:left w:val="none" w:sz="0" w:space="0" w:color="auto"/>
        <w:bottom w:val="none" w:sz="0" w:space="0" w:color="auto"/>
        <w:right w:val="none" w:sz="0" w:space="0" w:color="auto"/>
      </w:divBdr>
    </w:div>
    <w:div w:id="531502154">
      <w:bodyDiv w:val="1"/>
      <w:marLeft w:val="0"/>
      <w:marRight w:val="0"/>
      <w:marTop w:val="0"/>
      <w:marBottom w:val="0"/>
      <w:divBdr>
        <w:top w:val="none" w:sz="0" w:space="0" w:color="auto"/>
        <w:left w:val="none" w:sz="0" w:space="0" w:color="auto"/>
        <w:bottom w:val="none" w:sz="0" w:space="0" w:color="auto"/>
        <w:right w:val="none" w:sz="0" w:space="0" w:color="auto"/>
      </w:divBdr>
    </w:div>
    <w:div w:id="798425424">
      <w:bodyDiv w:val="1"/>
      <w:marLeft w:val="0"/>
      <w:marRight w:val="0"/>
      <w:marTop w:val="0"/>
      <w:marBottom w:val="0"/>
      <w:divBdr>
        <w:top w:val="none" w:sz="0" w:space="0" w:color="auto"/>
        <w:left w:val="none" w:sz="0" w:space="0" w:color="auto"/>
        <w:bottom w:val="none" w:sz="0" w:space="0" w:color="auto"/>
        <w:right w:val="none" w:sz="0" w:space="0" w:color="auto"/>
      </w:divBdr>
    </w:div>
    <w:div w:id="813715175">
      <w:bodyDiv w:val="1"/>
      <w:marLeft w:val="0"/>
      <w:marRight w:val="0"/>
      <w:marTop w:val="0"/>
      <w:marBottom w:val="0"/>
      <w:divBdr>
        <w:top w:val="none" w:sz="0" w:space="0" w:color="auto"/>
        <w:left w:val="none" w:sz="0" w:space="0" w:color="auto"/>
        <w:bottom w:val="none" w:sz="0" w:space="0" w:color="auto"/>
        <w:right w:val="none" w:sz="0" w:space="0" w:color="auto"/>
      </w:divBdr>
    </w:div>
    <w:div w:id="966550338">
      <w:bodyDiv w:val="1"/>
      <w:marLeft w:val="0"/>
      <w:marRight w:val="0"/>
      <w:marTop w:val="0"/>
      <w:marBottom w:val="0"/>
      <w:divBdr>
        <w:top w:val="none" w:sz="0" w:space="0" w:color="auto"/>
        <w:left w:val="none" w:sz="0" w:space="0" w:color="auto"/>
        <w:bottom w:val="none" w:sz="0" w:space="0" w:color="auto"/>
        <w:right w:val="none" w:sz="0" w:space="0" w:color="auto"/>
      </w:divBdr>
    </w:div>
    <w:div w:id="1102917871">
      <w:bodyDiv w:val="1"/>
      <w:marLeft w:val="0"/>
      <w:marRight w:val="0"/>
      <w:marTop w:val="0"/>
      <w:marBottom w:val="0"/>
      <w:divBdr>
        <w:top w:val="none" w:sz="0" w:space="0" w:color="auto"/>
        <w:left w:val="none" w:sz="0" w:space="0" w:color="auto"/>
        <w:bottom w:val="none" w:sz="0" w:space="0" w:color="auto"/>
        <w:right w:val="none" w:sz="0" w:space="0" w:color="auto"/>
      </w:divBdr>
    </w:div>
    <w:div w:id="1131096025">
      <w:bodyDiv w:val="1"/>
      <w:marLeft w:val="0"/>
      <w:marRight w:val="0"/>
      <w:marTop w:val="0"/>
      <w:marBottom w:val="0"/>
      <w:divBdr>
        <w:top w:val="none" w:sz="0" w:space="0" w:color="auto"/>
        <w:left w:val="none" w:sz="0" w:space="0" w:color="auto"/>
        <w:bottom w:val="none" w:sz="0" w:space="0" w:color="auto"/>
        <w:right w:val="none" w:sz="0" w:space="0" w:color="auto"/>
      </w:divBdr>
    </w:div>
    <w:div w:id="1195926502">
      <w:bodyDiv w:val="1"/>
      <w:marLeft w:val="0"/>
      <w:marRight w:val="0"/>
      <w:marTop w:val="0"/>
      <w:marBottom w:val="0"/>
      <w:divBdr>
        <w:top w:val="none" w:sz="0" w:space="0" w:color="auto"/>
        <w:left w:val="none" w:sz="0" w:space="0" w:color="auto"/>
        <w:bottom w:val="none" w:sz="0" w:space="0" w:color="auto"/>
        <w:right w:val="none" w:sz="0" w:space="0" w:color="auto"/>
      </w:divBdr>
    </w:div>
    <w:div w:id="1215311975">
      <w:bodyDiv w:val="1"/>
      <w:marLeft w:val="0"/>
      <w:marRight w:val="0"/>
      <w:marTop w:val="0"/>
      <w:marBottom w:val="0"/>
      <w:divBdr>
        <w:top w:val="none" w:sz="0" w:space="0" w:color="auto"/>
        <w:left w:val="none" w:sz="0" w:space="0" w:color="auto"/>
        <w:bottom w:val="none" w:sz="0" w:space="0" w:color="auto"/>
        <w:right w:val="none" w:sz="0" w:space="0" w:color="auto"/>
      </w:divBdr>
    </w:div>
    <w:div w:id="1234006261">
      <w:bodyDiv w:val="1"/>
      <w:marLeft w:val="0"/>
      <w:marRight w:val="0"/>
      <w:marTop w:val="0"/>
      <w:marBottom w:val="0"/>
      <w:divBdr>
        <w:top w:val="none" w:sz="0" w:space="0" w:color="auto"/>
        <w:left w:val="none" w:sz="0" w:space="0" w:color="auto"/>
        <w:bottom w:val="none" w:sz="0" w:space="0" w:color="auto"/>
        <w:right w:val="none" w:sz="0" w:space="0" w:color="auto"/>
      </w:divBdr>
    </w:div>
    <w:div w:id="1291059773">
      <w:bodyDiv w:val="1"/>
      <w:marLeft w:val="0"/>
      <w:marRight w:val="0"/>
      <w:marTop w:val="0"/>
      <w:marBottom w:val="0"/>
      <w:divBdr>
        <w:top w:val="none" w:sz="0" w:space="0" w:color="auto"/>
        <w:left w:val="none" w:sz="0" w:space="0" w:color="auto"/>
        <w:bottom w:val="none" w:sz="0" w:space="0" w:color="auto"/>
        <w:right w:val="none" w:sz="0" w:space="0" w:color="auto"/>
      </w:divBdr>
    </w:div>
    <w:div w:id="1328092455">
      <w:bodyDiv w:val="1"/>
      <w:marLeft w:val="0"/>
      <w:marRight w:val="0"/>
      <w:marTop w:val="0"/>
      <w:marBottom w:val="0"/>
      <w:divBdr>
        <w:top w:val="none" w:sz="0" w:space="0" w:color="auto"/>
        <w:left w:val="none" w:sz="0" w:space="0" w:color="auto"/>
        <w:bottom w:val="none" w:sz="0" w:space="0" w:color="auto"/>
        <w:right w:val="none" w:sz="0" w:space="0" w:color="auto"/>
      </w:divBdr>
    </w:div>
    <w:div w:id="1365015797">
      <w:bodyDiv w:val="1"/>
      <w:marLeft w:val="0"/>
      <w:marRight w:val="0"/>
      <w:marTop w:val="0"/>
      <w:marBottom w:val="0"/>
      <w:divBdr>
        <w:top w:val="none" w:sz="0" w:space="0" w:color="auto"/>
        <w:left w:val="none" w:sz="0" w:space="0" w:color="auto"/>
        <w:bottom w:val="none" w:sz="0" w:space="0" w:color="auto"/>
        <w:right w:val="none" w:sz="0" w:space="0" w:color="auto"/>
      </w:divBdr>
    </w:div>
    <w:div w:id="1392658779">
      <w:bodyDiv w:val="1"/>
      <w:marLeft w:val="0"/>
      <w:marRight w:val="0"/>
      <w:marTop w:val="0"/>
      <w:marBottom w:val="0"/>
      <w:divBdr>
        <w:top w:val="none" w:sz="0" w:space="0" w:color="auto"/>
        <w:left w:val="none" w:sz="0" w:space="0" w:color="auto"/>
        <w:bottom w:val="none" w:sz="0" w:space="0" w:color="auto"/>
        <w:right w:val="none" w:sz="0" w:space="0" w:color="auto"/>
      </w:divBdr>
    </w:div>
    <w:div w:id="1519352822">
      <w:bodyDiv w:val="1"/>
      <w:marLeft w:val="0"/>
      <w:marRight w:val="0"/>
      <w:marTop w:val="0"/>
      <w:marBottom w:val="0"/>
      <w:divBdr>
        <w:top w:val="none" w:sz="0" w:space="0" w:color="auto"/>
        <w:left w:val="none" w:sz="0" w:space="0" w:color="auto"/>
        <w:bottom w:val="none" w:sz="0" w:space="0" w:color="auto"/>
        <w:right w:val="none" w:sz="0" w:space="0" w:color="auto"/>
      </w:divBdr>
    </w:div>
    <w:div w:id="1550803931">
      <w:bodyDiv w:val="1"/>
      <w:marLeft w:val="0"/>
      <w:marRight w:val="0"/>
      <w:marTop w:val="0"/>
      <w:marBottom w:val="0"/>
      <w:divBdr>
        <w:top w:val="none" w:sz="0" w:space="0" w:color="auto"/>
        <w:left w:val="none" w:sz="0" w:space="0" w:color="auto"/>
        <w:bottom w:val="none" w:sz="0" w:space="0" w:color="auto"/>
        <w:right w:val="none" w:sz="0" w:space="0" w:color="auto"/>
      </w:divBdr>
    </w:div>
    <w:div w:id="1583221335">
      <w:bodyDiv w:val="1"/>
      <w:marLeft w:val="0"/>
      <w:marRight w:val="0"/>
      <w:marTop w:val="0"/>
      <w:marBottom w:val="0"/>
      <w:divBdr>
        <w:top w:val="none" w:sz="0" w:space="0" w:color="auto"/>
        <w:left w:val="none" w:sz="0" w:space="0" w:color="auto"/>
        <w:bottom w:val="none" w:sz="0" w:space="0" w:color="auto"/>
        <w:right w:val="none" w:sz="0" w:space="0" w:color="auto"/>
      </w:divBdr>
    </w:div>
    <w:div w:id="1900240324">
      <w:bodyDiv w:val="1"/>
      <w:marLeft w:val="0"/>
      <w:marRight w:val="0"/>
      <w:marTop w:val="0"/>
      <w:marBottom w:val="0"/>
      <w:divBdr>
        <w:top w:val="none" w:sz="0" w:space="0" w:color="auto"/>
        <w:left w:val="none" w:sz="0" w:space="0" w:color="auto"/>
        <w:bottom w:val="none" w:sz="0" w:space="0" w:color="auto"/>
        <w:right w:val="none" w:sz="0" w:space="0" w:color="auto"/>
      </w:divBdr>
    </w:div>
    <w:div w:id="1956328620">
      <w:bodyDiv w:val="1"/>
      <w:marLeft w:val="0"/>
      <w:marRight w:val="0"/>
      <w:marTop w:val="0"/>
      <w:marBottom w:val="0"/>
      <w:divBdr>
        <w:top w:val="none" w:sz="0" w:space="0" w:color="auto"/>
        <w:left w:val="none" w:sz="0" w:space="0" w:color="auto"/>
        <w:bottom w:val="none" w:sz="0" w:space="0" w:color="auto"/>
        <w:right w:val="none" w:sz="0" w:space="0" w:color="auto"/>
      </w:divBdr>
    </w:div>
    <w:div w:id="1987202514">
      <w:bodyDiv w:val="1"/>
      <w:marLeft w:val="0"/>
      <w:marRight w:val="0"/>
      <w:marTop w:val="0"/>
      <w:marBottom w:val="0"/>
      <w:divBdr>
        <w:top w:val="none" w:sz="0" w:space="0" w:color="auto"/>
        <w:left w:val="none" w:sz="0" w:space="0" w:color="auto"/>
        <w:bottom w:val="none" w:sz="0" w:space="0" w:color="auto"/>
        <w:right w:val="none" w:sz="0" w:space="0" w:color="auto"/>
      </w:divBdr>
    </w:div>
    <w:div w:id="2048675595">
      <w:bodyDiv w:val="1"/>
      <w:marLeft w:val="0"/>
      <w:marRight w:val="0"/>
      <w:marTop w:val="0"/>
      <w:marBottom w:val="0"/>
      <w:divBdr>
        <w:top w:val="none" w:sz="0" w:space="0" w:color="auto"/>
        <w:left w:val="none" w:sz="0" w:space="0" w:color="auto"/>
        <w:bottom w:val="none" w:sz="0" w:space="0" w:color="auto"/>
        <w:right w:val="none" w:sz="0" w:space="0" w:color="auto"/>
      </w:divBdr>
    </w:div>
    <w:div w:id="2100055305">
      <w:bodyDiv w:val="1"/>
      <w:marLeft w:val="0"/>
      <w:marRight w:val="0"/>
      <w:marTop w:val="0"/>
      <w:marBottom w:val="0"/>
      <w:divBdr>
        <w:top w:val="none" w:sz="0" w:space="0" w:color="auto"/>
        <w:left w:val="none" w:sz="0" w:space="0" w:color="auto"/>
        <w:bottom w:val="none" w:sz="0" w:space="0" w:color="auto"/>
        <w:right w:val="none" w:sz="0" w:space="0" w:color="auto"/>
      </w:divBdr>
    </w:div>
    <w:div w:id="213636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Ziyun Cheng</dc:creator>
  <cp:keywords/>
  <dc:description/>
  <cp:lastModifiedBy>Zakeri, Fatin</cp:lastModifiedBy>
  <cp:revision>2</cp:revision>
  <dcterms:created xsi:type="dcterms:W3CDTF">2026-01-05T01:15:00Z</dcterms:created>
  <dcterms:modified xsi:type="dcterms:W3CDTF">2026-01-05T01:15:00Z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ee0fa891-54c2-453d-8816-b0f2b42e2fe0</vt:lpwstr>
  </property>
  <property fmtid="{D5CDD505-2E9C-101B-9397-08002B2CF9AE}" pid="3" name="ClassificationContentMarkingFooterShapeIds">
    <vt:lpwstr>3eabfa0b,36117869,446dc70d</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2026-01-05T01:15:55Z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3698ceb5-0eac-4e70-9ce7-0bd1834c462f</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