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DCD7B" w14:textId="77777777" w:rsidR="00692F9D" w:rsidRDefault="00000000">
      <w:pPr>
        <w:spacing w:line="480" w:lineRule="auto"/>
        <w:ind w:firstLineChars="200" w:firstLine="643"/>
        <w:jc w:val="center"/>
        <w:rPr>
          <w:rFonts w:ascii="Arial" w:eastAsia="宋体" w:hAnsi="Arial" w:cs="Arial"/>
          <w:b/>
          <w:bCs/>
          <w:sz w:val="32"/>
          <w:szCs w:val="32"/>
          <w:shd w:val="clear" w:color="auto" w:fill="FFFFFF"/>
        </w:rPr>
      </w:pPr>
      <w:r>
        <w:rPr>
          <w:rFonts w:ascii="Arial" w:eastAsia="宋体" w:hAnsi="Arial" w:cs="Arial"/>
          <w:b/>
          <w:bCs/>
          <w:sz w:val="32"/>
          <w:szCs w:val="32"/>
          <w:shd w:val="clear" w:color="auto" w:fill="FFFFFF"/>
        </w:rPr>
        <w:t>Supplementary Materials</w:t>
      </w:r>
    </w:p>
    <w:p w14:paraId="05C0CB1E" w14:textId="77777777" w:rsidR="00692F9D" w:rsidRDefault="00000000">
      <w:pPr>
        <w:spacing w:line="480" w:lineRule="auto"/>
        <w:rPr>
          <w:rFonts w:ascii="Arial" w:eastAsia="宋体" w:hAnsi="Arial" w:cs="Arial"/>
          <w:b/>
          <w:bCs/>
          <w:sz w:val="28"/>
          <w:szCs w:val="28"/>
          <w:shd w:val="clear" w:color="auto" w:fill="FFFFFF"/>
        </w:rPr>
      </w:pPr>
      <w:r>
        <w:rPr>
          <w:rFonts w:ascii="Arial" w:eastAsia="宋体" w:hAnsi="Arial" w:cs="Arial"/>
          <w:b/>
          <w:bCs/>
          <w:sz w:val="28"/>
          <w:szCs w:val="28"/>
          <w:shd w:val="clear" w:color="auto" w:fill="FFFFFF"/>
        </w:rPr>
        <w:t>S1. Materials</w:t>
      </w:r>
    </w:p>
    <w:p w14:paraId="503CF2CC" w14:textId="77777777" w:rsidR="00692F9D" w:rsidRDefault="00000000" w:rsidP="009D7FF1">
      <w:pPr>
        <w:pStyle w:val="1"/>
        <w:widowControl/>
        <w:shd w:val="clear" w:color="auto" w:fill="FFFFFF"/>
        <w:spacing w:beforeAutospacing="0" w:afterAutospacing="0" w:line="480" w:lineRule="auto"/>
        <w:ind w:firstLineChars="200" w:firstLine="496"/>
        <w:jc w:val="both"/>
        <w:rPr>
          <w:rFonts w:ascii="Arial" w:hAnsi="Arial" w:cs="Arial" w:hint="default"/>
          <w:sz w:val="24"/>
          <w:szCs w:val="24"/>
          <w:shd w:val="clear" w:color="auto" w:fill="FFFFFF"/>
        </w:rPr>
      </w:pPr>
      <w:proofErr w:type="gramStart"/>
      <w:r>
        <w:rPr>
          <w:rFonts w:ascii="Arial" w:hAnsi="Arial" w:cs="Arial" w:hint="default"/>
          <w:b w:val="0"/>
          <w:bCs w:val="0"/>
          <w:spacing w:val="4"/>
          <w:sz w:val="24"/>
          <w:szCs w:val="24"/>
          <w:shd w:val="clear" w:color="auto" w:fill="FFFFFF"/>
        </w:rPr>
        <w:t>Copper(</w:t>
      </w:r>
      <w:proofErr w:type="gramEnd"/>
      <w:r>
        <w:rPr>
          <w:rFonts w:ascii="Arial" w:hAnsi="Arial" w:cs="Arial" w:hint="default"/>
          <w:b w:val="0"/>
          <w:bCs w:val="0"/>
          <w:spacing w:val="4"/>
          <w:sz w:val="24"/>
          <w:szCs w:val="24"/>
          <w:shd w:val="clear" w:color="auto" w:fill="FFFFFF"/>
        </w:rPr>
        <w:t>II) chloride dihydrate (</w:t>
      </w:r>
      <w:proofErr w:type="spellStart"/>
      <w:r>
        <w:rPr>
          <w:rFonts w:ascii="Arial" w:hAnsi="Arial" w:cs="Arial" w:hint="default"/>
          <w:b w:val="0"/>
          <w:bCs w:val="0"/>
          <w:spacing w:val="4"/>
          <w:sz w:val="24"/>
          <w:szCs w:val="24"/>
          <w:shd w:val="clear" w:color="auto" w:fill="FFFFFF"/>
        </w:rPr>
        <w:t>CuCl</w:t>
      </w:r>
      <w:proofErr w:type="spellEnd"/>
      <w:r>
        <w:rPr>
          <w:rFonts w:ascii="Arial" w:hAnsi="Arial" w:cs="Arial" w:hint="default"/>
          <w:b w:val="0"/>
          <w:bCs w:val="0"/>
          <w:spacing w:val="4"/>
          <w:sz w:val="24"/>
          <w:szCs w:val="24"/>
          <w:shd w:val="clear" w:color="auto" w:fill="FFFFFF"/>
        </w:rPr>
        <w:t>₂·2H₂O) and cysteamine hydrochloride (HSCH₂CH₂NH₂·HCl) were purchased from Sigma-Aldrich. Sodium hydroxide (NaOH) and 2-methylimidazole (C₄H₆N₂) were obtained from Aladdin. Zinc nitrate hexahydrate (</w:t>
      </w:r>
      <w:proofErr w:type="gramStart"/>
      <w:r>
        <w:rPr>
          <w:rFonts w:ascii="Arial" w:hAnsi="Arial" w:cs="Arial" w:hint="default"/>
          <w:b w:val="0"/>
          <w:bCs w:val="0"/>
          <w:spacing w:val="4"/>
          <w:sz w:val="24"/>
          <w:szCs w:val="24"/>
          <w:shd w:val="clear" w:color="auto" w:fill="FFFFFF"/>
        </w:rPr>
        <w:t>Zn(</w:t>
      </w:r>
      <w:proofErr w:type="gramEnd"/>
      <w:r>
        <w:rPr>
          <w:rFonts w:ascii="Arial" w:hAnsi="Arial" w:cs="Arial" w:hint="default"/>
          <w:b w:val="0"/>
          <w:bCs w:val="0"/>
          <w:spacing w:val="4"/>
          <w:sz w:val="24"/>
          <w:szCs w:val="24"/>
          <w:shd w:val="clear" w:color="auto" w:fill="FFFFFF"/>
        </w:rPr>
        <w:t xml:space="preserve">NO₃)₂·6H₂O), 1,3-diphenylisobenzofuran (DPBF), 5,5'-dithiobis-(2-nitrobenzoic acid) (DTNB), reduced glutathione, polyvinylpyrrolidone (PVP), and hyaluronic acid were acquired from Macklin (Shanghai, China). Specialized culture medium for A-431 cells was purchased from </w:t>
      </w:r>
      <w:proofErr w:type="spellStart"/>
      <w:r>
        <w:rPr>
          <w:rFonts w:ascii="Arial" w:hAnsi="Arial" w:cs="Arial" w:hint="default"/>
          <w:b w:val="0"/>
          <w:bCs w:val="0"/>
          <w:spacing w:val="4"/>
          <w:sz w:val="24"/>
          <w:szCs w:val="24"/>
          <w:shd w:val="clear" w:color="auto" w:fill="FFFFFF"/>
        </w:rPr>
        <w:t>Cyagen</w:t>
      </w:r>
      <w:proofErr w:type="spellEnd"/>
      <w:r>
        <w:rPr>
          <w:rFonts w:ascii="Arial" w:hAnsi="Arial" w:cs="Arial" w:hint="default"/>
          <w:b w:val="0"/>
          <w:bCs w:val="0"/>
          <w:spacing w:val="4"/>
          <w:sz w:val="24"/>
          <w:szCs w:val="24"/>
          <w:shd w:val="clear" w:color="auto" w:fill="FFFFFF"/>
        </w:rPr>
        <w:t xml:space="preserve"> Biosciences. Fetal bovine serum was obtained from Zhejiang </w:t>
      </w:r>
      <w:proofErr w:type="spellStart"/>
      <w:r>
        <w:rPr>
          <w:rFonts w:ascii="Arial" w:hAnsi="Arial" w:cs="Arial" w:hint="default"/>
          <w:b w:val="0"/>
          <w:bCs w:val="0"/>
          <w:spacing w:val="4"/>
          <w:sz w:val="24"/>
          <w:szCs w:val="24"/>
          <w:shd w:val="clear" w:color="auto" w:fill="FFFFFF"/>
        </w:rPr>
        <w:t>Tianhang</w:t>
      </w:r>
      <w:proofErr w:type="spellEnd"/>
      <w:r>
        <w:rPr>
          <w:rFonts w:ascii="Arial" w:hAnsi="Arial" w:cs="Arial" w:hint="default"/>
          <w:b w:val="0"/>
          <w:bCs w:val="0"/>
          <w:spacing w:val="4"/>
          <w:sz w:val="24"/>
          <w:szCs w:val="24"/>
          <w:shd w:val="clear" w:color="auto" w:fill="FFFFFF"/>
        </w:rPr>
        <w:t xml:space="preserve"> Biotechnology Co., Ltd. The BCA protein assay kit, rapid transfer buffer, rapid blocking buffer, and universal antibody diluent were sourced from Suzhou New Cellmate Biotechnology Co., Ltd. The PAGE gel rapid preparation kit (10%) was procured from </w:t>
      </w:r>
      <w:proofErr w:type="spellStart"/>
      <w:r>
        <w:rPr>
          <w:rFonts w:ascii="Arial" w:hAnsi="Arial" w:cs="Arial" w:hint="default"/>
          <w:b w:val="0"/>
          <w:bCs w:val="0"/>
          <w:spacing w:val="4"/>
          <w:sz w:val="24"/>
          <w:szCs w:val="24"/>
          <w:shd w:val="clear" w:color="auto" w:fill="FFFFFF"/>
        </w:rPr>
        <w:t>Yeasen</w:t>
      </w:r>
      <w:proofErr w:type="spellEnd"/>
      <w:r>
        <w:rPr>
          <w:rFonts w:ascii="Arial" w:hAnsi="Arial" w:cs="Arial" w:hint="default"/>
          <w:b w:val="0"/>
          <w:bCs w:val="0"/>
          <w:spacing w:val="4"/>
          <w:sz w:val="24"/>
          <w:szCs w:val="24"/>
          <w:shd w:val="clear" w:color="auto" w:fill="FFFFFF"/>
        </w:rPr>
        <w:t xml:space="preserve"> Biotechnology (Shanghai) Co., Ltd. DMEM high-glucose medium (1×) (with double antibiotics), Annexin V-FITC/PI apoptosis detection kit, and live/dead cell viability/toxicity assay kit were purchased from </w:t>
      </w:r>
      <w:proofErr w:type="spellStart"/>
      <w:r>
        <w:rPr>
          <w:rFonts w:ascii="Arial" w:hAnsi="Arial" w:cs="Arial" w:hint="default"/>
          <w:b w:val="0"/>
          <w:bCs w:val="0"/>
          <w:spacing w:val="4"/>
          <w:sz w:val="24"/>
          <w:szCs w:val="24"/>
          <w:shd w:val="clear" w:color="auto" w:fill="FFFFFF"/>
        </w:rPr>
        <w:t>KeyGEN</w:t>
      </w:r>
      <w:proofErr w:type="spellEnd"/>
      <w:r>
        <w:rPr>
          <w:rFonts w:ascii="Arial" w:hAnsi="Arial" w:cs="Arial" w:hint="default"/>
          <w:b w:val="0"/>
          <w:bCs w:val="0"/>
          <w:spacing w:val="4"/>
          <w:sz w:val="24"/>
          <w:szCs w:val="24"/>
          <w:shd w:val="clear" w:color="auto" w:fill="FFFFFF"/>
        </w:rPr>
        <w:t xml:space="preserve"> </w:t>
      </w:r>
      <w:proofErr w:type="spellStart"/>
      <w:r>
        <w:rPr>
          <w:rFonts w:ascii="Arial" w:hAnsi="Arial" w:cs="Arial" w:hint="default"/>
          <w:b w:val="0"/>
          <w:bCs w:val="0"/>
          <w:spacing w:val="4"/>
          <w:sz w:val="24"/>
          <w:szCs w:val="24"/>
          <w:shd w:val="clear" w:color="auto" w:fill="FFFFFF"/>
        </w:rPr>
        <w:t>BioTECH</w:t>
      </w:r>
      <w:proofErr w:type="spellEnd"/>
      <w:r>
        <w:rPr>
          <w:rFonts w:ascii="Arial" w:hAnsi="Arial" w:cs="Arial" w:hint="default"/>
          <w:b w:val="0"/>
          <w:bCs w:val="0"/>
          <w:spacing w:val="4"/>
          <w:sz w:val="24"/>
          <w:szCs w:val="24"/>
          <w:shd w:val="clear" w:color="auto" w:fill="FFFFFF"/>
        </w:rPr>
        <w:t xml:space="preserve">. PBS (1×) was acquired from </w:t>
      </w:r>
      <w:proofErr w:type="spellStart"/>
      <w:r>
        <w:rPr>
          <w:rFonts w:ascii="Arial" w:hAnsi="Arial" w:cs="Arial" w:hint="default"/>
          <w:b w:val="0"/>
          <w:bCs w:val="0"/>
          <w:spacing w:val="4"/>
          <w:sz w:val="24"/>
          <w:szCs w:val="24"/>
          <w:shd w:val="clear" w:color="auto" w:fill="FFFFFF"/>
        </w:rPr>
        <w:t>Servicebio</w:t>
      </w:r>
      <w:proofErr w:type="spellEnd"/>
      <w:r>
        <w:rPr>
          <w:rFonts w:ascii="Arial" w:hAnsi="Arial" w:cs="Arial" w:hint="default"/>
          <w:b w:val="0"/>
          <w:bCs w:val="0"/>
          <w:spacing w:val="4"/>
          <w:sz w:val="24"/>
          <w:szCs w:val="24"/>
          <w:shd w:val="clear" w:color="auto" w:fill="FFFFFF"/>
        </w:rPr>
        <w:t xml:space="preserve"> (Wuhan, China). Trypsin digestion solution and CCK-8 assay kit were obtained from VICMED. The SOSG singlet oxygen fluorescence probe was purchased from Dalian </w:t>
      </w:r>
      <w:proofErr w:type="spellStart"/>
      <w:r>
        <w:rPr>
          <w:rFonts w:ascii="Arial" w:hAnsi="Arial" w:cs="Arial" w:hint="default"/>
          <w:b w:val="0"/>
          <w:bCs w:val="0"/>
          <w:spacing w:val="4"/>
          <w:sz w:val="24"/>
          <w:szCs w:val="24"/>
          <w:shd w:val="clear" w:color="auto" w:fill="FFFFFF"/>
        </w:rPr>
        <w:t>Meilun</w:t>
      </w:r>
      <w:proofErr w:type="spellEnd"/>
      <w:r>
        <w:rPr>
          <w:rFonts w:ascii="Arial" w:hAnsi="Arial" w:cs="Arial" w:hint="default"/>
          <w:b w:val="0"/>
          <w:bCs w:val="0"/>
          <w:spacing w:val="4"/>
          <w:sz w:val="24"/>
          <w:szCs w:val="24"/>
          <w:shd w:val="clear" w:color="auto" w:fill="FFFFFF"/>
        </w:rPr>
        <w:t xml:space="preserve"> Biotechnology Co., Ltd. The micro reduced glutathione (GSH) assay kit was sourced from Nanjing </w:t>
      </w:r>
      <w:proofErr w:type="spellStart"/>
      <w:r>
        <w:rPr>
          <w:rFonts w:ascii="Arial" w:hAnsi="Arial" w:cs="Arial" w:hint="default"/>
          <w:b w:val="0"/>
          <w:bCs w:val="0"/>
          <w:spacing w:val="4"/>
          <w:sz w:val="24"/>
          <w:szCs w:val="24"/>
          <w:shd w:val="clear" w:color="auto" w:fill="FFFFFF"/>
        </w:rPr>
        <w:t>Jiancheng</w:t>
      </w:r>
      <w:proofErr w:type="spellEnd"/>
      <w:r>
        <w:rPr>
          <w:rFonts w:ascii="Arial" w:hAnsi="Arial" w:cs="Arial" w:hint="default"/>
          <w:b w:val="0"/>
          <w:bCs w:val="0"/>
          <w:spacing w:val="4"/>
          <w:sz w:val="24"/>
          <w:szCs w:val="24"/>
          <w:shd w:val="clear" w:color="auto" w:fill="FFFFFF"/>
        </w:rPr>
        <w:t xml:space="preserve"> </w:t>
      </w:r>
      <w:r>
        <w:rPr>
          <w:rFonts w:ascii="Arial" w:hAnsi="Arial" w:cs="Arial" w:hint="default"/>
          <w:b w:val="0"/>
          <w:bCs w:val="0"/>
          <w:spacing w:val="4"/>
          <w:sz w:val="24"/>
          <w:szCs w:val="24"/>
          <w:shd w:val="clear" w:color="auto" w:fill="FFFFFF"/>
        </w:rPr>
        <w:lastRenderedPageBreak/>
        <w:t xml:space="preserve">Bioengineering Institute. The reactive oxygen species assay kit was obtained from </w:t>
      </w:r>
      <w:proofErr w:type="spellStart"/>
      <w:r>
        <w:rPr>
          <w:rFonts w:ascii="Arial" w:hAnsi="Arial" w:cs="Arial" w:hint="default"/>
          <w:b w:val="0"/>
          <w:bCs w:val="0"/>
          <w:spacing w:val="4"/>
          <w:sz w:val="24"/>
          <w:szCs w:val="24"/>
          <w:shd w:val="clear" w:color="auto" w:fill="FFFFFF"/>
        </w:rPr>
        <w:t>Beyotime</w:t>
      </w:r>
      <w:proofErr w:type="spellEnd"/>
      <w:r>
        <w:rPr>
          <w:rFonts w:ascii="Arial" w:hAnsi="Arial" w:cs="Arial" w:hint="default"/>
          <w:b w:val="0"/>
          <w:bCs w:val="0"/>
          <w:spacing w:val="4"/>
          <w:sz w:val="24"/>
          <w:szCs w:val="24"/>
          <w:shd w:val="clear" w:color="auto" w:fill="FFFFFF"/>
        </w:rPr>
        <w:t xml:space="preserve"> Biotechnology. β-actin and CD44 polyclonal antibodies were purchased from </w:t>
      </w:r>
      <w:proofErr w:type="spellStart"/>
      <w:r>
        <w:rPr>
          <w:rFonts w:ascii="Arial" w:hAnsi="Arial" w:cs="Arial" w:hint="default"/>
          <w:b w:val="0"/>
          <w:bCs w:val="0"/>
          <w:spacing w:val="4"/>
          <w:sz w:val="24"/>
          <w:szCs w:val="24"/>
          <w:shd w:val="clear" w:color="auto" w:fill="FFFFFF"/>
        </w:rPr>
        <w:t>Proteintech</w:t>
      </w:r>
      <w:proofErr w:type="spellEnd"/>
      <w:r>
        <w:rPr>
          <w:rFonts w:ascii="Arial" w:hAnsi="Arial" w:cs="Arial" w:hint="default"/>
          <w:b w:val="0"/>
          <w:bCs w:val="0"/>
          <w:spacing w:val="4"/>
          <w:sz w:val="24"/>
          <w:szCs w:val="24"/>
          <w:shd w:val="clear" w:color="auto" w:fill="FFFFFF"/>
        </w:rPr>
        <w:t>. Titanium sulfate was acquired from Sinopharm Chemical Reagent Co., Ltd.</w:t>
      </w:r>
    </w:p>
    <w:p w14:paraId="4D3B5F17" w14:textId="77777777" w:rsidR="00692F9D" w:rsidRDefault="00000000" w:rsidP="009D7FF1">
      <w:pPr>
        <w:spacing w:line="480" w:lineRule="auto"/>
        <w:rPr>
          <w:rFonts w:ascii="Arial" w:eastAsia="宋体" w:hAnsi="Arial" w:cs="Arial"/>
          <w:b/>
          <w:bCs/>
          <w:sz w:val="28"/>
          <w:szCs w:val="28"/>
          <w:shd w:val="clear" w:color="auto" w:fill="FFFFFF"/>
        </w:rPr>
      </w:pPr>
      <w:r>
        <w:rPr>
          <w:rFonts w:ascii="Arial" w:eastAsia="宋体" w:hAnsi="Arial" w:cs="Arial"/>
          <w:b/>
          <w:bCs/>
          <w:sz w:val="28"/>
          <w:szCs w:val="28"/>
          <w:shd w:val="clear" w:color="auto" w:fill="FFFFFF"/>
        </w:rPr>
        <w:t>S2. Characterization</w:t>
      </w:r>
    </w:p>
    <w:p w14:paraId="79BBCD2B" w14:textId="77777777" w:rsidR="00692F9D" w:rsidRDefault="00000000" w:rsidP="009D7FF1">
      <w:pPr>
        <w:pStyle w:val="2"/>
        <w:widowControl/>
        <w:spacing w:beforeAutospacing="0" w:afterAutospacing="0" w:line="480" w:lineRule="auto"/>
        <w:ind w:firstLineChars="200" w:firstLine="440"/>
        <w:jc w:val="both"/>
        <w:rPr>
          <w:rFonts w:ascii="Arial" w:hAnsi="Arial" w:cs="Arial" w:hint="default"/>
          <w:spacing w:val="-10"/>
          <w:kern w:val="44"/>
          <w:sz w:val="24"/>
          <w:szCs w:val="24"/>
          <w:shd w:val="clear" w:color="auto" w:fill="FAFAFA"/>
          <w:lang w:bidi="ar"/>
        </w:rPr>
      </w:pPr>
      <w:r>
        <w:rPr>
          <w:rFonts w:ascii="Arial" w:hAnsi="Arial" w:cs="Arial" w:hint="default"/>
          <w:b w:val="0"/>
          <w:bCs w:val="0"/>
          <w:spacing w:val="-10"/>
          <w:kern w:val="44"/>
          <w:sz w:val="24"/>
          <w:szCs w:val="24"/>
          <w:shd w:val="clear" w:color="auto" w:fill="FAFAFA"/>
          <w:lang w:bidi="ar"/>
        </w:rPr>
        <w:t xml:space="preserve">The characterization instruments included: transmission electron microscope (TEM, </w:t>
      </w:r>
      <w:proofErr w:type="spellStart"/>
      <w:r>
        <w:rPr>
          <w:rFonts w:ascii="Arial" w:hAnsi="Arial" w:cs="Arial" w:hint="default"/>
          <w:b w:val="0"/>
          <w:bCs w:val="0"/>
          <w:spacing w:val="-10"/>
          <w:kern w:val="44"/>
          <w:sz w:val="24"/>
          <w:szCs w:val="24"/>
          <w:shd w:val="clear" w:color="auto" w:fill="FAFAFA"/>
          <w:lang w:bidi="ar"/>
        </w:rPr>
        <w:t>Tecnai</w:t>
      </w:r>
      <w:proofErr w:type="spellEnd"/>
      <w:r>
        <w:rPr>
          <w:rFonts w:ascii="Arial" w:hAnsi="Arial" w:cs="Arial" w:hint="default"/>
          <w:b w:val="0"/>
          <w:bCs w:val="0"/>
          <w:spacing w:val="-10"/>
          <w:kern w:val="44"/>
          <w:sz w:val="24"/>
          <w:szCs w:val="24"/>
          <w:shd w:val="clear" w:color="auto" w:fill="FAFAFA"/>
          <w:lang w:bidi="ar"/>
        </w:rPr>
        <w:t xml:space="preserve">™ G2 TWIN, FEI, USA); field emission transmission electron microscope (FETEM, </w:t>
      </w:r>
      <w:proofErr w:type="spellStart"/>
      <w:r>
        <w:rPr>
          <w:rFonts w:ascii="Arial" w:hAnsi="Arial" w:cs="Arial" w:hint="default"/>
          <w:b w:val="0"/>
          <w:bCs w:val="0"/>
          <w:spacing w:val="-10"/>
          <w:kern w:val="44"/>
          <w:sz w:val="24"/>
          <w:szCs w:val="24"/>
          <w:shd w:val="clear" w:color="auto" w:fill="FAFAFA"/>
          <w:lang w:bidi="ar"/>
        </w:rPr>
        <w:t>Tecnai</w:t>
      </w:r>
      <w:proofErr w:type="spellEnd"/>
      <w:r>
        <w:rPr>
          <w:rFonts w:ascii="Arial" w:hAnsi="Arial" w:cs="Arial" w:hint="default"/>
          <w:b w:val="0"/>
          <w:bCs w:val="0"/>
          <w:spacing w:val="-10"/>
          <w:kern w:val="44"/>
          <w:sz w:val="24"/>
          <w:szCs w:val="24"/>
          <w:shd w:val="clear" w:color="auto" w:fill="FAFAFA"/>
          <w:lang w:bidi="ar"/>
        </w:rPr>
        <w:t xml:space="preserve"> G2 F30 S-TWIN, FEI, USA); scanning electron microscope (SEM, </w:t>
      </w:r>
      <w:proofErr w:type="spellStart"/>
      <w:r>
        <w:rPr>
          <w:rFonts w:ascii="Arial" w:hAnsi="Arial" w:cs="Arial" w:hint="default"/>
          <w:b w:val="0"/>
          <w:bCs w:val="0"/>
          <w:spacing w:val="-10"/>
          <w:kern w:val="44"/>
          <w:sz w:val="24"/>
          <w:szCs w:val="24"/>
          <w:shd w:val="clear" w:color="auto" w:fill="FAFAFA"/>
          <w:lang w:bidi="ar"/>
        </w:rPr>
        <w:t>Teneos</w:t>
      </w:r>
      <w:proofErr w:type="spellEnd"/>
      <w:r>
        <w:rPr>
          <w:rFonts w:ascii="Arial" w:hAnsi="Arial" w:cs="Arial" w:hint="default"/>
          <w:b w:val="0"/>
          <w:bCs w:val="0"/>
          <w:spacing w:val="-10"/>
          <w:kern w:val="44"/>
          <w:sz w:val="24"/>
          <w:szCs w:val="24"/>
          <w:shd w:val="clear" w:color="auto" w:fill="FAFAFA"/>
          <w:lang w:bidi="ar"/>
        </w:rPr>
        <w:t xml:space="preserve"> VS, FEI, USA); UV-vis spectrophotometer (AOE UV-1902, China); X-ray diffractometer (XRD, D8 ADVANCE, Bruker, Germany); X-ray photoelectron spectrometer (XPS, ESCALAB 250 Xi, </w:t>
      </w:r>
      <w:proofErr w:type="spellStart"/>
      <w:r>
        <w:rPr>
          <w:rFonts w:ascii="Arial" w:hAnsi="Arial" w:cs="Arial" w:hint="default"/>
          <w:b w:val="0"/>
          <w:bCs w:val="0"/>
          <w:spacing w:val="-10"/>
          <w:kern w:val="44"/>
          <w:sz w:val="24"/>
          <w:szCs w:val="24"/>
          <w:shd w:val="clear" w:color="auto" w:fill="FAFAFA"/>
          <w:lang w:bidi="ar"/>
        </w:rPr>
        <w:t>Thermo</w:t>
      </w:r>
      <w:proofErr w:type="spellEnd"/>
      <w:r>
        <w:rPr>
          <w:rFonts w:ascii="Arial" w:hAnsi="Arial" w:cs="Arial" w:hint="default"/>
          <w:b w:val="0"/>
          <w:bCs w:val="0"/>
          <w:spacing w:val="-10"/>
          <w:kern w:val="44"/>
          <w:sz w:val="24"/>
          <w:szCs w:val="24"/>
          <w:shd w:val="clear" w:color="auto" w:fill="FAFAFA"/>
          <w:lang w:bidi="ar"/>
        </w:rPr>
        <w:t xml:space="preserve"> Scientific, USA); triple-purpose UV analyzer (ZF-1, Shanghai </w:t>
      </w:r>
      <w:proofErr w:type="spellStart"/>
      <w:r>
        <w:rPr>
          <w:rFonts w:ascii="Arial" w:hAnsi="Arial" w:cs="Arial" w:hint="default"/>
          <w:b w:val="0"/>
          <w:bCs w:val="0"/>
          <w:spacing w:val="-10"/>
          <w:kern w:val="44"/>
          <w:sz w:val="24"/>
          <w:szCs w:val="24"/>
          <w:shd w:val="clear" w:color="auto" w:fill="FAFAFA"/>
          <w:lang w:bidi="ar"/>
        </w:rPr>
        <w:t>Chitang</w:t>
      </w:r>
      <w:proofErr w:type="spellEnd"/>
      <w:r>
        <w:rPr>
          <w:rFonts w:ascii="Arial" w:hAnsi="Arial" w:cs="Arial" w:hint="default"/>
          <w:b w:val="0"/>
          <w:bCs w:val="0"/>
          <w:spacing w:val="-10"/>
          <w:kern w:val="44"/>
          <w:sz w:val="24"/>
          <w:szCs w:val="24"/>
          <w:shd w:val="clear" w:color="auto" w:fill="FAFAFA"/>
          <w:lang w:bidi="ar"/>
        </w:rPr>
        <w:t xml:space="preserve"> Electronics Co., Ltd., China); microplate reader (Bio-Rad Model 680, USA); fluorescence microscope (Olympus RX 73, Japan); inverted fluorescence microscope (Olympus IX 71, Japan); flow cytometer (</w:t>
      </w:r>
      <w:proofErr w:type="spellStart"/>
      <w:r>
        <w:rPr>
          <w:rFonts w:ascii="Arial" w:hAnsi="Arial" w:cs="Arial" w:hint="default"/>
          <w:b w:val="0"/>
          <w:bCs w:val="0"/>
          <w:spacing w:val="-10"/>
          <w:kern w:val="44"/>
          <w:sz w:val="24"/>
          <w:szCs w:val="24"/>
          <w:shd w:val="clear" w:color="auto" w:fill="FAFAFA"/>
          <w:lang w:bidi="ar"/>
        </w:rPr>
        <w:t>FACSCanto</w:t>
      </w:r>
      <w:proofErr w:type="spellEnd"/>
      <w:r>
        <w:rPr>
          <w:rFonts w:ascii="Arial" w:hAnsi="Arial" w:cs="Arial" w:hint="default"/>
          <w:b w:val="0"/>
          <w:bCs w:val="0"/>
          <w:spacing w:val="-10"/>
          <w:kern w:val="44"/>
          <w:sz w:val="24"/>
          <w:szCs w:val="24"/>
          <w:shd w:val="clear" w:color="auto" w:fill="FAFAFA"/>
          <w:lang w:bidi="ar"/>
        </w:rPr>
        <w:t xml:space="preserve"> II, 2-laser 8-color configuration, BD, USA); dual infrared laser imaging system (Odyssey CLX, USA); and confocal laser scanning microscope (CLSM, Leica STELLARIS 5, Germany). </w:t>
      </w:r>
    </w:p>
    <w:p w14:paraId="34BAE654" w14:textId="77777777" w:rsidR="00692F9D" w:rsidRDefault="00000000" w:rsidP="009D7FF1">
      <w:pPr>
        <w:tabs>
          <w:tab w:val="left" w:pos="359"/>
        </w:tabs>
        <w:spacing w:line="480" w:lineRule="auto"/>
        <w:rPr>
          <w:rFonts w:ascii="Arial" w:eastAsia="宋体" w:hAnsi="Arial" w:cs="Arial"/>
          <w:b/>
          <w:bCs/>
          <w:spacing w:val="-10"/>
          <w:kern w:val="44"/>
          <w:sz w:val="28"/>
          <w:szCs w:val="28"/>
          <w:shd w:val="clear" w:color="auto" w:fill="FAFAFA"/>
          <w:lang w:bidi="ar"/>
        </w:rPr>
      </w:pPr>
      <w:r>
        <w:rPr>
          <w:rFonts w:ascii="Arial" w:eastAsia="宋体" w:hAnsi="Arial" w:cs="Arial"/>
          <w:b/>
          <w:bCs/>
          <w:spacing w:val="-10"/>
          <w:kern w:val="44"/>
          <w:sz w:val="28"/>
          <w:szCs w:val="28"/>
          <w:shd w:val="clear" w:color="auto" w:fill="FAFAFA"/>
          <w:lang w:bidi="ar"/>
        </w:rPr>
        <w:t>S3. catalytic experiments</w:t>
      </w:r>
    </w:p>
    <w:p w14:paraId="0122FA2A" w14:textId="77777777" w:rsidR="00692F9D" w:rsidRDefault="00000000" w:rsidP="009D7FF1">
      <w:pPr>
        <w:spacing w:line="480" w:lineRule="auto"/>
        <w:ind w:firstLineChars="200" w:firstLine="440"/>
        <w:rPr>
          <w:rFonts w:ascii="Arial" w:eastAsia="宋体" w:hAnsi="Arial" w:cs="Arial"/>
          <w:spacing w:val="-10"/>
          <w:kern w:val="44"/>
          <w:sz w:val="24"/>
          <w:shd w:val="clear" w:color="auto" w:fill="FAFAFA"/>
          <w:lang w:bidi="ar"/>
        </w:rPr>
      </w:pPr>
      <w:r>
        <w:rPr>
          <w:rFonts w:ascii="Arial" w:eastAsia="宋体" w:hAnsi="Arial" w:cs="Arial"/>
          <w:spacing w:val="-10"/>
          <w:kern w:val="44"/>
          <w:sz w:val="24"/>
          <w:shd w:val="clear" w:color="auto" w:fill="FAFAFA"/>
          <w:lang w:bidi="ar"/>
        </w:rPr>
        <w:t xml:space="preserve">To evaluate the H₂O₂-scavenging capacity of CNZH, different concentrations (0, 10, 20, 30, 50, 100 µg/mL) of CNZH were reacted with H₂O₂ (30 </w:t>
      </w:r>
      <w:proofErr w:type="spellStart"/>
      <w:r>
        <w:rPr>
          <w:rFonts w:ascii="Arial" w:eastAsia="宋体" w:hAnsi="Arial" w:cs="Arial"/>
          <w:spacing w:val="-10"/>
          <w:kern w:val="44"/>
          <w:sz w:val="24"/>
          <w:shd w:val="clear" w:color="auto" w:fill="FAFAFA"/>
          <w:lang w:bidi="ar"/>
        </w:rPr>
        <w:t>μL</w:t>
      </w:r>
      <w:proofErr w:type="spellEnd"/>
      <w:r>
        <w:rPr>
          <w:rFonts w:ascii="Arial" w:eastAsia="宋体" w:hAnsi="Arial" w:cs="Arial"/>
          <w:spacing w:val="-10"/>
          <w:kern w:val="44"/>
          <w:sz w:val="24"/>
          <w:shd w:val="clear" w:color="auto" w:fill="FAFAFA"/>
          <w:lang w:bidi="ar"/>
        </w:rPr>
        <w:t xml:space="preserve">, 30 </w:t>
      </w:r>
      <w:proofErr w:type="spellStart"/>
      <w:r>
        <w:rPr>
          <w:rFonts w:ascii="Arial" w:eastAsia="宋体" w:hAnsi="Arial" w:cs="Arial"/>
          <w:spacing w:val="-10"/>
          <w:kern w:val="44"/>
          <w:sz w:val="24"/>
          <w:shd w:val="clear" w:color="auto" w:fill="FAFAFA"/>
          <w:lang w:bidi="ar"/>
        </w:rPr>
        <w:t>wt</w:t>
      </w:r>
      <w:proofErr w:type="spellEnd"/>
      <w:r>
        <w:rPr>
          <w:rFonts w:ascii="Arial" w:eastAsia="宋体" w:hAnsi="Arial" w:cs="Arial"/>
          <w:spacing w:val="-10"/>
          <w:kern w:val="44"/>
          <w:sz w:val="24"/>
          <w:shd w:val="clear" w:color="auto" w:fill="FAFAFA"/>
          <w:lang w:bidi="ar"/>
        </w:rPr>
        <w:t>%) at 37°C for 1 h. After centrifugation at 11,000 rpm for 5 min, the supernatant was mixed with titanium sulfate (</w:t>
      </w:r>
      <w:proofErr w:type="gramStart"/>
      <w:r>
        <w:rPr>
          <w:rFonts w:ascii="Arial" w:eastAsia="宋体" w:hAnsi="Arial" w:cs="Arial"/>
          <w:spacing w:val="-10"/>
          <w:kern w:val="44"/>
          <w:sz w:val="24"/>
          <w:shd w:val="clear" w:color="auto" w:fill="FAFAFA"/>
          <w:lang w:bidi="ar"/>
        </w:rPr>
        <w:t>Ti(</w:t>
      </w:r>
      <w:proofErr w:type="gramEnd"/>
      <w:r>
        <w:rPr>
          <w:rFonts w:ascii="Arial" w:eastAsia="宋体" w:hAnsi="Arial" w:cs="Arial"/>
          <w:spacing w:val="-10"/>
          <w:kern w:val="44"/>
          <w:sz w:val="24"/>
          <w:shd w:val="clear" w:color="auto" w:fill="FAFAFA"/>
          <w:lang w:bidi="ar"/>
        </w:rPr>
        <w:t xml:space="preserve">SO₄)₂) and the characteristic UV-vis absorption at 407 nm was </w:t>
      </w:r>
      <w:r>
        <w:rPr>
          <w:rFonts w:ascii="Arial" w:eastAsia="宋体" w:hAnsi="Arial" w:cs="Arial"/>
          <w:spacing w:val="-10"/>
          <w:kern w:val="44"/>
          <w:sz w:val="24"/>
          <w:shd w:val="clear" w:color="auto" w:fill="FAFAFA"/>
          <w:lang w:bidi="ar"/>
        </w:rPr>
        <w:lastRenderedPageBreak/>
        <w:t>recorded.</w:t>
      </w:r>
    </w:p>
    <w:p w14:paraId="35E3C1F9" w14:textId="77777777" w:rsidR="00692F9D" w:rsidRDefault="00000000" w:rsidP="009D7FF1">
      <w:pPr>
        <w:spacing w:line="480" w:lineRule="auto"/>
        <w:ind w:firstLineChars="200" w:firstLine="440"/>
        <w:rPr>
          <w:rFonts w:ascii="Arial" w:eastAsia="宋体" w:hAnsi="Arial" w:cs="Arial"/>
          <w:spacing w:val="-10"/>
          <w:kern w:val="44"/>
          <w:sz w:val="24"/>
          <w:shd w:val="clear" w:color="auto" w:fill="FAFAFA"/>
          <w:lang w:bidi="ar"/>
        </w:rPr>
      </w:pPr>
      <w:r>
        <w:rPr>
          <w:rFonts w:ascii="Arial" w:eastAsia="宋体" w:hAnsi="Arial" w:cs="Arial"/>
          <w:spacing w:val="-10"/>
          <w:kern w:val="44"/>
          <w:sz w:val="24"/>
          <w:shd w:val="clear" w:color="auto" w:fill="FAFAFA"/>
          <w:lang w:bidi="ar"/>
        </w:rPr>
        <w:t>The glutathione (GSH)-responsive property of CNZH nanocomposites was investigated using 5,5'-</w:t>
      </w:r>
      <w:proofErr w:type="gramStart"/>
      <w:r>
        <w:rPr>
          <w:rFonts w:ascii="Arial" w:eastAsia="宋体" w:hAnsi="Arial" w:cs="Arial"/>
          <w:spacing w:val="-10"/>
          <w:kern w:val="44"/>
          <w:sz w:val="24"/>
          <w:shd w:val="clear" w:color="auto" w:fill="FAFAFA"/>
          <w:lang w:bidi="ar"/>
        </w:rPr>
        <w:t>dithiobis(</w:t>
      </w:r>
      <w:proofErr w:type="gramEnd"/>
      <w:r>
        <w:rPr>
          <w:rFonts w:ascii="Arial" w:eastAsia="宋体" w:hAnsi="Arial" w:cs="Arial"/>
          <w:spacing w:val="-10"/>
          <w:kern w:val="44"/>
          <w:sz w:val="24"/>
          <w:shd w:val="clear" w:color="auto" w:fill="FAFAFA"/>
          <w:lang w:bidi="ar"/>
        </w:rPr>
        <w:t xml:space="preserve">2-nitrobenzoic acid) (DTNB). Briefly, 1.5 mL GSH solution (0.3 mM) was added to 1.5 mL CNZH PBS solutions at varying concentrations (0, 25, 50, 100, 200 µg/mL) and incubated for 3 min. After </w:t>
      </w:r>
      <w:proofErr w:type="spellStart"/>
      <w:r>
        <w:rPr>
          <w:rFonts w:ascii="Arial" w:eastAsia="宋体" w:hAnsi="Arial" w:cs="Arial"/>
          <w:spacing w:val="-10"/>
          <w:kern w:val="44"/>
          <w:sz w:val="24"/>
          <w:shd w:val="clear" w:color="auto" w:fill="FAFAFA"/>
          <w:lang w:bidi="ar"/>
        </w:rPr>
        <w:t>vortexing</w:t>
      </w:r>
      <w:proofErr w:type="spellEnd"/>
      <w:r>
        <w:rPr>
          <w:rFonts w:ascii="Arial" w:eastAsia="宋体" w:hAnsi="Arial" w:cs="Arial"/>
          <w:spacing w:val="-10"/>
          <w:kern w:val="44"/>
          <w:sz w:val="24"/>
          <w:shd w:val="clear" w:color="auto" w:fill="FAFAFA"/>
          <w:lang w:bidi="ar"/>
        </w:rPr>
        <w:t xml:space="preserve"> for 5 min, 1 mL DTNB solution (1 mg/mL) was added, followed by UV-vis absorbance measurement at 425 nm.</w:t>
      </w:r>
    </w:p>
    <w:p w14:paraId="7D954772" w14:textId="77777777" w:rsidR="00692F9D" w:rsidRDefault="00000000" w:rsidP="009D7FF1">
      <w:pPr>
        <w:spacing w:line="480" w:lineRule="auto"/>
        <w:ind w:firstLineChars="200" w:firstLine="440"/>
        <w:rPr>
          <w:rFonts w:ascii="Arial" w:eastAsia="宋体" w:hAnsi="Arial" w:cs="Arial"/>
          <w:b/>
          <w:bCs/>
          <w:spacing w:val="-10"/>
          <w:kern w:val="44"/>
          <w:sz w:val="24"/>
          <w:shd w:val="clear" w:color="auto" w:fill="FAFAFA"/>
          <w:lang w:bidi="ar"/>
        </w:rPr>
      </w:pPr>
      <w:r>
        <w:rPr>
          <w:rFonts w:ascii="Arial" w:eastAsia="宋体" w:hAnsi="Arial" w:cs="Arial"/>
          <w:spacing w:val="-10"/>
          <w:kern w:val="44"/>
          <w:sz w:val="24"/>
          <w:shd w:val="clear" w:color="auto" w:fill="FAFAFA"/>
          <w:lang w:bidi="ar"/>
        </w:rPr>
        <w:t xml:space="preserve">Singlet oxygen (¹O₂) generation by CNZH was assessed using 1,3-diphenylisobenzofuran (DPBF) as a probe. 1 mL CNZH solution (1 mg/mL) was reacted with H₂O₂ (30 </w:t>
      </w:r>
      <w:proofErr w:type="spellStart"/>
      <w:r>
        <w:rPr>
          <w:rFonts w:ascii="Arial" w:eastAsia="宋体" w:hAnsi="Arial" w:cs="Arial"/>
          <w:spacing w:val="-10"/>
          <w:kern w:val="44"/>
          <w:sz w:val="24"/>
          <w:shd w:val="clear" w:color="auto" w:fill="FAFAFA"/>
          <w:lang w:bidi="ar"/>
        </w:rPr>
        <w:t>μL</w:t>
      </w:r>
      <w:proofErr w:type="spellEnd"/>
      <w:r>
        <w:rPr>
          <w:rFonts w:ascii="Arial" w:eastAsia="宋体" w:hAnsi="Arial" w:cs="Arial"/>
          <w:spacing w:val="-10"/>
          <w:kern w:val="44"/>
          <w:sz w:val="24"/>
          <w:shd w:val="clear" w:color="auto" w:fill="FAFAFA"/>
          <w:lang w:bidi="ar"/>
        </w:rPr>
        <w:t xml:space="preserve">, 30 </w:t>
      </w:r>
      <w:proofErr w:type="spellStart"/>
      <w:r>
        <w:rPr>
          <w:rFonts w:ascii="Arial" w:eastAsia="宋体" w:hAnsi="Arial" w:cs="Arial"/>
          <w:spacing w:val="-10"/>
          <w:kern w:val="44"/>
          <w:sz w:val="24"/>
          <w:shd w:val="clear" w:color="auto" w:fill="FAFAFA"/>
          <w:lang w:bidi="ar"/>
        </w:rPr>
        <w:t>wt</w:t>
      </w:r>
      <w:proofErr w:type="spellEnd"/>
      <w:r>
        <w:rPr>
          <w:rFonts w:ascii="Arial" w:eastAsia="宋体" w:hAnsi="Arial" w:cs="Arial"/>
          <w:spacing w:val="-10"/>
          <w:kern w:val="44"/>
          <w:sz w:val="24"/>
          <w:shd w:val="clear" w:color="auto" w:fill="FAFAFA"/>
          <w:lang w:bidi="ar"/>
        </w:rPr>
        <w:t>%) for 5 min, centrifuged at 11,000 rpm for 5 min, and the characteristic absorption at 410 nm was recorded by UV-vis spectroscopy.</w:t>
      </w:r>
    </w:p>
    <w:p w14:paraId="62E2CB7C" w14:textId="77777777" w:rsidR="00692F9D" w:rsidRDefault="00000000" w:rsidP="009D7FF1">
      <w:pPr>
        <w:spacing w:line="480" w:lineRule="auto"/>
        <w:rPr>
          <w:rFonts w:ascii="Arial" w:eastAsia="宋体" w:hAnsi="Arial" w:cs="Arial"/>
          <w:b/>
          <w:bCs/>
          <w:spacing w:val="-10"/>
          <w:kern w:val="44"/>
          <w:sz w:val="28"/>
          <w:szCs w:val="28"/>
          <w:shd w:val="clear" w:color="auto" w:fill="FAFAFA"/>
          <w:lang w:bidi="ar"/>
        </w:rPr>
      </w:pPr>
      <w:r>
        <w:rPr>
          <w:rFonts w:ascii="Arial" w:eastAsia="宋体" w:hAnsi="Arial" w:cs="Arial"/>
          <w:b/>
          <w:bCs/>
          <w:spacing w:val="-10"/>
          <w:kern w:val="44"/>
          <w:sz w:val="28"/>
          <w:szCs w:val="28"/>
          <w:shd w:val="clear" w:color="auto" w:fill="FAFAFA"/>
          <w:lang w:bidi="ar"/>
        </w:rPr>
        <w:t>S4. The detail of anti-cancer experiments of CNZH in vitro</w:t>
      </w:r>
    </w:p>
    <w:p w14:paraId="31A5439E" w14:textId="77777777" w:rsidR="00692F9D" w:rsidRDefault="00000000" w:rsidP="009D7FF1">
      <w:pPr>
        <w:spacing w:line="480" w:lineRule="auto"/>
        <w:rPr>
          <w:rFonts w:ascii="Arial" w:eastAsia="宋体" w:hAnsi="Arial" w:cs="Arial"/>
          <w:b/>
          <w:bCs/>
          <w:i/>
          <w:iCs/>
          <w:spacing w:val="-10"/>
          <w:kern w:val="44"/>
          <w:sz w:val="24"/>
          <w:shd w:val="clear" w:color="auto" w:fill="FAFAFA"/>
          <w:lang w:bidi="ar"/>
        </w:rPr>
      </w:pPr>
      <w:r>
        <w:rPr>
          <w:rFonts w:ascii="Arial" w:eastAsia="宋体" w:hAnsi="Arial" w:cs="Arial"/>
          <w:b/>
          <w:bCs/>
          <w:i/>
          <w:iCs/>
          <w:spacing w:val="-10"/>
          <w:kern w:val="44"/>
          <w:sz w:val="24"/>
          <w:shd w:val="clear" w:color="auto" w:fill="FAFAFA"/>
          <w:lang w:bidi="ar"/>
        </w:rPr>
        <w:t>Hemocompatibility Evaluation</w:t>
      </w:r>
    </w:p>
    <w:p w14:paraId="2C1FC9A2" w14:textId="77777777" w:rsidR="00692F9D" w:rsidRDefault="00000000" w:rsidP="009D7FF1">
      <w:pPr>
        <w:spacing w:line="480" w:lineRule="auto"/>
        <w:ind w:firstLineChars="200" w:firstLine="440"/>
        <w:rPr>
          <w:rFonts w:ascii="Arial" w:eastAsia="宋体" w:hAnsi="Arial" w:cs="Arial"/>
          <w:spacing w:val="-10"/>
          <w:kern w:val="44"/>
          <w:sz w:val="24"/>
          <w:shd w:val="clear" w:color="auto" w:fill="FAFAFA"/>
          <w:lang w:bidi="ar"/>
        </w:rPr>
      </w:pPr>
      <w:r>
        <w:rPr>
          <w:rFonts w:ascii="Arial" w:eastAsia="宋体" w:hAnsi="Arial" w:cs="Arial"/>
          <w:spacing w:val="-10"/>
          <w:kern w:val="44"/>
          <w:sz w:val="24"/>
          <w:shd w:val="clear" w:color="auto" w:fill="FAFAFA"/>
          <w:lang w:bidi="ar"/>
        </w:rPr>
        <w:t xml:space="preserve">CNZH was initially diluted with sterile deionized water to specified concentrations (25, 50, 100, 150, 200 µg/mL). A 4% murine erythrocyte suspension was prepared by mixing freshly collected mouse blood with 10 volumes of 0.9% NaCl, followed by gentle agitation and centrifugation (1,500 rpm, 15 min). After supernatant removal, pelleted erythrocytes were resuspended in 0.9% NaCl to achieve the 4% suspension. This suspension was incubated with CNZH solutions at room temperature for 4 h, then centrifuged (1,500 rpm, 5 min, 4°C). Aliquots (100 µL) of supernatant were transferred to a 96-well plate, with sterile 0.9% NaCl and deionized water serving as negative and positive controls, respectively. Hemolysis rates were quantified by </w:t>
      </w:r>
      <w:r>
        <w:rPr>
          <w:rFonts w:ascii="Arial" w:eastAsia="宋体" w:hAnsi="Arial" w:cs="Arial"/>
          <w:spacing w:val="-10"/>
          <w:kern w:val="44"/>
          <w:sz w:val="24"/>
          <w:shd w:val="clear" w:color="auto" w:fill="FAFAFA"/>
          <w:lang w:bidi="ar"/>
        </w:rPr>
        <w:lastRenderedPageBreak/>
        <w:t xml:space="preserve">measuring absorbance at 492 nm using a microplate reader.  </w:t>
      </w:r>
    </w:p>
    <w:p w14:paraId="5A871F65" w14:textId="77777777" w:rsidR="00692F9D" w:rsidRDefault="00000000" w:rsidP="009D7FF1">
      <w:pPr>
        <w:spacing w:line="480" w:lineRule="auto"/>
        <w:rPr>
          <w:rFonts w:ascii="Arial" w:eastAsia="宋体" w:hAnsi="Arial" w:cs="Arial"/>
          <w:b/>
          <w:bCs/>
          <w:i/>
          <w:iCs/>
          <w:spacing w:val="-10"/>
          <w:kern w:val="44"/>
          <w:sz w:val="24"/>
          <w:shd w:val="clear" w:color="auto" w:fill="FAFAFA"/>
          <w:lang w:bidi="ar"/>
        </w:rPr>
      </w:pPr>
      <w:r>
        <w:rPr>
          <w:rFonts w:ascii="Arial" w:eastAsia="宋体" w:hAnsi="Arial" w:cs="Arial"/>
          <w:b/>
          <w:bCs/>
          <w:i/>
          <w:iCs/>
          <w:spacing w:val="-10"/>
          <w:kern w:val="44"/>
          <w:sz w:val="24"/>
          <w:shd w:val="clear" w:color="auto" w:fill="FAFAFA"/>
          <w:lang w:bidi="ar"/>
        </w:rPr>
        <w:t>Cytotoxicity and Anticancer Activity Assays</w:t>
      </w:r>
    </w:p>
    <w:p w14:paraId="0CCC53D7" w14:textId="77777777" w:rsidR="00692F9D" w:rsidRDefault="00000000" w:rsidP="009D7FF1">
      <w:pPr>
        <w:spacing w:line="480" w:lineRule="auto"/>
        <w:ind w:firstLineChars="200" w:firstLine="440"/>
        <w:rPr>
          <w:rFonts w:ascii="Arial" w:eastAsia="宋体" w:hAnsi="Arial" w:cs="Arial"/>
          <w:spacing w:val="-10"/>
          <w:kern w:val="44"/>
          <w:sz w:val="24"/>
          <w:shd w:val="clear" w:color="auto" w:fill="FAFAFA"/>
          <w:lang w:bidi="ar"/>
        </w:rPr>
      </w:pPr>
      <w:r>
        <w:rPr>
          <w:rFonts w:ascii="Arial" w:eastAsia="宋体" w:hAnsi="Arial" w:cs="Arial"/>
          <w:spacing w:val="-10"/>
          <w:kern w:val="44"/>
          <w:sz w:val="24"/>
          <w:shd w:val="clear" w:color="auto" w:fill="FAFAFA"/>
          <w:lang w:bidi="ar"/>
        </w:rPr>
        <w:t xml:space="preserve">CNZH was diluted in DMEM supplemented with 10% FBS (0-200 µg/mL). Human lung epithelial cells (BEAS) and mouse fibroblasts (L-929) were seeded in 96-well plates (1×10⁴ cells/mL) and cultured to adherence. Cells were treated with CNZH for 24 h, then incubated with CCK-8 reagent for 3 h. Viability was assessed at 450 nm (triplicate measurements). The same protocol was applied to evaluate anticancer effects using human epidermoid carcinoma cells (A-431).  </w:t>
      </w:r>
    </w:p>
    <w:p w14:paraId="15B91309" w14:textId="77777777" w:rsidR="00692F9D" w:rsidRDefault="00000000" w:rsidP="009D7FF1">
      <w:pPr>
        <w:spacing w:line="480" w:lineRule="auto"/>
        <w:rPr>
          <w:rFonts w:ascii="Arial" w:eastAsia="宋体" w:hAnsi="Arial" w:cs="Arial"/>
          <w:b/>
          <w:bCs/>
          <w:i/>
          <w:iCs/>
          <w:spacing w:val="-10"/>
          <w:kern w:val="44"/>
          <w:sz w:val="24"/>
          <w:shd w:val="clear" w:color="auto" w:fill="FAFAFA"/>
          <w:lang w:bidi="ar"/>
        </w:rPr>
      </w:pPr>
      <w:r>
        <w:rPr>
          <w:rFonts w:ascii="Arial" w:eastAsia="宋体" w:hAnsi="Arial" w:cs="Arial"/>
          <w:b/>
          <w:bCs/>
          <w:i/>
          <w:iCs/>
          <w:spacing w:val="-10"/>
          <w:kern w:val="44"/>
          <w:sz w:val="24"/>
          <w:shd w:val="clear" w:color="auto" w:fill="FAFAFA"/>
          <w:lang w:bidi="ar"/>
        </w:rPr>
        <w:t>CD44 Targeting Analysis via Western Blot</w:t>
      </w:r>
    </w:p>
    <w:p w14:paraId="781BEF06" w14:textId="77777777" w:rsidR="00692F9D" w:rsidRDefault="00000000" w:rsidP="009D7FF1">
      <w:pPr>
        <w:spacing w:line="480" w:lineRule="auto"/>
        <w:ind w:firstLineChars="200" w:firstLine="440"/>
        <w:rPr>
          <w:rFonts w:ascii="Arial" w:eastAsia="宋体" w:hAnsi="Arial" w:cs="Arial"/>
          <w:spacing w:val="-10"/>
          <w:kern w:val="44"/>
          <w:sz w:val="24"/>
          <w:shd w:val="clear" w:color="auto" w:fill="FAFAFA"/>
          <w:lang w:bidi="ar"/>
        </w:rPr>
      </w:pPr>
      <w:r>
        <w:rPr>
          <w:rFonts w:ascii="Arial" w:eastAsia="宋体" w:hAnsi="Arial" w:cs="Arial"/>
          <w:spacing w:val="-10"/>
          <w:kern w:val="44"/>
          <w:sz w:val="24"/>
          <w:shd w:val="clear" w:color="auto" w:fill="FAFAFA"/>
          <w:lang w:bidi="ar"/>
        </w:rPr>
        <w:t xml:space="preserve">A-431 cells treated with CNZH (0-200 µg/mL) were lysed, and proteins were separated by 10% SDS-PAGE before transfer to PVDF membranes. After 20-minute blocking with rapid blocking buffer and one TBST (with 0.1% Tween 20) wash, membranes were incubated overnight with anti-CD44 primary antibody, followed by 2-h incubation with secondary antibody at room temperature. Protein bands were visualized using an Odyssey CLX infrared imaging system.  </w:t>
      </w:r>
    </w:p>
    <w:p w14:paraId="62ADA034" w14:textId="77777777" w:rsidR="00692F9D" w:rsidRDefault="00000000" w:rsidP="009D7FF1">
      <w:pPr>
        <w:spacing w:line="480" w:lineRule="auto"/>
        <w:rPr>
          <w:rFonts w:ascii="Arial" w:eastAsia="宋体" w:hAnsi="Arial" w:cs="Arial"/>
          <w:b/>
          <w:bCs/>
          <w:spacing w:val="-10"/>
          <w:kern w:val="44"/>
          <w:sz w:val="28"/>
          <w:szCs w:val="28"/>
          <w:shd w:val="clear" w:color="auto" w:fill="FAFAFA"/>
          <w:lang w:bidi="ar"/>
        </w:rPr>
      </w:pPr>
      <w:r>
        <w:rPr>
          <w:rFonts w:ascii="Arial" w:eastAsia="宋体" w:hAnsi="Arial" w:cs="Arial"/>
          <w:b/>
          <w:bCs/>
          <w:spacing w:val="-10"/>
          <w:kern w:val="44"/>
          <w:sz w:val="28"/>
          <w:szCs w:val="28"/>
          <w:shd w:val="clear" w:color="auto" w:fill="FAFAFA"/>
          <w:lang w:bidi="ar"/>
        </w:rPr>
        <w:t>S5</w:t>
      </w:r>
      <w:r>
        <w:rPr>
          <w:rFonts w:ascii="Arial" w:eastAsia="宋体" w:hAnsi="Arial" w:cs="Arial"/>
          <w:b/>
          <w:bCs/>
          <w:spacing w:val="-10"/>
          <w:kern w:val="44"/>
          <w:sz w:val="28"/>
          <w:szCs w:val="28"/>
          <w:shd w:val="clear" w:color="auto" w:fill="FAFAFA"/>
          <w:lang w:bidi="ar"/>
        </w:rPr>
        <w:t>、</w:t>
      </w:r>
      <w:r>
        <w:rPr>
          <w:rFonts w:ascii="Arial" w:eastAsia="宋体" w:hAnsi="Arial" w:cs="Arial"/>
          <w:b/>
          <w:bCs/>
          <w:spacing w:val="-10"/>
          <w:kern w:val="44"/>
          <w:sz w:val="28"/>
          <w:szCs w:val="28"/>
          <w:shd w:val="clear" w:color="auto" w:fill="FAFAFA"/>
          <w:lang w:bidi="ar"/>
        </w:rPr>
        <w:t>In Vitro Anticancer Mechanisms of CNZH</w:t>
      </w:r>
    </w:p>
    <w:p w14:paraId="39E7E1CD" w14:textId="77777777" w:rsidR="00692F9D" w:rsidRDefault="00000000" w:rsidP="009D7FF1">
      <w:pPr>
        <w:spacing w:line="480" w:lineRule="auto"/>
        <w:rPr>
          <w:rFonts w:ascii="Arial" w:eastAsia="宋体" w:hAnsi="Arial" w:cs="Arial"/>
          <w:b/>
          <w:bCs/>
          <w:i/>
          <w:iCs/>
          <w:spacing w:val="-10"/>
          <w:kern w:val="44"/>
          <w:sz w:val="24"/>
          <w:shd w:val="clear" w:color="auto" w:fill="FAFAFA"/>
          <w:lang w:bidi="ar"/>
        </w:rPr>
      </w:pPr>
      <w:r>
        <w:rPr>
          <w:rFonts w:ascii="Arial" w:eastAsia="宋体" w:hAnsi="Arial" w:cs="Arial"/>
          <w:b/>
          <w:bCs/>
          <w:i/>
          <w:iCs/>
          <w:spacing w:val="-10"/>
          <w:kern w:val="44"/>
          <w:sz w:val="24"/>
          <w:shd w:val="clear" w:color="auto" w:fill="FAFAFA"/>
          <w:lang w:bidi="ar"/>
        </w:rPr>
        <w:t>Intracellular GSH Measurement</w:t>
      </w:r>
    </w:p>
    <w:p w14:paraId="0FCE596E" w14:textId="77777777" w:rsidR="00692F9D" w:rsidRDefault="00000000" w:rsidP="009D7FF1">
      <w:pPr>
        <w:spacing w:line="480" w:lineRule="auto"/>
        <w:ind w:firstLineChars="200" w:firstLine="440"/>
        <w:rPr>
          <w:rFonts w:ascii="Arial" w:eastAsia="宋体" w:hAnsi="Arial" w:cs="Arial"/>
          <w:spacing w:val="-10"/>
          <w:kern w:val="44"/>
          <w:sz w:val="24"/>
          <w:shd w:val="clear" w:color="auto" w:fill="FAFAFA"/>
          <w:lang w:bidi="ar"/>
        </w:rPr>
      </w:pPr>
      <w:r>
        <w:rPr>
          <w:rFonts w:ascii="Arial" w:eastAsia="宋体" w:hAnsi="Arial" w:cs="Arial"/>
          <w:spacing w:val="-10"/>
          <w:kern w:val="44"/>
          <w:sz w:val="24"/>
          <w:shd w:val="clear" w:color="auto" w:fill="FAFAFA"/>
          <w:lang w:bidi="ar"/>
        </w:rPr>
        <w:t xml:space="preserve">A-431 cells (1×10⁵ cells/mL) were seeded in 6-well plates and cultured overnight for adherence. Cells were then treated with varying concentrations of CNZH (0, 50, 100, 200 </w:t>
      </w:r>
      <w:proofErr w:type="spellStart"/>
      <w:r>
        <w:rPr>
          <w:rFonts w:ascii="Arial" w:eastAsia="宋体" w:hAnsi="Arial" w:cs="Arial"/>
          <w:spacing w:val="-10"/>
          <w:kern w:val="44"/>
          <w:sz w:val="24"/>
          <w:shd w:val="clear" w:color="auto" w:fill="FAFAFA"/>
          <w:lang w:bidi="ar"/>
        </w:rPr>
        <w:t>μg</w:t>
      </w:r>
      <w:proofErr w:type="spellEnd"/>
      <w:r>
        <w:rPr>
          <w:rFonts w:ascii="Arial" w:eastAsia="宋体" w:hAnsi="Arial" w:cs="Arial"/>
          <w:spacing w:val="-10"/>
          <w:kern w:val="44"/>
          <w:sz w:val="24"/>
          <w:shd w:val="clear" w:color="auto" w:fill="FAFAFA"/>
          <w:lang w:bidi="ar"/>
        </w:rPr>
        <w:t xml:space="preserve">/mL) for 24 h. Following the manufacturer’s protocol of the micro reduced glutathione (GSH) assay kit, intracellular GSH levels were quantified by measuring absorbance at 405 nm using a microplate reader.  </w:t>
      </w:r>
    </w:p>
    <w:p w14:paraId="7A499046" w14:textId="77777777" w:rsidR="00692F9D" w:rsidRDefault="00000000" w:rsidP="009D7FF1">
      <w:pPr>
        <w:spacing w:line="480" w:lineRule="auto"/>
        <w:rPr>
          <w:rFonts w:ascii="Arial" w:eastAsia="宋体" w:hAnsi="Arial" w:cs="Arial"/>
          <w:b/>
          <w:bCs/>
          <w:i/>
          <w:iCs/>
          <w:spacing w:val="-10"/>
          <w:kern w:val="44"/>
          <w:sz w:val="24"/>
          <w:shd w:val="clear" w:color="auto" w:fill="FAFAFA"/>
          <w:lang w:bidi="ar"/>
        </w:rPr>
      </w:pPr>
      <w:r>
        <w:rPr>
          <w:rFonts w:ascii="Arial" w:eastAsia="宋体" w:hAnsi="Arial" w:cs="Arial"/>
          <w:b/>
          <w:bCs/>
          <w:i/>
          <w:iCs/>
          <w:spacing w:val="-10"/>
          <w:kern w:val="44"/>
          <w:sz w:val="24"/>
          <w:shd w:val="clear" w:color="auto" w:fill="FAFAFA"/>
          <w:lang w:bidi="ar"/>
        </w:rPr>
        <w:lastRenderedPageBreak/>
        <w:t>Singlet Oxygen (¹O₂) Detection</w:t>
      </w:r>
    </w:p>
    <w:p w14:paraId="7330B9EC" w14:textId="77777777" w:rsidR="00692F9D" w:rsidRDefault="00000000" w:rsidP="009D7FF1">
      <w:pPr>
        <w:spacing w:line="480" w:lineRule="auto"/>
        <w:ind w:firstLineChars="200" w:firstLine="440"/>
        <w:rPr>
          <w:rFonts w:ascii="Arial" w:eastAsia="宋体" w:hAnsi="Arial" w:cs="Arial"/>
          <w:spacing w:val="-10"/>
          <w:kern w:val="44"/>
          <w:sz w:val="24"/>
          <w:shd w:val="clear" w:color="auto" w:fill="FAFAFA"/>
          <w:lang w:bidi="ar"/>
        </w:rPr>
      </w:pPr>
      <w:r>
        <w:rPr>
          <w:rFonts w:ascii="Arial" w:eastAsia="宋体" w:hAnsi="Arial" w:cs="Arial"/>
          <w:spacing w:val="-10"/>
          <w:kern w:val="44"/>
          <w:sz w:val="24"/>
          <w:shd w:val="clear" w:color="auto" w:fill="FAFAFA"/>
          <w:lang w:bidi="ar"/>
        </w:rPr>
        <w:t xml:space="preserve">A-431 cells (1×10⁴ cells/mL) were plated in 96-well plates and incubated overnight. After treatment with CNZH (0, 25, 50, 100, 150, 200 </w:t>
      </w:r>
      <w:proofErr w:type="spellStart"/>
      <w:r>
        <w:rPr>
          <w:rFonts w:ascii="Arial" w:eastAsia="宋体" w:hAnsi="Arial" w:cs="Arial"/>
          <w:spacing w:val="-10"/>
          <w:kern w:val="44"/>
          <w:sz w:val="24"/>
          <w:shd w:val="clear" w:color="auto" w:fill="FAFAFA"/>
          <w:lang w:bidi="ar"/>
        </w:rPr>
        <w:t>μg</w:t>
      </w:r>
      <w:proofErr w:type="spellEnd"/>
      <w:r>
        <w:rPr>
          <w:rFonts w:ascii="Arial" w:eastAsia="宋体" w:hAnsi="Arial" w:cs="Arial"/>
          <w:spacing w:val="-10"/>
          <w:kern w:val="44"/>
          <w:sz w:val="24"/>
          <w:shd w:val="clear" w:color="auto" w:fill="FAFAFA"/>
          <w:lang w:bidi="ar"/>
        </w:rPr>
        <w:t xml:space="preserve">/mL) for 4 h, 100 </w:t>
      </w:r>
      <w:proofErr w:type="spellStart"/>
      <w:r>
        <w:rPr>
          <w:rFonts w:ascii="Arial" w:eastAsia="宋体" w:hAnsi="Arial" w:cs="Arial"/>
          <w:spacing w:val="-10"/>
          <w:kern w:val="44"/>
          <w:sz w:val="24"/>
          <w:shd w:val="clear" w:color="auto" w:fill="FAFAFA"/>
          <w:lang w:bidi="ar"/>
        </w:rPr>
        <w:t>μL</w:t>
      </w:r>
      <w:proofErr w:type="spellEnd"/>
      <w:r>
        <w:rPr>
          <w:rFonts w:ascii="Arial" w:eastAsia="宋体" w:hAnsi="Arial" w:cs="Arial"/>
          <w:spacing w:val="-10"/>
          <w:kern w:val="44"/>
          <w:sz w:val="24"/>
          <w:shd w:val="clear" w:color="auto" w:fill="FAFAFA"/>
          <w:lang w:bidi="ar"/>
        </w:rPr>
        <w:t xml:space="preserve"> of SOSG fluorescent probe (10 </w:t>
      </w:r>
      <w:proofErr w:type="spellStart"/>
      <w:r>
        <w:rPr>
          <w:rFonts w:ascii="Arial" w:eastAsia="宋体" w:hAnsi="Arial" w:cs="Arial"/>
          <w:spacing w:val="-10"/>
          <w:kern w:val="44"/>
          <w:sz w:val="24"/>
          <w:shd w:val="clear" w:color="auto" w:fill="FAFAFA"/>
          <w:lang w:bidi="ar"/>
        </w:rPr>
        <w:t>μM</w:t>
      </w:r>
      <w:proofErr w:type="spellEnd"/>
      <w:r>
        <w:rPr>
          <w:rFonts w:ascii="Arial" w:eastAsia="宋体" w:hAnsi="Arial" w:cs="Arial"/>
          <w:spacing w:val="-10"/>
          <w:kern w:val="44"/>
          <w:sz w:val="24"/>
          <w:shd w:val="clear" w:color="auto" w:fill="FAFAFA"/>
          <w:lang w:bidi="ar"/>
        </w:rPr>
        <w:t xml:space="preserve">) was added to each well. ¹O₂ production was quantified via fluorescence measurement using a microplate reader.  </w:t>
      </w:r>
    </w:p>
    <w:p w14:paraId="2F59938A" w14:textId="77777777" w:rsidR="00692F9D" w:rsidRDefault="00000000" w:rsidP="009D7FF1">
      <w:pPr>
        <w:spacing w:line="480" w:lineRule="auto"/>
        <w:rPr>
          <w:rFonts w:ascii="Arial" w:eastAsia="宋体" w:hAnsi="Arial" w:cs="Arial"/>
          <w:b/>
          <w:bCs/>
          <w:i/>
          <w:iCs/>
          <w:spacing w:val="-10"/>
          <w:kern w:val="44"/>
          <w:sz w:val="24"/>
          <w:shd w:val="clear" w:color="auto" w:fill="FAFAFA"/>
          <w:lang w:bidi="ar"/>
        </w:rPr>
      </w:pPr>
      <w:r>
        <w:rPr>
          <w:rFonts w:ascii="Arial" w:eastAsia="宋体" w:hAnsi="Arial" w:cs="Arial"/>
          <w:b/>
          <w:bCs/>
          <w:i/>
          <w:iCs/>
          <w:spacing w:val="-10"/>
          <w:kern w:val="44"/>
          <w:sz w:val="24"/>
          <w:shd w:val="clear" w:color="auto" w:fill="FAFAFA"/>
          <w:lang w:bidi="ar"/>
        </w:rPr>
        <w:t>Flow Cytometry Analysis</w:t>
      </w:r>
    </w:p>
    <w:p w14:paraId="1A7DD1E7" w14:textId="77777777" w:rsidR="00692F9D" w:rsidRDefault="00000000" w:rsidP="009D7FF1">
      <w:pPr>
        <w:spacing w:line="480" w:lineRule="auto"/>
        <w:ind w:firstLineChars="200" w:firstLine="440"/>
        <w:rPr>
          <w:rFonts w:ascii="Arial" w:eastAsia="宋体" w:hAnsi="Arial" w:cs="Arial"/>
          <w:spacing w:val="-10"/>
          <w:kern w:val="44"/>
          <w:sz w:val="24"/>
          <w:shd w:val="clear" w:color="auto" w:fill="FAFAFA"/>
          <w:lang w:bidi="ar"/>
        </w:rPr>
      </w:pPr>
      <w:r>
        <w:rPr>
          <w:rFonts w:ascii="Arial" w:eastAsia="宋体" w:hAnsi="Arial" w:cs="Arial"/>
          <w:spacing w:val="-10"/>
          <w:kern w:val="44"/>
          <w:sz w:val="24"/>
          <w:shd w:val="clear" w:color="auto" w:fill="FAFAFA"/>
          <w:lang w:bidi="ar"/>
        </w:rPr>
        <w:t xml:space="preserve">Cells (1×10⁶ cells/mL) were seeded in 6-well plates overnight. One group was treated with 2 mL of A-431-specific medium (control), while the other received 2 mL of medium containing CNZH (200 </w:t>
      </w:r>
      <w:proofErr w:type="spellStart"/>
      <w:r>
        <w:rPr>
          <w:rFonts w:ascii="Arial" w:eastAsia="宋体" w:hAnsi="Arial" w:cs="Arial"/>
          <w:spacing w:val="-10"/>
          <w:kern w:val="44"/>
          <w:sz w:val="24"/>
          <w:shd w:val="clear" w:color="auto" w:fill="FAFAFA"/>
          <w:lang w:bidi="ar"/>
        </w:rPr>
        <w:t>μg</w:t>
      </w:r>
      <w:proofErr w:type="spellEnd"/>
      <w:r>
        <w:rPr>
          <w:rFonts w:ascii="Arial" w:eastAsia="宋体" w:hAnsi="Arial" w:cs="Arial"/>
          <w:spacing w:val="-10"/>
          <w:kern w:val="44"/>
          <w:sz w:val="24"/>
          <w:shd w:val="clear" w:color="auto" w:fill="FAFAFA"/>
          <w:lang w:bidi="ar"/>
        </w:rPr>
        <w:t xml:space="preserve">/mL). After 3 h, both groups were exposed to light irradiation and further incubated for 12 h. Cells were then stained with Annexin V-FITC and propidium iodide (PI), and apoptosis rates were analyzed using a BD </w:t>
      </w:r>
      <w:proofErr w:type="spellStart"/>
      <w:r>
        <w:rPr>
          <w:rFonts w:ascii="Arial" w:eastAsia="宋体" w:hAnsi="Arial" w:cs="Arial"/>
          <w:spacing w:val="-10"/>
          <w:kern w:val="44"/>
          <w:sz w:val="24"/>
          <w:shd w:val="clear" w:color="auto" w:fill="FAFAFA"/>
          <w:lang w:bidi="ar"/>
        </w:rPr>
        <w:t>FACSCanto</w:t>
      </w:r>
      <w:proofErr w:type="spellEnd"/>
      <w:r>
        <w:rPr>
          <w:rFonts w:ascii="Arial" w:eastAsia="宋体" w:hAnsi="Arial" w:cs="Arial"/>
          <w:spacing w:val="-10"/>
          <w:kern w:val="44"/>
          <w:sz w:val="24"/>
          <w:shd w:val="clear" w:color="auto" w:fill="FAFAFA"/>
          <w:lang w:bidi="ar"/>
        </w:rPr>
        <w:t xml:space="preserve"> II flow cytometer (triplicate repeats).  </w:t>
      </w:r>
    </w:p>
    <w:p w14:paraId="67EA4A4E" w14:textId="7F85AA0D" w:rsidR="00692F9D" w:rsidRDefault="00000000" w:rsidP="009D7FF1">
      <w:pPr>
        <w:spacing w:line="480" w:lineRule="auto"/>
        <w:rPr>
          <w:rFonts w:ascii="Arial" w:eastAsia="宋体" w:hAnsi="Arial" w:cs="Arial"/>
          <w:b/>
          <w:bCs/>
          <w:spacing w:val="-10"/>
          <w:kern w:val="44"/>
          <w:sz w:val="28"/>
          <w:szCs w:val="28"/>
          <w:shd w:val="clear" w:color="auto" w:fill="FAFAFA"/>
          <w:lang w:bidi="ar"/>
        </w:rPr>
      </w:pPr>
      <w:r>
        <w:rPr>
          <w:rFonts w:ascii="Arial" w:eastAsia="宋体" w:hAnsi="Arial" w:cs="Arial"/>
          <w:b/>
          <w:bCs/>
          <w:spacing w:val="-10"/>
          <w:kern w:val="44"/>
          <w:sz w:val="28"/>
          <w:szCs w:val="28"/>
          <w:shd w:val="clear" w:color="auto" w:fill="FAFAFA"/>
          <w:lang w:bidi="ar"/>
        </w:rPr>
        <w:t>S</w:t>
      </w:r>
      <w:r w:rsidR="004031EA">
        <w:rPr>
          <w:rFonts w:ascii="Arial" w:eastAsia="宋体" w:hAnsi="Arial" w:cs="Arial" w:hint="eastAsia"/>
          <w:b/>
          <w:bCs/>
          <w:spacing w:val="-10"/>
          <w:kern w:val="44"/>
          <w:sz w:val="28"/>
          <w:szCs w:val="28"/>
          <w:shd w:val="clear" w:color="auto" w:fill="FAFAFA"/>
          <w:lang w:bidi="ar"/>
        </w:rPr>
        <w:t>6</w:t>
      </w:r>
      <w:r>
        <w:rPr>
          <w:rFonts w:ascii="Arial" w:eastAsia="宋体" w:hAnsi="Arial" w:cs="Arial"/>
          <w:b/>
          <w:bCs/>
          <w:spacing w:val="-10"/>
          <w:kern w:val="44"/>
          <w:sz w:val="28"/>
          <w:szCs w:val="28"/>
          <w:shd w:val="clear" w:color="auto" w:fill="FAFAFA"/>
          <w:lang w:bidi="ar"/>
        </w:rPr>
        <w:t>、</w:t>
      </w:r>
      <w:r>
        <w:rPr>
          <w:rFonts w:ascii="Arial" w:eastAsia="宋体" w:hAnsi="Arial" w:cs="Arial"/>
          <w:b/>
          <w:bCs/>
          <w:spacing w:val="-10"/>
          <w:kern w:val="44"/>
          <w:sz w:val="28"/>
          <w:szCs w:val="28"/>
          <w:shd w:val="clear" w:color="auto" w:fill="FAFAFA"/>
          <w:lang w:bidi="ar"/>
        </w:rPr>
        <w:t xml:space="preserve"> In Vivo Anticancer Efficacy of CNZH</w:t>
      </w:r>
    </w:p>
    <w:p w14:paraId="223185CD" w14:textId="77777777" w:rsidR="00692F9D" w:rsidRDefault="00000000" w:rsidP="009D7FF1">
      <w:pPr>
        <w:spacing w:line="480" w:lineRule="auto"/>
        <w:ind w:firstLineChars="200" w:firstLine="440"/>
        <w:rPr>
          <w:rFonts w:ascii="Arial" w:eastAsia="宋体" w:hAnsi="Arial" w:cs="Arial"/>
          <w:spacing w:val="-10"/>
          <w:kern w:val="44"/>
          <w:sz w:val="24"/>
          <w:shd w:val="clear" w:color="auto" w:fill="FAFAFA"/>
          <w:lang w:bidi="ar"/>
        </w:rPr>
      </w:pPr>
      <w:r>
        <w:rPr>
          <w:rFonts w:ascii="Arial" w:eastAsia="宋体" w:hAnsi="Arial" w:cs="Arial"/>
          <w:spacing w:val="-10"/>
          <w:kern w:val="44"/>
          <w:sz w:val="24"/>
          <w:shd w:val="clear" w:color="auto" w:fill="FAFAFA"/>
          <w:lang w:bidi="ar"/>
        </w:rPr>
        <w:t xml:space="preserve">For blood biochemical analysis, samples were allowed to clot at room temperature for 2 h, followed by centrifugation at 3,000 rpm (4°C, 15 min). The supernatant was carefully collected to assess five parameters: AST (aspartate aminotransferase), ALB (albumin), TP (total protein), GLB (globulin), and UREA (urea). For complete blood count (CBC), 200 </w:t>
      </w:r>
      <w:proofErr w:type="spellStart"/>
      <w:r>
        <w:rPr>
          <w:rFonts w:ascii="Arial" w:eastAsia="宋体" w:hAnsi="Arial" w:cs="Arial"/>
          <w:spacing w:val="-10"/>
          <w:kern w:val="44"/>
          <w:sz w:val="24"/>
          <w:shd w:val="clear" w:color="auto" w:fill="FAFAFA"/>
          <w:lang w:bidi="ar"/>
        </w:rPr>
        <w:t>μL</w:t>
      </w:r>
      <w:proofErr w:type="spellEnd"/>
      <w:r>
        <w:rPr>
          <w:rFonts w:ascii="Arial" w:eastAsia="宋体" w:hAnsi="Arial" w:cs="Arial"/>
          <w:spacing w:val="-10"/>
          <w:kern w:val="44"/>
          <w:sz w:val="24"/>
          <w:shd w:val="clear" w:color="auto" w:fill="FAFAFA"/>
          <w:lang w:bidi="ar"/>
        </w:rPr>
        <w:t xml:space="preserve"> of blood anticoagulated with 3.2% sodium citrate was stored at 4°C and appropriately diluted prior to measuring key hematological indices: WBC (white blood cells), RBC (red blood cells), and PLT (platelets).  </w:t>
      </w:r>
    </w:p>
    <w:p w14:paraId="60E6DFCA" w14:textId="77777777" w:rsidR="00692F9D" w:rsidRDefault="00692F9D">
      <w:pPr>
        <w:tabs>
          <w:tab w:val="left" w:pos="5400"/>
        </w:tabs>
        <w:spacing w:line="480" w:lineRule="auto"/>
        <w:rPr>
          <w:rFonts w:ascii="Arial" w:eastAsia="宋体" w:hAnsi="Arial" w:cs="Arial"/>
          <w:sz w:val="24"/>
          <w:lang w:bidi="ar"/>
        </w:rPr>
        <w:sectPr w:rsidR="00692F9D">
          <w:pgSz w:w="11906" w:h="16838"/>
          <w:pgMar w:top="1440" w:right="1800" w:bottom="1440" w:left="1800" w:header="851" w:footer="992" w:gutter="0"/>
          <w:lnNumType w:countBy="1" w:restart="continuous"/>
          <w:cols w:space="425"/>
          <w:docGrid w:type="lines" w:linePitch="312"/>
        </w:sectPr>
      </w:pPr>
    </w:p>
    <w:p w14:paraId="14242BD1" w14:textId="0D188C92" w:rsidR="00692F9D" w:rsidRDefault="00F46A57">
      <w:pPr>
        <w:tabs>
          <w:tab w:val="left" w:pos="5400"/>
        </w:tabs>
        <w:spacing w:line="480" w:lineRule="auto"/>
        <w:rPr>
          <w:rFonts w:ascii="Arial" w:eastAsia="宋体" w:hAnsi="Arial" w:cs="Arial"/>
          <w:sz w:val="24"/>
          <w:lang w:bidi="ar"/>
        </w:rPr>
      </w:pPr>
      <w:r>
        <w:rPr>
          <w:rFonts w:ascii="Arial" w:eastAsia="宋体" w:hAnsi="Arial" w:cs="Arial"/>
          <w:noProof/>
          <w:sz w:val="24"/>
          <w:lang w:bidi="ar"/>
        </w:rPr>
        <w:lastRenderedPageBreak/>
        <w:drawing>
          <wp:inline distT="0" distB="0" distL="0" distR="0" wp14:anchorId="01D5728B" wp14:editId="181425EE">
            <wp:extent cx="3217926" cy="2480310"/>
            <wp:effectExtent l="0" t="0" r="1905" b="0"/>
            <wp:docPr id="1" name="图片 1"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表, 条形图&#10;&#10;AI 生成的内容可能不正确。"/>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17926" cy="2480310"/>
                    </a:xfrm>
                    <a:prstGeom prst="rect">
                      <a:avLst/>
                    </a:prstGeom>
                  </pic:spPr>
                </pic:pic>
              </a:graphicData>
            </a:graphic>
          </wp:inline>
        </w:drawing>
      </w:r>
    </w:p>
    <w:p w14:paraId="4AB1A5D3" w14:textId="77777777" w:rsidR="00692F9D" w:rsidRDefault="00692F9D">
      <w:pPr>
        <w:spacing w:line="480" w:lineRule="auto"/>
        <w:rPr>
          <w:rFonts w:ascii="Arial" w:eastAsia="宋体" w:hAnsi="Arial" w:cs="Arial"/>
          <w:b/>
          <w:bCs/>
          <w:sz w:val="24"/>
          <w:lang w:bidi="ar"/>
        </w:rPr>
      </w:pPr>
    </w:p>
    <w:p w14:paraId="1C3372A3" w14:textId="77777777" w:rsidR="00692F9D" w:rsidRDefault="00000000">
      <w:pPr>
        <w:spacing w:line="480" w:lineRule="auto"/>
        <w:rPr>
          <w:rFonts w:ascii="Arial" w:eastAsia="宋体" w:hAnsi="Arial" w:cs="Arial"/>
          <w:sz w:val="24"/>
          <w:lang w:bidi="ar"/>
        </w:rPr>
      </w:pPr>
      <w:r>
        <w:rPr>
          <w:rFonts w:ascii="Arial" w:eastAsia="宋体" w:hAnsi="Arial" w:cs="Arial"/>
          <w:b/>
          <w:bCs/>
          <w:sz w:val="24"/>
          <w:lang w:bidi="ar"/>
        </w:rPr>
        <w:t>Fig. S</w:t>
      </w:r>
      <w:r>
        <w:rPr>
          <w:rFonts w:ascii="Arial" w:eastAsia="宋体" w:hAnsi="Arial" w:cs="Arial" w:hint="eastAsia"/>
          <w:b/>
          <w:bCs/>
          <w:sz w:val="24"/>
          <w:lang w:bidi="ar"/>
        </w:rPr>
        <w:t>1</w:t>
      </w:r>
      <w:r>
        <w:rPr>
          <w:rFonts w:ascii="Arial" w:eastAsia="宋体" w:hAnsi="Arial" w:cs="Arial"/>
          <w:b/>
          <w:bCs/>
          <w:sz w:val="24"/>
          <w:lang w:bidi="ar"/>
        </w:rPr>
        <w:t>.</w:t>
      </w:r>
      <w:r>
        <w:rPr>
          <w:rFonts w:ascii="Arial" w:eastAsia="宋体" w:hAnsi="Arial" w:cs="Arial"/>
          <w:sz w:val="24"/>
          <w:lang w:bidi="ar"/>
        </w:rPr>
        <w:t xml:space="preserve"> Hemolysis rate of CNZH was determined by microplate assay.</w:t>
      </w:r>
    </w:p>
    <w:p w14:paraId="7CC188AA" w14:textId="77777777" w:rsidR="00692F9D" w:rsidRDefault="00692F9D">
      <w:pPr>
        <w:spacing w:line="480" w:lineRule="auto"/>
        <w:rPr>
          <w:rFonts w:ascii="Arial" w:eastAsia="宋体" w:hAnsi="Arial" w:cs="Arial"/>
          <w:sz w:val="24"/>
          <w:lang w:bidi="ar"/>
        </w:rPr>
      </w:pPr>
    </w:p>
    <w:p w14:paraId="27A4DD77" w14:textId="4D4783BD" w:rsidR="00692F9D" w:rsidRDefault="00F46A57">
      <w:pPr>
        <w:spacing w:line="480" w:lineRule="auto"/>
        <w:rPr>
          <w:rFonts w:ascii="Arial" w:eastAsia="宋体" w:hAnsi="Arial" w:cs="Arial"/>
          <w:b/>
          <w:bCs/>
          <w:sz w:val="24"/>
          <w:lang w:bidi="ar"/>
        </w:rPr>
      </w:pPr>
      <w:r>
        <w:rPr>
          <w:rFonts w:ascii="Arial" w:eastAsia="宋体" w:hAnsi="Arial" w:cs="Arial"/>
          <w:b/>
          <w:bCs/>
          <w:noProof/>
          <w:sz w:val="24"/>
          <w:lang w:bidi="ar"/>
        </w:rPr>
        <w:drawing>
          <wp:inline distT="0" distB="0" distL="0" distR="0" wp14:anchorId="4B95D123" wp14:editId="0DC6A0D1">
            <wp:extent cx="5274310" cy="1584960"/>
            <wp:effectExtent l="0" t="0" r="2540" b="0"/>
            <wp:docPr id="6" name="图片 6"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表, 直方图&#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1584960"/>
                    </a:xfrm>
                    <a:prstGeom prst="rect">
                      <a:avLst/>
                    </a:prstGeom>
                  </pic:spPr>
                </pic:pic>
              </a:graphicData>
            </a:graphic>
          </wp:inline>
        </w:drawing>
      </w:r>
    </w:p>
    <w:p w14:paraId="7AD0F3DF" w14:textId="77777777" w:rsidR="00692F9D" w:rsidRDefault="00692F9D">
      <w:pPr>
        <w:spacing w:line="480" w:lineRule="auto"/>
        <w:rPr>
          <w:rFonts w:ascii="Arial" w:eastAsia="宋体" w:hAnsi="Arial" w:cs="Arial"/>
          <w:b/>
          <w:bCs/>
          <w:sz w:val="24"/>
          <w:lang w:bidi="ar"/>
        </w:rPr>
      </w:pPr>
    </w:p>
    <w:p w14:paraId="3D28A374" w14:textId="77777777" w:rsidR="00692F9D" w:rsidRDefault="00000000">
      <w:pPr>
        <w:spacing w:line="480" w:lineRule="auto"/>
        <w:rPr>
          <w:rFonts w:ascii="Arial" w:eastAsia="宋体" w:hAnsi="Arial" w:cs="Arial"/>
          <w:sz w:val="24"/>
          <w:lang w:bidi="ar"/>
        </w:rPr>
      </w:pPr>
      <w:r>
        <w:rPr>
          <w:rFonts w:ascii="Arial" w:eastAsia="宋体" w:hAnsi="Arial" w:cs="Arial"/>
          <w:b/>
          <w:bCs/>
          <w:sz w:val="24"/>
          <w:lang w:bidi="ar"/>
        </w:rPr>
        <w:t>Fig. S</w:t>
      </w:r>
      <w:r>
        <w:rPr>
          <w:rFonts w:ascii="Arial" w:eastAsia="宋体" w:hAnsi="Arial" w:cs="Arial" w:hint="eastAsia"/>
          <w:b/>
          <w:bCs/>
          <w:sz w:val="24"/>
          <w:lang w:bidi="ar"/>
        </w:rPr>
        <w:t>2</w:t>
      </w:r>
      <w:r>
        <w:rPr>
          <w:rFonts w:ascii="Arial" w:eastAsia="宋体" w:hAnsi="Arial" w:cs="Arial"/>
          <w:b/>
          <w:bCs/>
          <w:sz w:val="24"/>
          <w:lang w:bidi="ar"/>
        </w:rPr>
        <w:t>.</w:t>
      </w:r>
      <w:r>
        <w:rPr>
          <w:rFonts w:ascii="Arial" w:eastAsia="宋体" w:hAnsi="Arial" w:cs="Arial"/>
          <w:sz w:val="24"/>
          <w:lang w:bidi="ar"/>
        </w:rPr>
        <w:t xml:space="preserve"> (a-c) XPS peak deconvolution spectra of C1s, O1s, and N1s in CNZ.</w:t>
      </w:r>
    </w:p>
    <w:p w14:paraId="5B137347" w14:textId="77777777" w:rsidR="00692F9D" w:rsidRDefault="00692F9D">
      <w:pPr>
        <w:spacing w:line="480" w:lineRule="auto"/>
        <w:rPr>
          <w:rFonts w:ascii="Arial" w:eastAsia="宋体" w:hAnsi="Arial" w:cs="Arial"/>
          <w:sz w:val="24"/>
          <w:lang w:bidi="ar"/>
        </w:rPr>
      </w:pPr>
    </w:p>
    <w:p w14:paraId="143A5857" w14:textId="182DDD05" w:rsidR="00692F9D" w:rsidRDefault="00F46A57">
      <w:pPr>
        <w:spacing w:line="480" w:lineRule="auto"/>
        <w:rPr>
          <w:rFonts w:ascii="Arial" w:eastAsia="宋体" w:hAnsi="Arial" w:cs="Arial"/>
          <w:b/>
          <w:bCs/>
          <w:sz w:val="24"/>
          <w:lang w:bidi="ar"/>
        </w:rPr>
      </w:pPr>
      <w:r>
        <w:rPr>
          <w:rFonts w:ascii="Arial" w:eastAsia="宋体" w:hAnsi="Arial" w:cs="Arial"/>
          <w:b/>
          <w:bCs/>
          <w:noProof/>
          <w:sz w:val="24"/>
          <w:lang w:bidi="ar"/>
        </w:rPr>
        <w:lastRenderedPageBreak/>
        <w:drawing>
          <wp:inline distT="0" distB="0" distL="0" distR="0" wp14:anchorId="3284CC2E" wp14:editId="376A8D97">
            <wp:extent cx="3314700" cy="2820162"/>
            <wp:effectExtent l="0" t="0" r="0" b="0"/>
            <wp:docPr id="7" name="图片 7"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直方图&#10;&#10;AI 生成的内容可能不正确。"/>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14700" cy="2820162"/>
                    </a:xfrm>
                    <a:prstGeom prst="rect">
                      <a:avLst/>
                    </a:prstGeom>
                  </pic:spPr>
                </pic:pic>
              </a:graphicData>
            </a:graphic>
          </wp:inline>
        </w:drawing>
      </w:r>
    </w:p>
    <w:p w14:paraId="1D5BCA83" w14:textId="77777777" w:rsidR="00692F9D" w:rsidRDefault="00692F9D">
      <w:pPr>
        <w:spacing w:line="480" w:lineRule="auto"/>
        <w:rPr>
          <w:rFonts w:ascii="Arial" w:eastAsia="宋体" w:hAnsi="Arial" w:cs="Arial"/>
          <w:b/>
          <w:bCs/>
          <w:sz w:val="24"/>
          <w:lang w:bidi="ar"/>
        </w:rPr>
      </w:pPr>
    </w:p>
    <w:p w14:paraId="6574D350" w14:textId="77777777" w:rsidR="00692F9D" w:rsidRDefault="00000000">
      <w:pPr>
        <w:spacing w:line="480" w:lineRule="auto"/>
        <w:rPr>
          <w:rFonts w:ascii="Arial" w:eastAsia="宋体" w:hAnsi="Arial" w:cs="Arial"/>
          <w:sz w:val="24"/>
          <w:lang w:bidi="ar"/>
        </w:rPr>
      </w:pPr>
      <w:r>
        <w:rPr>
          <w:rFonts w:ascii="Arial" w:eastAsia="宋体" w:hAnsi="Arial" w:cs="Arial"/>
          <w:b/>
          <w:bCs/>
          <w:sz w:val="24"/>
          <w:lang w:bidi="ar"/>
        </w:rPr>
        <w:t>Fig. S</w:t>
      </w:r>
      <w:r>
        <w:rPr>
          <w:rFonts w:ascii="Arial" w:eastAsia="宋体" w:hAnsi="Arial" w:cs="Arial" w:hint="eastAsia"/>
          <w:b/>
          <w:bCs/>
          <w:sz w:val="24"/>
          <w:lang w:bidi="ar"/>
        </w:rPr>
        <w:t>3</w:t>
      </w:r>
      <w:r>
        <w:rPr>
          <w:rFonts w:ascii="Arial" w:eastAsia="宋体" w:hAnsi="Arial" w:cs="Arial"/>
          <w:b/>
          <w:bCs/>
          <w:sz w:val="24"/>
          <w:lang w:bidi="ar"/>
        </w:rPr>
        <w:t>.</w:t>
      </w:r>
      <w:r>
        <w:rPr>
          <w:rFonts w:ascii="Arial" w:eastAsia="宋体" w:hAnsi="Arial" w:cs="Arial"/>
          <w:sz w:val="24"/>
          <w:lang w:bidi="ar"/>
        </w:rPr>
        <w:t xml:space="preserve"> Analysis of Singlet Oxygen (¹O₂) Generation Kinetics.</w:t>
      </w:r>
    </w:p>
    <w:p w14:paraId="4DDB8817" w14:textId="6F832CC6" w:rsidR="00692F9D" w:rsidRDefault="00F46A57">
      <w:pPr>
        <w:tabs>
          <w:tab w:val="left" w:pos="5400"/>
        </w:tabs>
        <w:spacing w:line="480" w:lineRule="auto"/>
        <w:rPr>
          <w:rFonts w:ascii="Arial" w:eastAsia="宋体" w:hAnsi="Arial" w:cs="Arial"/>
          <w:sz w:val="24"/>
          <w:lang w:bidi="ar"/>
        </w:rPr>
      </w:pPr>
      <w:r>
        <w:rPr>
          <w:rFonts w:ascii="Arial" w:eastAsia="宋体" w:hAnsi="Arial" w:cs="Arial"/>
          <w:noProof/>
          <w:sz w:val="24"/>
          <w:lang w:bidi="ar"/>
        </w:rPr>
        <w:lastRenderedPageBreak/>
        <w:drawing>
          <wp:inline distT="0" distB="0" distL="0" distR="0" wp14:anchorId="1659A091" wp14:editId="2472CC80">
            <wp:extent cx="5274310" cy="7459345"/>
            <wp:effectExtent l="0" t="0" r="2540" b="8255"/>
            <wp:docPr id="8" name="图片 8" descr="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条形图&#10;&#10;AI 生成的内容可能不正确。"/>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7459345"/>
                    </a:xfrm>
                    <a:prstGeom prst="rect">
                      <a:avLst/>
                    </a:prstGeom>
                  </pic:spPr>
                </pic:pic>
              </a:graphicData>
            </a:graphic>
          </wp:inline>
        </w:drawing>
      </w:r>
    </w:p>
    <w:p w14:paraId="7A00C700" w14:textId="77777777" w:rsidR="00692F9D" w:rsidRDefault="00692F9D">
      <w:pPr>
        <w:tabs>
          <w:tab w:val="left" w:pos="5400"/>
        </w:tabs>
        <w:spacing w:line="480" w:lineRule="auto"/>
        <w:rPr>
          <w:rFonts w:ascii="Arial" w:eastAsia="宋体" w:hAnsi="Arial" w:cs="Arial"/>
          <w:sz w:val="24"/>
          <w:lang w:bidi="ar"/>
        </w:rPr>
      </w:pPr>
    </w:p>
    <w:p w14:paraId="0ADF3361" w14:textId="77777777" w:rsidR="00692F9D" w:rsidRDefault="00000000">
      <w:pPr>
        <w:spacing w:line="480" w:lineRule="auto"/>
        <w:rPr>
          <w:rFonts w:ascii="Arial" w:eastAsia="宋体" w:hAnsi="Arial" w:cs="Arial"/>
          <w:sz w:val="24"/>
          <w:lang w:bidi="ar"/>
        </w:rPr>
      </w:pPr>
      <w:r>
        <w:rPr>
          <w:rFonts w:ascii="Arial" w:eastAsia="宋体" w:hAnsi="Arial" w:cs="Arial"/>
          <w:b/>
          <w:bCs/>
          <w:sz w:val="24"/>
          <w:lang w:bidi="ar"/>
        </w:rPr>
        <w:t>Fig. S4.</w:t>
      </w:r>
      <w:r>
        <w:rPr>
          <w:rFonts w:ascii="Arial" w:eastAsia="宋体" w:hAnsi="Arial" w:cs="Arial"/>
          <w:sz w:val="24"/>
          <w:lang w:bidi="ar"/>
        </w:rPr>
        <w:t xml:space="preserve"> (a-c) Hematological parameters (WBC: white blood cells; RBC: red blood cells; PLT: platelets) in A-431 tumor-bearing mice across treatment </w:t>
      </w:r>
      <w:r>
        <w:rPr>
          <w:rFonts w:ascii="Arial" w:eastAsia="宋体" w:hAnsi="Arial" w:cs="Arial"/>
          <w:sz w:val="24"/>
          <w:lang w:bidi="ar"/>
        </w:rPr>
        <w:lastRenderedPageBreak/>
        <w:t>groups; (d-h) Representative biochemical indices (AST:</w:t>
      </w:r>
      <w:r>
        <w:rPr>
          <w:rFonts w:ascii="Arial" w:eastAsia="宋体" w:hAnsi="Arial" w:cs="Arial" w:hint="eastAsia"/>
          <w:sz w:val="24"/>
          <w:lang w:bidi="ar"/>
        </w:rPr>
        <w:t xml:space="preserve"> </w:t>
      </w:r>
      <w:r>
        <w:rPr>
          <w:rFonts w:ascii="Arial" w:eastAsia="宋体" w:hAnsi="Arial" w:cs="Arial"/>
          <w:sz w:val="24"/>
          <w:lang w:bidi="ar"/>
        </w:rPr>
        <w:t>aspartate aminotransferase; TP: total protein; ALB: albumin; UREA: urea;</w:t>
      </w:r>
      <w:r>
        <w:rPr>
          <w:rFonts w:ascii="Arial" w:eastAsia="宋体" w:hAnsi="Arial" w:cs="Arial" w:hint="eastAsia"/>
          <w:sz w:val="24"/>
          <w:lang w:bidi="ar"/>
        </w:rPr>
        <w:t xml:space="preserve"> </w:t>
      </w:r>
      <w:r>
        <w:rPr>
          <w:rFonts w:ascii="Arial" w:eastAsia="宋体" w:hAnsi="Arial" w:cs="Arial"/>
          <w:sz w:val="24"/>
          <w:lang w:bidi="ar"/>
        </w:rPr>
        <w:t>GLB: globulin) in A-431 tumor-bearing mice from different experimental cohorts.</w:t>
      </w:r>
    </w:p>
    <w:sectPr w:rsidR="00692F9D">
      <w:pgSz w:w="11906" w:h="16838"/>
      <w:pgMar w:top="1440" w:right="1800" w:bottom="1440" w:left="180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8B02" w14:textId="77777777" w:rsidR="007A6ACF" w:rsidRDefault="007A6ACF" w:rsidP="004031EA">
      <w:r>
        <w:separator/>
      </w:r>
    </w:p>
  </w:endnote>
  <w:endnote w:type="continuationSeparator" w:id="0">
    <w:p w14:paraId="00C7D386" w14:textId="77777777" w:rsidR="007A6ACF" w:rsidRDefault="007A6ACF" w:rsidP="0040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E5656" w14:textId="77777777" w:rsidR="007A6ACF" w:rsidRDefault="007A6ACF" w:rsidP="004031EA">
      <w:r>
        <w:separator/>
      </w:r>
    </w:p>
  </w:footnote>
  <w:footnote w:type="continuationSeparator" w:id="0">
    <w:p w14:paraId="1067264E" w14:textId="77777777" w:rsidR="007A6ACF" w:rsidRDefault="007A6ACF" w:rsidP="00403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FC82C66"/>
    <w:rsid w:val="00045D47"/>
    <w:rsid w:val="000F0B4A"/>
    <w:rsid w:val="0012707F"/>
    <w:rsid w:val="001B472F"/>
    <w:rsid w:val="002441A2"/>
    <w:rsid w:val="00255890"/>
    <w:rsid w:val="002D44FC"/>
    <w:rsid w:val="00300940"/>
    <w:rsid w:val="003953D5"/>
    <w:rsid w:val="003B0CE0"/>
    <w:rsid w:val="003B22D6"/>
    <w:rsid w:val="003E53CC"/>
    <w:rsid w:val="004031EA"/>
    <w:rsid w:val="004C0A7D"/>
    <w:rsid w:val="005629FE"/>
    <w:rsid w:val="00577E6C"/>
    <w:rsid w:val="0061733B"/>
    <w:rsid w:val="00692F9D"/>
    <w:rsid w:val="006D1460"/>
    <w:rsid w:val="006E087F"/>
    <w:rsid w:val="007A6ACF"/>
    <w:rsid w:val="00883250"/>
    <w:rsid w:val="008A5C14"/>
    <w:rsid w:val="009D7FF1"/>
    <w:rsid w:val="00A85FF4"/>
    <w:rsid w:val="00AA7B68"/>
    <w:rsid w:val="00B31805"/>
    <w:rsid w:val="00E71841"/>
    <w:rsid w:val="00F46A57"/>
    <w:rsid w:val="00F861AD"/>
    <w:rsid w:val="02D47F64"/>
    <w:rsid w:val="09A20C52"/>
    <w:rsid w:val="0A617AAB"/>
    <w:rsid w:val="0F1954AD"/>
    <w:rsid w:val="151F5B05"/>
    <w:rsid w:val="15222CE6"/>
    <w:rsid w:val="16BF29DA"/>
    <w:rsid w:val="232C3BF1"/>
    <w:rsid w:val="26E3380E"/>
    <w:rsid w:val="28213FE4"/>
    <w:rsid w:val="2DBC5BEB"/>
    <w:rsid w:val="2F3A11DF"/>
    <w:rsid w:val="36521A0E"/>
    <w:rsid w:val="3D146B29"/>
    <w:rsid w:val="3F9D67BF"/>
    <w:rsid w:val="3FC25F9C"/>
    <w:rsid w:val="56D95906"/>
    <w:rsid w:val="5DA44D86"/>
    <w:rsid w:val="61167A72"/>
    <w:rsid w:val="645F5788"/>
    <w:rsid w:val="693C1432"/>
    <w:rsid w:val="6FC82C66"/>
    <w:rsid w:val="71981F20"/>
    <w:rsid w:val="71AB503C"/>
    <w:rsid w:val="71FB77BF"/>
    <w:rsid w:val="72147937"/>
    <w:rsid w:val="72201F3D"/>
    <w:rsid w:val="73082679"/>
    <w:rsid w:val="73BC418E"/>
    <w:rsid w:val="7D376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966E3"/>
  <w15:docId w15:val="{0A51ADDE-09C4-440A-81D2-8286A3DD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styleId="a7">
    <w:name w:val="line number"/>
    <w:basedOn w:val="a0"/>
    <w:rsid w:val="0057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tif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1185</Words>
  <Characters>6760</Characters>
  <Application>Microsoft Office Word</Application>
  <DocSecurity>0</DocSecurity>
  <Lines>56</Lines>
  <Paragraphs>15</Paragraphs>
  <ScaleCrop>false</ScaleCrop>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WPS_1174784754</dc:creator>
  <cp:lastModifiedBy>Administrator</cp:lastModifiedBy>
  <cp:revision>11</cp:revision>
  <dcterms:created xsi:type="dcterms:W3CDTF">2024-12-03T02:11:00Z</dcterms:created>
  <dcterms:modified xsi:type="dcterms:W3CDTF">2025-11-25T17:28:00Z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05196F1CE5F4413AB557C232C61D60FB_13</vt:lpwstr>
  </property>
  <property fmtid="{D5CDD505-2E9C-101B-9397-08002B2CF9AE}" pid="4" name="KSOTemplateDocerSaveRecord">
    <vt:lpwstr>eyJoZGlkIjoiMTQyZTU3ZmQ4MDMxMDc3OWYxZWU2MTRjMDhhOTk5NjEiLCJ1c2VySWQiOiIxNDYyNjQ3MDU1In0=</vt:lpwstr>
  </property>
</Properties>
</file>