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48ED" w14:textId="4BE29B2F" w:rsidR="007D10C4" w:rsidRPr="00AE3E41" w:rsidRDefault="007D10C4" w:rsidP="007D10C4">
      <w:pPr>
        <w:widowControl/>
        <w:wordWrap/>
        <w:autoSpaceDE/>
        <w:autoSpaceDN/>
        <w:spacing w:after="0" w:line="480" w:lineRule="auto"/>
        <w:rPr>
          <w:rFonts w:ascii="Times New Roman" w:eastAsia="Times New Roman" w:hAnsi="Times New Roman" w:cs="Times New Roman"/>
          <w:kern w:val="0"/>
          <w:sz w:val="22"/>
          <w:lang w:eastAsia="en-US"/>
        </w:rPr>
      </w:pPr>
      <w:r w:rsidRPr="00AE3E41">
        <w:rPr>
          <w:rFonts w:ascii="Times New Roman" w:eastAsia="Times New Roman" w:hAnsi="Times New Roman" w:cs="Times New Roman"/>
          <w:b/>
          <w:kern w:val="0"/>
          <w:sz w:val="22"/>
          <w:lang w:eastAsia="en-US"/>
        </w:rPr>
        <w:t>Table S1</w:t>
      </w:r>
      <w:r w:rsidRPr="00AE3E41">
        <w:rPr>
          <w:rFonts w:ascii="Times New Roman" w:eastAsia="Times New Roman" w:hAnsi="Times New Roman" w:cs="Times New Roman"/>
          <w:kern w:val="0"/>
          <w:sz w:val="22"/>
          <w:lang w:eastAsia="en-US"/>
        </w:rPr>
        <w:t xml:space="preserve"> </w:t>
      </w:r>
      <w:r w:rsidR="00854051" w:rsidRPr="00AE3E41">
        <w:rPr>
          <w:rFonts w:ascii="Times New Roman" w:eastAsia="Times New Roman" w:hAnsi="Times New Roman" w:cs="Times New Roman"/>
          <w:kern w:val="0"/>
          <w:sz w:val="22"/>
          <w:lang w:eastAsia="en-US"/>
        </w:rPr>
        <w:t>Sensitivity analyses</w:t>
      </w:r>
      <w:r w:rsidR="00EA25D6" w:rsidRPr="00AE3E41">
        <w:rPr>
          <w:rFonts w:ascii="Times New Roman" w:eastAsia="Times New Roman" w:hAnsi="Times New Roman" w:cs="Times New Roman"/>
          <w:kern w:val="0"/>
          <w:sz w:val="22"/>
          <w:lang w:eastAsia="en-US"/>
        </w:rPr>
        <w:t xml:space="preserve"> using alternative cut-off values for low NKA (</w:t>
      </w:r>
      <w:r w:rsidR="00E64EB8" w:rsidRPr="00AE3E41">
        <w:rPr>
          <w:rFonts w:ascii="Times New Roman" w:eastAsia="Times New Roman" w:hAnsi="Times New Roman" w:cs="Times New Roman"/>
          <w:kern w:val="0"/>
          <w:sz w:val="22"/>
          <w:lang w:eastAsia="en-US"/>
        </w:rPr>
        <w:t>250 pg/mL and 100 pg/mL)</w:t>
      </w:r>
    </w:p>
    <w:tbl>
      <w:tblPr>
        <w:tblStyle w:val="TableGrid"/>
        <w:tblW w:w="1078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980"/>
        <w:gridCol w:w="1297"/>
        <w:gridCol w:w="1134"/>
        <w:gridCol w:w="1783"/>
        <w:gridCol w:w="1783"/>
        <w:gridCol w:w="1784"/>
        <w:gridCol w:w="1041"/>
      </w:tblGrid>
      <w:tr w:rsidR="00AE3E41" w:rsidRPr="00AE3E41" w14:paraId="71F175A6" w14:textId="77777777" w:rsidTr="00037243">
        <w:trPr>
          <w:jc w:val="center"/>
        </w:trPr>
        <w:tc>
          <w:tcPr>
            <w:tcW w:w="984" w:type="dxa"/>
            <w:vMerge w:val="restart"/>
            <w:tcBorders>
              <w:top w:val="single" w:sz="4" w:space="0" w:color="auto"/>
            </w:tcBorders>
            <w:vAlign w:val="center"/>
          </w:tcPr>
          <w:p w14:paraId="48E6DF3A" w14:textId="7C20E423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hAnsi="Times New Roman" w:cs="Times New Roman"/>
                <w:sz w:val="22"/>
              </w:rPr>
              <w:t>NKA cut-off</w:t>
            </w:r>
          </w:p>
        </w:tc>
        <w:tc>
          <w:tcPr>
            <w:tcW w:w="980" w:type="dxa"/>
            <w:tcBorders>
              <w:top w:val="single" w:sz="4" w:space="0" w:color="auto"/>
            </w:tcBorders>
            <w:vAlign w:val="center"/>
          </w:tcPr>
          <w:p w14:paraId="1C755CBB" w14:textId="0671701E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vAlign w:val="center"/>
          </w:tcPr>
          <w:p w14:paraId="24C56673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4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809C4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Quartiles of CBC-derived inflammatory markers levels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</w:tcBorders>
            <w:vAlign w:val="center"/>
          </w:tcPr>
          <w:p w14:paraId="1D9B82B1" w14:textId="739B88C6" w:rsidR="00037243" w:rsidRPr="00AE3E41" w:rsidRDefault="00037243" w:rsidP="000038C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 xml:space="preserve">Overall </w:t>
            </w:r>
            <w:r w:rsidRPr="00AE3E41">
              <w:rPr>
                <w:rFonts w:ascii="Times New Roman" w:eastAsia="Malgun Gothic" w:hAnsi="Times New Roman" w:cs="Times New Roman"/>
                <w:i/>
                <w:sz w:val="22"/>
              </w:rPr>
              <w:t>p</w:t>
            </w:r>
          </w:p>
        </w:tc>
      </w:tr>
      <w:tr w:rsidR="00AE3E41" w:rsidRPr="00AE3E41" w14:paraId="055C138C" w14:textId="77777777" w:rsidTr="00037243">
        <w:trPr>
          <w:jc w:val="center"/>
        </w:trPr>
        <w:tc>
          <w:tcPr>
            <w:tcW w:w="984" w:type="dxa"/>
            <w:vMerge/>
            <w:tcBorders>
              <w:bottom w:val="single" w:sz="4" w:space="0" w:color="auto"/>
            </w:tcBorders>
            <w:vAlign w:val="center"/>
          </w:tcPr>
          <w:p w14:paraId="76BA2915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573B47BB" w14:textId="719EDE11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14:paraId="45D3AB6D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45747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Q1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52119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Q2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3A1E9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Q3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73BCB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Q4</w:t>
            </w: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14:paraId="05ED8D8D" w14:textId="49D35C8A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eastAsia="Malgun Gothic" w:hAnsi="Times New Roman" w:cs="Times New Roman"/>
                <w:sz w:val="22"/>
              </w:rPr>
            </w:pPr>
          </w:p>
        </w:tc>
      </w:tr>
      <w:tr w:rsidR="00AE3E41" w:rsidRPr="00AE3E41" w14:paraId="75352806" w14:textId="77777777" w:rsidTr="00037243">
        <w:trPr>
          <w:jc w:val="center"/>
        </w:trPr>
        <w:tc>
          <w:tcPr>
            <w:tcW w:w="984" w:type="dxa"/>
            <w:vMerge w:val="restart"/>
          </w:tcPr>
          <w:p w14:paraId="01D5A815" w14:textId="237A5458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2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50 pg/mL</w:t>
            </w:r>
          </w:p>
        </w:tc>
        <w:tc>
          <w:tcPr>
            <w:tcW w:w="980" w:type="dxa"/>
            <w:tcBorders>
              <w:top w:val="single" w:sz="4" w:space="0" w:color="auto"/>
              <w:bottom w:val="nil"/>
            </w:tcBorders>
            <w:vAlign w:val="center"/>
          </w:tcPr>
          <w:p w14:paraId="570BF01F" w14:textId="6120042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N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LR</w:t>
            </w:r>
          </w:p>
        </w:tc>
        <w:tc>
          <w:tcPr>
            <w:tcW w:w="1297" w:type="dxa"/>
            <w:tcBorders>
              <w:top w:val="single" w:sz="4" w:space="0" w:color="auto"/>
              <w:bottom w:val="nil"/>
            </w:tcBorders>
            <w:vAlign w:val="center"/>
          </w:tcPr>
          <w:p w14:paraId="4153EFF0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Unadjusted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289D36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 (Ref.)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23EB9F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1.73 (1.48–2.03)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61305C7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2.42 (2.07–2.82)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D1AD63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4.71 (4.07–5.46)</w:t>
            </w:r>
          </w:p>
        </w:tc>
        <w:tc>
          <w:tcPr>
            <w:tcW w:w="1041" w:type="dxa"/>
            <w:tcBorders>
              <w:top w:val="single" w:sz="4" w:space="0" w:color="auto"/>
              <w:bottom w:val="nil"/>
            </w:tcBorders>
            <w:vAlign w:val="center"/>
          </w:tcPr>
          <w:p w14:paraId="50F57FD0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&lt;0.001</w:t>
            </w:r>
          </w:p>
        </w:tc>
      </w:tr>
      <w:tr w:rsidR="00AE3E41" w:rsidRPr="00AE3E41" w14:paraId="0981E585" w14:textId="77777777" w:rsidTr="00037243">
        <w:trPr>
          <w:jc w:val="center"/>
        </w:trPr>
        <w:tc>
          <w:tcPr>
            <w:tcW w:w="984" w:type="dxa"/>
            <w:vMerge/>
          </w:tcPr>
          <w:p w14:paraId="5DE2FE08" w14:textId="77777777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vAlign w:val="center"/>
          </w:tcPr>
          <w:p w14:paraId="134D69BD" w14:textId="1557A1B3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1297" w:type="dxa"/>
            <w:tcBorders>
              <w:top w:val="nil"/>
              <w:bottom w:val="single" w:sz="4" w:space="0" w:color="auto"/>
            </w:tcBorders>
            <w:vAlign w:val="center"/>
          </w:tcPr>
          <w:p w14:paraId="3831CC78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Adjusted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7DF0D5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 (Ref.)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8D0208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1.74 (1.48–2.04)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93C0E6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2.43 (2.08–2.83)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5C2925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4.75 (4.10–5.50)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  <w:vAlign w:val="center"/>
          </w:tcPr>
          <w:p w14:paraId="04A3585F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&lt;0.001</w:t>
            </w:r>
          </w:p>
        </w:tc>
      </w:tr>
      <w:tr w:rsidR="00AE3E41" w:rsidRPr="00AE3E41" w14:paraId="6732E972" w14:textId="77777777" w:rsidTr="00037243">
        <w:trPr>
          <w:jc w:val="center"/>
        </w:trPr>
        <w:tc>
          <w:tcPr>
            <w:tcW w:w="984" w:type="dxa"/>
            <w:vMerge/>
          </w:tcPr>
          <w:p w14:paraId="28126186" w14:textId="77777777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nil"/>
            </w:tcBorders>
            <w:vAlign w:val="center"/>
          </w:tcPr>
          <w:p w14:paraId="656F774B" w14:textId="318CE023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P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LR</w:t>
            </w:r>
          </w:p>
        </w:tc>
        <w:tc>
          <w:tcPr>
            <w:tcW w:w="1297" w:type="dxa"/>
            <w:tcBorders>
              <w:top w:val="single" w:sz="4" w:space="0" w:color="auto"/>
              <w:bottom w:val="nil"/>
            </w:tcBorders>
            <w:vAlign w:val="center"/>
          </w:tcPr>
          <w:p w14:paraId="412C2A0C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Unadjusted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55F71C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 (Ref.)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F5D2DA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1.33 (1.15–1.54)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3A6BB55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1.60 (1.38–1.84)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E6D5FF5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2.85 (2.49–3.27)</w:t>
            </w:r>
          </w:p>
        </w:tc>
        <w:tc>
          <w:tcPr>
            <w:tcW w:w="1041" w:type="dxa"/>
            <w:tcBorders>
              <w:top w:val="single" w:sz="4" w:space="0" w:color="auto"/>
              <w:bottom w:val="nil"/>
            </w:tcBorders>
            <w:vAlign w:val="center"/>
          </w:tcPr>
          <w:p w14:paraId="3506F6B2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&lt;0.001</w:t>
            </w:r>
          </w:p>
        </w:tc>
      </w:tr>
      <w:tr w:rsidR="00AE3E41" w:rsidRPr="00AE3E41" w14:paraId="770CAF56" w14:textId="77777777" w:rsidTr="00037243">
        <w:trPr>
          <w:jc w:val="center"/>
        </w:trPr>
        <w:tc>
          <w:tcPr>
            <w:tcW w:w="984" w:type="dxa"/>
            <w:vMerge/>
          </w:tcPr>
          <w:p w14:paraId="4FB628E6" w14:textId="77777777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vAlign w:val="center"/>
          </w:tcPr>
          <w:p w14:paraId="2732B200" w14:textId="074A7D50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1297" w:type="dxa"/>
            <w:tcBorders>
              <w:top w:val="nil"/>
              <w:bottom w:val="single" w:sz="4" w:space="0" w:color="auto"/>
            </w:tcBorders>
            <w:vAlign w:val="center"/>
          </w:tcPr>
          <w:p w14:paraId="58B02780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Adjusted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E8495D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 (Ref.)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537C42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1.38 (1.19–1.60)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D2B309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1.70 (1.47–1.97)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2B4FEA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3.13 (2.71–3.60)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  <w:vAlign w:val="center"/>
          </w:tcPr>
          <w:p w14:paraId="1DA5A737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&lt;0.001</w:t>
            </w:r>
          </w:p>
        </w:tc>
      </w:tr>
      <w:tr w:rsidR="00AE3E41" w:rsidRPr="00AE3E41" w14:paraId="735DE754" w14:textId="77777777" w:rsidTr="00037243">
        <w:trPr>
          <w:jc w:val="center"/>
        </w:trPr>
        <w:tc>
          <w:tcPr>
            <w:tcW w:w="984" w:type="dxa"/>
            <w:vMerge/>
          </w:tcPr>
          <w:p w14:paraId="03E77A39" w14:textId="77777777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nil"/>
            </w:tcBorders>
            <w:vAlign w:val="center"/>
          </w:tcPr>
          <w:p w14:paraId="0A4E7223" w14:textId="738B2B09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M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LR</w:t>
            </w:r>
          </w:p>
        </w:tc>
        <w:tc>
          <w:tcPr>
            <w:tcW w:w="1297" w:type="dxa"/>
            <w:tcBorders>
              <w:top w:val="single" w:sz="4" w:space="0" w:color="auto"/>
              <w:bottom w:val="nil"/>
            </w:tcBorders>
            <w:vAlign w:val="center"/>
          </w:tcPr>
          <w:p w14:paraId="2A6BF3CB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Unadjusted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A747D01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 (Ref.)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EC4311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1.14 (0.99–1.31)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FD5A364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1.27 (1.11–1.46)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EA005B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1.65 (1.45–1.89)</w:t>
            </w:r>
          </w:p>
        </w:tc>
        <w:tc>
          <w:tcPr>
            <w:tcW w:w="1041" w:type="dxa"/>
            <w:tcBorders>
              <w:top w:val="single" w:sz="4" w:space="0" w:color="auto"/>
              <w:bottom w:val="nil"/>
            </w:tcBorders>
            <w:vAlign w:val="center"/>
          </w:tcPr>
          <w:p w14:paraId="191C7269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&lt;0.001</w:t>
            </w:r>
          </w:p>
        </w:tc>
      </w:tr>
      <w:tr w:rsidR="00AE3E41" w:rsidRPr="00AE3E41" w14:paraId="15F60A57" w14:textId="77777777" w:rsidTr="00037243">
        <w:trPr>
          <w:jc w:val="center"/>
        </w:trPr>
        <w:tc>
          <w:tcPr>
            <w:tcW w:w="984" w:type="dxa"/>
            <w:vMerge/>
          </w:tcPr>
          <w:p w14:paraId="41A9F4C7" w14:textId="77777777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vAlign w:val="center"/>
          </w:tcPr>
          <w:p w14:paraId="748082C4" w14:textId="50D2CA5B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1297" w:type="dxa"/>
            <w:tcBorders>
              <w:top w:val="nil"/>
              <w:bottom w:val="single" w:sz="4" w:space="0" w:color="auto"/>
            </w:tcBorders>
            <w:vAlign w:val="center"/>
          </w:tcPr>
          <w:p w14:paraId="16A3E8C3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Adjusted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2530CC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 (Ref.)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DCAAE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1.17 (1.02–1.34)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E538C1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1.32 (1.15–1.52)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BF4DDF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1.73 (1.51–1.98)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  <w:vAlign w:val="center"/>
          </w:tcPr>
          <w:p w14:paraId="7D1B28B8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&lt;0.001</w:t>
            </w:r>
          </w:p>
        </w:tc>
      </w:tr>
      <w:tr w:rsidR="00AE3E41" w:rsidRPr="00AE3E41" w14:paraId="5C2379FB" w14:textId="77777777" w:rsidTr="00037243">
        <w:trPr>
          <w:jc w:val="center"/>
        </w:trPr>
        <w:tc>
          <w:tcPr>
            <w:tcW w:w="984" w:type="dxa"/>
            <w:vMerge/>
          </w:tcPr>
          <w:p w14:paraId="2F94153C" w14:textId="77777777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nil"/>
            </w:tcBorders>
            <w:vAlign w:val="center"/>
          </w:tcPr>
          <w:p w14:paraId="34650554" w14:textId="1DD7F4A8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S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IRI</w:t>
            </w:r>
          </w:p>
        </w:tc>
        <w:tc>
          <w:tcPr>
            <w:tcW w:w="1297" w:type="dxa"/>
            <w:tcBorders>
              <w:top w:val="single" w:sz="4" w:space="0" w:color="auto"/>
              <w:bottom w:val="nil"/>
            </w:tcBorders>
            <w:vAlign w:val="center"/>
          </w:tcPr>
          <w:p w14:paraId="294B3C27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Unadjusted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4F602F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 (Ref.)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29D7DE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1.38 (1.18–1.60)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4B55F6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1.82 (1.58–2.11)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32D9104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3.36 (2.93–3.86)</w:t>
            </w:r>
          </w:p>
        </w:tc>
        <w:tc>
          <w:tcPr>
            <w:tcW w:w="1041" w:type="dxa"/>
            <w:tcBorders>
              <w:top w:val="single" w:sz="4" w:space="0" w:color="auto"/>
              <w:bottom w:val="nil"/>
            </w:tcBorders>
            <w:vAlign w:val="center"/>
          </w:tcPr>
          <w:p w14:paraId="26210758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&lt;0.001</w:t>
            </w:r>
          </w:p>
        </w:tc>
      </w:tr>
      <w:tr w:rsidR="00AE3E41" w:rsidRPr="00AE3E41" w14:paraId="3D9DF3A1" w14:textId="77777777" w:rsidTr="00037243">
        <w:trPr>
          <w:jc w:val="center"/>
        </w:trPr>
        <w:tc>
          <w:tcPr>
            <w:tcW w:w="984" w:type="dxa"/>
            <w:vMerge/>
          </w:tcPr>
          <w:p w14:paraId="530F0A05" w14:textId="77777777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vAlign w:val="center"/>
          </w:tcPr>
          <w:p w14:paraId="580B892B" w14:textId="0E93B18C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1297" w:type="dxa"/>
            <w:tcBorders>
              <w:top w:val="nil"/>
              <w:bottom w:val="single" w:sz="4" w:space="0" w:color="auto"/>
            </w:tcBorders>
            <w:vAlign w:val="center"/>
          </w:tcPr>
          <w:p w14:paraId="2D05B30E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Adjusted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B2E698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 (Ref.)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452C23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1.42 (1.22–1.66)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BB092A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1.94 (1.67–2.25)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5B70E9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3.64 (3.16–4.20)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  <w:vAlign w:val="center"/>
          </w:tcPr>
          <w:p w14:paraId="2107A6FD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&lt;0.001</w:t>
            </w:r>
          </w:p>
        </w:tc>
      </w:tr>
      <w:tr w:rsidR="00AE3E41" w:rsidRPr="00AE3E41" w14:paraId="711873FD" w14:textId="77777777" w:rsidTr="00037243">
        <w:trPr>
          <w:jc w:val="center"/>
        </w:trPr>
        <w:tc>
          <w:tcPr>
            <w:tcW w:w="984" w:type="dxa"/>
            <w:vMerge/>
          </w:tcPr>
          <w:p w14:paraId="32A9D365" w14:textId="77777777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nil"/>
            </w:tcBorders>
            <w:vAlign w:val="center"/>
          </w:tcPr>
          <w:p w14:paraId="11C9B5AE" w14:textId="196BCB0E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S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II</w:t>
            </w:r>
          </w:p>
        </w:tc>
        <w:tc>
          <w:tcPr>
            <w:tcW w:w="1297" w:type="dxa"/>
            <w:tcBorders>
              <w:top w:val="single" w:sz="4" w:space="0" w:color="auto"/>
              <w:bottom w:val="nil"/>
            </w:tcBorders>
            <w:vAlign w:val="center"/>
          </w:tcPr>
          <w:p w14:paraId="29AF196F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Unadjusted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D6F8853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 (Ref.)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CDB031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1.69 (1.43–1.99)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FED320D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2.78 (2.38–3.25)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A5E615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5.64 (4.85–6.55)</w:t>
            </w:r>
          </w:p>
        </w:tc>
        <w:tc>
          <w:tcPr>
            <w:tcW w:w="1041" w:type="dxa"/>
            <w:tcBorders>
              <w:top w:val="single" w:sz="4" w:space="0" w:color="auto"/>
              <w:bottom w:val="nil"/>
            </w:tcBorders>
            <w:vAlign w:val="center"/>
          </w:tcPr>
          <w:p w14:paraId="3C786070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&lt;0.001</w:t>
            </w:r>
          </w:p>
        </w:tc>
      </w:tr>
      <w:tr w:rsidR="00AE3E41" w:rsidRPr="00AE3E41" w14:paraId="5812445D" w14:textId="77777777" w:rsidTr="00037243">
        <w:trPr>
          <w:jc w:val="center"/>
        </w:trPr>
        <w:tc>
          <w:tcPr>
            <w:tcW w:w="984" w:type="dxa"/>
            <w:vMerge/>
            <w:tcBorders>
              <w:bottom w:val="single" w:sz="4" w:space="0" w:color="auto"/>
            </w:tcBorders>
          </w:tcPr>
          <w:p w14:paraId="7A735916" w14:textId="77777777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vAlign w:val="center"/>
          </w:tcPr>
          <w:p w14:paraId="52269FCE" w14:textId="6B38BB39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1297" w:type="dxa"/>
            <w:tcBorders>
              <w:top w:val="nil"/>
              <w:bottom w:val="single" w:sz="4" w:space="0" w:color="auto"/>
            </w:tcBorders>
            <w:vAlign w:val="center"/>
          </w:tcPr>
          <w:p w14:paraId="1B1178E7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Adjusted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57FA55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 (Ref.)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2B3C23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1.73 (1.46–2.04)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AED977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2.86 (2.44–3.35)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D98066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5.90 (5.06–6.87)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  <w:vAlign w:val="center"/>
          </w:tcPr>
          <w:p w14:paraId="001F9E8D" w14:textId="77777777" w:rsidR="00037243" w:rsidRPr="00AE3E41" w:rsidRDefault="0003724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&lt;0.001</w:t>
            </w:r>
          </w:p>
        </w:tc>
      </w:tr>
      <w:tr w:rsidR="00AE3E41" w:rsidRPr="00AE3E41" w14:paraId="4FC3FC79" w14:textId="77777777" w:rsidTr="00037243">
        <w:trPr>
          <w:jc w:val="center"/>
        </w:trPr>
        <w:tc>
          <w:tcPr>
            <w:tcW w:w="984" w:type="dxa"/>
            <w:vMerge w:val="restart"/>
            <w:tcBorders>
              <w:top w:val="single" w:sz="4" w:space="0" w:color="auto"/>
            </w:tcBorders>
          </w:tcPr>
          <w:p w14:paraId="1F27ECFE" w14:textId="0A0BE681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1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00 pg/mL</w:t>
            </w:r>
          </w:p>
        </w:tc>
        <w:tc>
          <w:tcPr>
            <w:tcW w:w="980" w:type="dxa"/>
            <w:tcBorders>
              <w:top w:val="single" w:sz="4" w:space="0" w:color="auto"/>
              <w:bottom w:val="nil"/>
            </w:tcBorders>
            <w:vAlign w:val="center"/>
          </w:tcPr>
          <w:p w14:paraId="59BB9F98" w14:textId="3776CD79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N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LR</w:t>
            </w:r>
          </w:p>
        </w:tc>
        <w:tc>
          <w:tcPr>
            <w:tcW w:w="1297" w:type="dxa"/>
            <w:tcBorders>
              <w:top w:val="single" w:sz="4" w:space="0" w:color="auto"/>
              <w:bottom w:val="nil"/>
            </w:tcBorders>
            <w:vAlign w:val="center"/>
          </w:tcPr>
          <w:p w14:paraId="0DE66376" w14:textId="63B56655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Unadjusted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A826628" w14:textId="7CE093B8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 (Ref.)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795E086" w14:textId="4E8FFF24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1.94 (1.49–2.54)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D36646" w14:textId="053BE751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3.09 (2.40–3.97)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8074CFD" w14:textId="6625BCBB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7.52 (5.94–9.51)</w:t>
            </w:r>
          </w:p>
        </w:tc>
        <w:tc>
          <w:tcPr>
            <w:tcW w:w="1041" w:type="dxa"/>
            <w:tcBorders>
              <w:top w:val="single" w:sz="4" w:space="0" w:color="auto"/>
              <w:bottom w:val="nil"/>
            </w:tcBorders>
            <w:vAlign w:val="center"/>
          </w:tcPr>
          <w:p w14:paraId="7B2183A3" w14:textId="50C63583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&lt;0.001</w:t>
            </w:r>
          </w:p>
        </w:tc>
      </w:tr>
      <w:tr w:rsidR="00AE3E41" w:rsidRPr="00AE3E41" w14:paraId="7C64B35F" w14:textId="77777777" w:rsidTr="00037243">
        <w:trPr>
          <w:jc w:val="center"/>
        </w:trPr>
        <w:tc>
          <w:tcPr>
            <w:tcW w:w="984" w:type="dxa"/>
            <w:vMerge/>
            <w:vAlign w:val="center"/>
          </w:tcPr>
          <w:p w14:paraId="034320ED" w14:textId="77777777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vAlign w:val="center"/>
          </w:tcPr>
          <w:p w14:paraId="4152E942" w14:textId="77777777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1297" w:type="dxa"/>
            <w:tcBorders>
              <w:top w:val="nil"/>
              <w:bottom w:val="single" w:sz="4" w:space="0" w:color="auto"/>
            </w:tcBorders>
            <w:vAlign w:val="center"/>
          </w:tcPr>
          <w:p w14:paraId="24CB558F" w14:textId="4123C0BE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Adjusted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9E0B7E" w14:textId="5EFFCBCA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 (Ref.)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2BB19E" w14:textId="1639DF20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1.96 (1.50–2.57)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49FA3A" w14:textId="453180D4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3.09 (2.40–3.98)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11586A" w14:textId="17281352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7.53 (5.95–9.54)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  <w:vAlign w:val="center"/>
          </w:tcPr>
          <w:p w14:paraId="6979B013" w14:textId="7779DD25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&lt;0.001</w:t>
            </w:r>
          </w:p>
        </w:tc>
      </w:tr>
      <w:tr w:rsidR="00AE3E41" w:rsidRPr="00AE3E41" w14:paraId="26A38D7D" w14:textId="77777777" w:rsidTr="00037243">
        <w:trPr>
          <w:jc w:val="center"/>
        </w:trPr>
        <w:tc>
          <w:tcPr>
            <w:tcW w:w="984" w:type="dxa"/>
            <w:vMerge/>
            <w:vAlign w:val="center"/>
          </w:tcPr>
          <w:p w14:paraId="53E42EFB" w14:textId="77777777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nil"/>
            </w:tcBorders>
            <w:vAlign w:val="center"/>
          </w:tcPr>
          <w:p w14:paraId="73EB3DCE" w14:textId="13A60827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P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LR</w:t>
            </w:r>
          </w:p>
        </w:tc>
        <w:tc>
          <w:tcPr>
            <w:tcW w:w="1297" w:type="dxa"/>
            <w:tcBorders>
              <w:top w:val="single" w:sz="4" w:space="0" w:color="auto"/>
              <w:bottom w:val="nil"/>
            </w:tcBorders>
            <w:vAlign w:val="center"/>
          </w:tcPr>
          <w:p w14:paraId="22AEF3E2" w14:textId="63936C73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Unadjusted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CCEFC3F" w14:textId="62C9A4EE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 (Ref.)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BAFB9E2" w14:textId="6CC9215D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1.44 (1.15–1.80)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F7AC108" w14:textId="7B11E3FE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1.89 (1.52–2.34)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34C3701" w14:textId="7864872C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3.85 (3.15–4.70)</w:t>
            </w:r>
          </w:p>
        </w:tc>
        <w:tc>
          <w:tcPr>
            <w:tcW w:w="1041" w:type="dxa"/>
            <w:tcBorders>
              <w:top w:val="single" w:sz="4" w:space="0" w:color="auto"/>
              <w:bottom w:val="nil"/>
            </w:tcBorders>
            <w:vAlign w:val="center"/>
          </w:tcPr>
          <w:p w14:paraId="7DE71F2A" w14:textId="43A2A596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&lt;0.001</w:t>
            </w:r>
          </w:p>
        </w:tc>
      </w:tr>
      <w:tr w:rsidR="00AE3E41" w:rsidRPr="00AE3E41" w14:paraId="0B30ACA3" w14:textId="77777777" w:rsidTr="00037243">
        <w:trPr>
          <w:jc w:val="center"/>
        </w:trPr>
        <w:tc>
          <w:tcPr>
            <w:tcW w:w="984" w:type="dxa"/>
            <w:vMerge/>
            <w:vAlign w:val="center"/>
          </w:tcPr>
          <w:p w14:paraId="6A926894" w14:textId="77777777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vAlign w:val="center"/>
          </w:tcPr>
          <w:p w14:paraId="0DC2E27D" w14:textId="77777777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1297" w:type="dxa"/>
            <w:tcBorders>
              <w:top w:val="nil"/>
              <w:bottom w:val="single" w:sz="4" w:space="0" w:color="auto"/>
            </w:tcBorders>
            <w:vAlign w:val="center"/>
          </w:tcPr>
          <w:p w14:paraId="08779E65" w14:textId="29B45F08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Adjusted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43904" w14:textId="51B7360C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 (Ref.)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0C54B9" w14:textId="7CA139EE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1.46 (1.16–1.84)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1B2A3B" w14:textId="50385BEB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1.95 (1.56–2.43)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2FD7FF" w14:textId="1D2B14F9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4.01 (3.26–4.93)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  <w:vAlign w:val="center"/>
          </w:tcPr>
          <w:p w14:paraId="547E452D" w14:textId="18D05CB1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&lt;0.001</w:t>
            </w:r>
          </w:p>
        </w:tc>
      </w:tr>
      <w:tr w:rsidR="00AE3E41" w:rsidRPr="00AE3E41" w14:paraId="3778229A" w14:textId="77777777" w:rsidTr="00037243">
        <w:trPr>
          <w:jc w:val="center"/>
        </w:trPr>
        <w:tc>
          <w:tcPr>
            <w:tcW w:w="984" w:type="dxa"/>
            <w:vMerge/>
            <w:vAlign w:val="center"/>
          </w:tcPr>
          <w:p w14:paraId="0C2DCDE0" w14:textId="77777777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nil"/>
            </w:tcBorders>
            <w:vAlign w:val="center"/>
          </w:tcPr>
          <w:p w14:paraId="543FC74A" w14:textId="07AE74ED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M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LR</w:t>
            </w:r>
          </w:p>
        </w:tc>
        <w:tc>
          <w:tcPr>
            <w:tcW w:w="1297" w:type="dxa"/>
            <w:tcBorders>
              <w:top w:val="single" w:sz="4" w:space="0" w:color="auto"/>
              <w:bottom w:val="nil"/>
            </w:tcBorders>
            <w:vAlign w:val="center"/>
          </w:tcPr>
          <w:p w14:paraId="2DCD5593" w14:textId="4AC8525B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Unadjusted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58AD43" w14:textId="220DD659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 (Ref.)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9FBBA69" w14:textId="07E4E2AC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1.26 (1.03–1.54)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92B042A" w14:textId="72D8A381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1.31 (1.07–1.60)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4BBE0A" w14:textId="7C058B33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2.10 (1.74–2.52)</w:t>
            </w:r>
          </w:p>
        </w:tc>
        <w:tc>
          <w:tcPr>
            <w:tcW w:w="1041" w:type="dxa"/>
            <w:tcBorders>
              <w:top w:val="single" w:sz="4" w:space="0" w:color="auto"/>
              <w:bottom w:val="nil"/>
            </w:tcBorders>
            <w:vAlign w:val="center"/>
          </w:tcPr>
          <w:p w14:paraId="1EC64600" w14:textId="7BBA2B5E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&lt;0.001</w:t>
            </w:r>
          </w:p>
        </w:tc>
      </w:tr>
      <w:tr w:rsidR="00AE3E41" w:rsidRPr="00AE3E41" w14:paraId="67F3095C" w14:textId="77777777" w:rsidTr="00037243">
        <w:trPr>
          <w:jc w:val="center"/>
        </w:trPr>
        <w:tc>
          <w:tcPr>
            <w:tcW w:w="984" w:type="dxa"/>
            <w:vMerge/>
            <w:vAlign w:val="center"/>
          </w:tcPr>
          <w:p w14:paraId="61D22CCD" w14:textId="77777777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vAlign w:val="center"/>
          </w:tcPr>
          <w:p w14:paraId="570DA936" w14:textId="77777777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1297" w:type="dxa"/>
            <w:tcBorders>
              <w:top w:val="nil"/>
              <w:bottom w:val="single" w:sz="4" w:space="0" w:color="auto"/>
            </w:tcBorders>
            <w:vAlign w:val="center"/>
          </w:tcPr>
          <w:p w14:paraId="4221564E" w14:textId="020C57FC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Adjusted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F8D870" w14:textId="301EC17E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 (Ref.)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93FBF5" w14:textId="26F1BA7E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1.33 (1.08–1.62)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35B37A" w14:textId="228C44B3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1.42 (1.16–1.73)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33487A" w14:textId="7A344118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2.32 (1.92–2.80)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  <w:vAlign w:val="center"/>
          </w:tcPr>
          <w:p w14:paraId="79706581" w14:textId="41B22D28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&lt;0.001</w:t>
            </w:r>
          </w:p>
        </w:tc>
      </w:tr>
      <w:tr w:rsidR="00AE3E41" w:rsidRPr="00AE3E41" w14:paraId="70C06301" w14:textId="77777777" w:rsidTr="00037243">
        <w:trPr>
          <w:jc w:val="center"/>
        </w:trPr>
        <w:tc>
          <w:tcPr>
            <w:tcW w:w="984" w:type="dxa"/>
            <w:vMerge/>
            <w:vAlign w:val="center"/>
          </w:tcPr>
          <w:p w14:paraId="3C6297AA" w14:textId="77777777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nil"/>
            </w:tcBorders>
            <w:vAlign w:val="center"/>
          </w:tcPr>
          <w:p w14:paraId="2D613232" w14:textId="2E9819BE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S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IRI</w:t>
            </w:r>
          </w:p>
        </w:tc>
        <w:tc>
          <w:tcPr>
            <w:tcW w:w="1297" w:type="dxa"/>
            <w:tcBorders>
              <w:top w:val="single" w:sz="4" w:space="0" w:color="auto"/>
              <w:bottom w:val="nil"/>
            </w:tcBorders>
            <w:vAlign w:val="center"/>
          </w:tcPr>
          <w:p w14:paraId="04CF6F0D" w14:textId="1C205489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Unadjusted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E3F2C2" w14:textId="32C93999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 (Ref.)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7E4B652" w14:textId="6CB3809D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1.29 (1.02–1.64)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334A51" w14:textId="3D5A05AA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2.03 (1.63–2.53)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B70028" w14:textId="419823B3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4.48 (3.66–5.49)</w:t>
            </w:r>
          </w:p>
        </w:tc>
        <w:tc>
          <w:tcPr>
            <w:tcW w:w="1041" w:type="dxa"/>
            <w:tcBorders>
              <w:top w:val="single" w:sz="4" w:space="0" w:color="auto"/>
              <w:bottom w:val="nil"/>
            </w:tcBorders>
            <w:vAlign w:val="center"/>
          </w:tcPr>
          <w:p w14:paraId="458DECC0" w14:textId="049E54CF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&lt;0.001</w:t>
            </w:r>
          </w:p>
        </w:tc>
      </w:tr>
      <w:tr w:rsidR="00AE3E41" w:rsidRPr="00AE3E41" w14:paraId="5A42F170" w14:textId="77777777" w:rsidTr="00037243">
        <w:trPr>
          <w:jc w:val="center"/>
        </w:trPr>
        <w:tc>
          <w:tcPr>
            <w:tcW w:w="984" w:type="dxa"/>
            <w:vMerge/>
            <w:vAlign w:val="center"/>
          </w:tcPr>
          <w:p w14:paraId="19274D5D" w14:textId="77777777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vAlign w:val="center"/>
          </w:tcPr>
          <w:p w14:paraId="13CF9BBD" w14:textId="77777777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1297" w:type="dxa"/>
            <w:tcBorders>
              <w:top w:val="nil"/>
              <w:bottom w:val="single" w:sz="4" w:space="0" w:color="auto"/>
            </w:tcBorders>
            <w:vAlign w:val="center"/>
          </w:tcPr>
          <w:p w14:paraId="1E9668EB" w14:textId="1F57D354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Adjusted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43CF40" w14:textId="49284751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 (Ref.)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726F7D" w14:textId="2944B828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1.37 (1.08–1.74)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2BF2D1" w14:textId="4C59A62E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2.26 (1.80–2.82)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0EFEAF" w14:textId="26490FC6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5.18 (4.20–6.38)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  <w:vAlign w:val="center"/>
          </w:tcPr>
          <w:p w14:paraId="7F4D79B4" w14:textId="5BEEE955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&lt;0.001</w:t>
            </w:r>
          </w:p>
        </w:tc>
      </w:tr>
      <w:tr w:rsidR="00AE3E41" w:rsidRPr="00AE3E41" w14:paraId="52E5CA4E" w14:textId="77777777" w:rsidTr="00037243">
        <w:trPr>
          <w:jc w:val="center"/>
        </w:trPr>
        <w:tc>
          <w:tcPr>
            <w:tcW w:w="984" w:type="dxa"/>
            <w:vMerge/>
            <w:vAlign w:val="center"/>
          </w:tcPr>
          <w:p w14:paraId="4D932DD9" w14:textId="77777777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nil"/>
            </w:tcBorders>
            <w:vAlign w:val="center"/>
          </w:tcPr>
          <w:p w14:paraId="2252B653" w14:textId="548EEDF9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S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II</w:t>
            </w:r>
          </w:p>
        </w:tc>
        <w:tc>
          <w:tcPr>
            <w:tcW w:w="1297" w:type="dxa"/>
            <w:tcBorders>
              <w:top w:val="single" w:sz="4" w:space="0" w:color="auto"/>
              <w:bottom w:val="nil"/>
            </w:tcBorders>
            <w:vAlign w:val="center"/>
          </w:tcPr>
          <w:p w14:paraId="5A29557C" w14:textId="0A4C48EB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Unadjusted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EC14CE3" w14:textId="78008C0C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 (Ref.)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8AF8E4F" w14:textId="73BF799D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1.81 (1.37–2.39)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1F351A0" w14:textId="28D42966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3.11 (2.40–4.02)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E8F5AAA" w14:textId="5A08D8DC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8.69 (6.84–11.05)</w:t>
            </w:r>
          </w:p>
        </w:tc>
        <w:tc>
          <w:tcPr>
            <w:tcW w:w="1041" w:type="dxa"/>
            <w:tcBorders>
              <w:top w:val="single" w:sz="4" w:space="0" w:color="auto"/>
              <w:bottom w:val="nil"/>
            </w:tcBorders>
            <w:vAlign w:val="center"/>
          </w:tcPr>
          <w:p w14:paraId="6C96090B" w14:textId="3D832CF7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&lt;0.001</w:t>
            </w:r>
          </w:p>
        </w:tc>
      </w:tr>
      <w:tr w:rsidR="00AE3E41" w:rsidRPr="00AE3E41" w14:paraId="3BCF0EA5" w14:textId="77777777" w:rsidTr="00037243">
        <w:trPr>
          <w:jc w:val="center"/>
        </w:trPr>
        <w:tc>
          <w:tcPr>
            <w:tcW w:w="984" w:type="dxa"/>
            <w:vMerge/>
            <w:tcBorders>
              <w:bottom w:val="single" w:sz="4" w:space="0" w:color="auto"/>
            </w:tcBorders>
            <w:vAlign w:val="center"/>
          </w:tcPr>
          <w:p w14:paraId="47F93871" w14:textId="77777777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vAlign w:val="center"/>
          </w:tcPr>
          <w:p w14:paraId="3EF71C8B" w14:textId="77777777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1297" w:type="dxa"/>
            <w:tcBorders>
              <w:top w:val="nil"/>
              <w:bottom w:val="single" w:sz="4" w:space="0" w:color="auto"/>
            </w:tcBorders>
            <w:vAlign w:val="center"/>
          </w:tcPr>
          <w:p w14:paraId="290EE401" w14:textId="1171A36A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Adjusted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4DB63B" w14:textId="48098F29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 (Ref.)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54D44B" w14:textId="13A979D8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1.86 (1.41–2.46)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61196F" w14:textId="6E44F89B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3.17 (2.45–4.11)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19AF81" w14:textId="20744EDC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8.93 (7.01–11.38)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  <w:vAlign w:val="center"/>
          </w:tcPr>
          <w:p w14:paraId="006EF58F" w14:textId="6C60CF4D" w:rsidR="00037243" w:rsidRPr="00AE3E41" w:rsidRDefault="00037243" w:rsidP="0003724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&lt;0.001</w:t>
            </w:r>
          </w:p>
        </w:tc>
      </w:tr>
    </w:tbl>
    <w:p w14:paraId="390D9950" w14:textId="77777777" w:rsidR="007D10C4" w:rsidRPr="00AE3E41" w:rsidRDefault="007D10C4" w:rsidP="007D10C4">
      <w:pPr>
        <w:widowControl/>
        <w:wordWrap/>
        <w:autoSpaceDE/>
        <w:autoSpaceDN/>
        <w:spacing w:after="0" w:line="240" w:lineRule="auto"/>
        <w:rPr>
          <w:rFonts w:ascii="Times New Roman" w:eastAsia="Malgun Gothic" w:hAnsi="Times New Roman" w:cs="Times New Roman"/>
          <w:kern w:val="0"/>
          <w:sz w:val="22"/>
        </w:rPr>
      </w:pPr>
      <w:r w:rsidRPr="00AE3E41">
        <w:rPr>
          <w:rFonts w:ascii="Times New Roman" w:eastAsia="Malgun Gothic" w:hAnsi="Times New Roman" w:cs="Times New Roman"/>
          <w:kern w:val="0"/>
          <w:sz w:val="22"/>
        </w:rPr>
        <w:t>Adjusted for age, sex,</w:t>
      </w:r>
      <w:r w:rsidRPr="00AE3E41">
        <w:rPr>
          <w:rFonts w:ascii="Times New Roman" w:eastAsia="Malgun Gothic" w:hAnsi="Times New Roman" w:cs="Times New Roman" w:hint="eastAsia"/>
          <w:kern w:val="0"/>
          <w:sz w:val="22"/>
        </w:rPr>
        <w:t xml:space="preserve"> BMI, </w:t>
      </w:r>
      <w:r w:rsidRPr="00AE3E41">
        <w:rPr>
          <w:rFonts w:ascii="Times New Roman" w:eastAsia="Malgun Gothic" w:hAnsi="Times New Roman" w:cs="Times New Roman"/>
          <w:kern w:val="0"/>
          <w:sz w:val="22"/>
        </w:rPr>
        <w:t>smoking status, drinking status, regular exercise, hypertension, and diabetes mellitus.</w:t>
      </w:r>
    </w:p>
    <w:p w14:paraId="59BF586B" w14:textId="77777777" w:rsidR="007D10C4" w:rsidRPr="00AE3E41" w:rsidRDefault="007D10C4" w:rsidP="007D10C4">
      <w:pPr>
        <w:widowControl/>
        <w:wordWrap/>
        <w:autoSpaceDE/>
        <w:autoSpaceDN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en-US"/>
        </w:rPr>
      </w:pPr>
      <w:r w:rsidRPr="00AE3E41">
        <w:rPr>
          <w:rFonts w:ascii="Times New Roman" w:eastAsia="Malgun Gothic" w:hAnsi="Times New Roman" w:cs="Times New Roman"/>
          <w:kern w:val="0"/>
          <w:sz w:val="22"/>
        </w:rPr>
        <w:t>Abbreviations: MLR, monocyte-to-lymphocyte ratio; NLR, neutrophil-to-lymphocyte ratio; PLR, platelet-to-lymphocyte ratio; SII, systemic immune-inflammation index; SIRI, systemic inflammation response index</w:t>
      </w:r>
    </w:p>
    <w:p w14:paraId="28222D58" w14:textId="021103E0" w:rsidR="007B4B33" w:rsidRPr="00AE3E41" w:rsidRDefault="007B4B33" w:rsidP="007B4B33">
      <w:pPr>
        <w:widowControl/>
        <w:wordWrap/>
        <w:autoSpaceDE/>
        <w:autoSpaceDN/>
        <w:spacing w:after="0" w:line="480" w:lineRule="auto"/>
        <w:rPr>
          <w:rFonts w:ascii="Times New Roman" w:eastAsia="Times New Roman" w:hAnsi="Times New Roman" w:cs="Times New Roman"/>
          <w:kern w:val="0"/>
          <w:sz w:val="22"/>
          <w:lang w:eastAsia="en-US"/>
        </w:rPr>
      </w:pPr>
      <w:r w:rsidRPr="00AE3E41">
        <w:rPr>
          <w:rFonts w:ascii="Times New Roman" w:eastAsia="Malgun Gothic" w:hAnsi="Times New Roman" w:cs="Times New Roman" w:hint="eastAsia"/>
          <w:b/>
          <w:kern w:val="0"/>
          <w:sz w:val="22"/>
        </w:rPr>
        <w:lastRenderedPageBreak/>
        <w:t>Table</w:t>
      </w:r>
      <w:r w:rsidRPr="00AE3E41">
        <w:rPr>
          <w:rFonts w:ascii="Times New Roman" w:eastAsia="Malgun Gothic" w:hAnsi="Times New Roman" w:cs="Times New Roman"/>
          <w:b/>
          <w:kern w:val="0"/>
          <w:sz w:val="22"/>
        </w:rPr>
        <w:t xml:space="preserve"> S</w:t>
      </w:r>
      <w:r w:rsidR="006F41C4" w:rsidRPr="00AE3E41">
        <w:rPr>
          <w:rFonts w:ascii="Times New Roman" w:eastAsia="Malgun Gothic" w:hAnsi="Times New Roman" w:cs="Times New Roman"/>
          <w:b/>
          <w:kern w:val="0"/>
          <w:sz w:val="22"/>
        </w:rPr>
        <w:t>2</w:t>
      </w:r>
      <w:r w:rsidRPr="00AE3E41">
        <w:rPr>
          <w:rFonts w:ascii="Times New Roman" w:eastAsia="Malgun Gothic" w:hAnsi="Times New Roman" w:cs="Times New Roman" w:hint="eastAsia"/>
          <w:kern w:val="0"/>
          <w:sz w:val="22"/>
        </w:rPr>
        <w:t xml:space="preserve"> </w:t>
      </w:r>
      <w:r w:rsidRPr="00AE3E41">
        <w:rPr>
          <w:rFonts w:ascii="Times New Roman" w:eastAsia="Malgun Gothic" w:hAnsi="Times New Roman" w:cs="Times New Roman"/>
          <w:kern w:val="0"/>
          <w:sz w:val="22"/>
        </w:rPr>
        <w:t>Pairwise comparison of AUROCs among CBC-derived inflammatory markers for low NKA</w:t>
      </w:r>
    </w:p>
    <w:tbl>
      <w:tblPr>
        <w:tblStyle w:val="1"/>
        <w:tblW w:w="893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  <w:gridCol w:w="2977"/>
      </w:tblGrid>
      <w:tr w:rsidR="00AE3E41" w:rsidRPr="00AE3E41" w14:paraId="20C84EAA" w14:textId="77777777" w:rsidTr="00E2126B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2325E89" w14:textId="6958B3D9" w:rsidR="007B4B33" w:rsidRPr="00AE3E41" w:rsidRDefault="007B4B33" w:rsidP="007B4B3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AE3E41">
              <w:rPr>
                <w:rFonts w:ascii="Times New Roman" w:hAnsi="Times New Roman" w:cs="Times New Roman" w:hint="eastAsia"/>
                <w:sz w:val="22"/>
              </w:rPr>
              <w:t>C</w:t>
            </w:r>
            <w:r w:rsidRPr="00AE3E41">
              <w:rPr>
                <w:rFonts w:ascii="Times New Roman" w:hAnsi="Times New Roman" w:cs="Times New Roman"/>
                <w:sz w:val="22"/>
              </w:rPr>
              <w:t>omparison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161983F" w14:textId="1664F1BD" w:rsidR="007B4B33" w:rsidRPr="00AE3E41" w:rsidRDefault="007B4B33" w:rsidP="007B4B3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A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UROC difference (</w:t>
            </w:r>
            <w:r w:rsidR="00E2126B" w:rsidRPr="00AE3E41">
              <w:rPr>
                <w:rFonts w:ascii="Times New Roman" w:eastAsia="Malgun Gothic" w:hAnsi="Times New Roman" w:cs="Times New Roman"/>
                <w:sz w:val="22"/>
              </w:rPr>
              <w:t>∆)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81A60A2" w14:textId="41F7BF8F" w:rsidR="007B4B33" w:rsidRPr="00AE3E41" w:rsidRDefault="007B4B33" w:rsidP="007B4B3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AE3E41">
              <w:rPr>
                <w:rFonts w:ascii="Times New Roman" w:hAnsi="Times New Roman" w:cs="Times New Roman" w:hint="eastAsia"/>
                <w:i/>
                <w:iCs/>
                <w:sz w:val="22"/>
              </w:rPr>
              <w:t>p</w:t>
            </w:r>
            <w:r w:rsidRPr="00AE3E41">
              <w:rPr>
                <w:rFonts w:ascii="Times New Roman" w:hAnsi="Times New Roman" w:cs="Times New Roman"/>
                <w:sz w:val="22"/>
              </w:rPr>
              <w:t>-value</w:t>
            </w:r>
          </w:p>
        </w:tc>
      </w:tr>
      <w:tr w:rsidR="00AE3E41" w:rsidRPr="00AE3E41" w14:paraId="609AD485" w14:textId="77777777" w:rsidTr="00E2126B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3F7E8CF9" w14:textId="5143AC11" w:rsidR="007B4B33" w:rsidRPr="00AE3E41" w:rsidRDefault="007B4B3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S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II vs NLR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74F315A7" w14:textId="710E1479" w:rsidR="007B4B33" w:rsidRPr="00AE3E41" w:rsidRDefault="007B4B3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0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.022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2C92A8C5" w14:textId="048D3979" w:rsidR="007B4B33" w:rsidRPr="00AE3E41" w:rsidRDefault="00E2126B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&lt;0.0001</w:t>
            </w:r>
          </w:p>
        </w:tc>
      </w:tr>
      <w:tr w:rsidR="00AE3E41" w:rsidRPr="00AE3E41" w14:paraId="6A169F14" w14:textId="77777777" w:rsidTr="00E2126B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</w:tcPr>
          <w:p w14:paraId="2ED7E748" w14:textId="39149BFD" w:rsidR="007B4B33" w:rsidRPr="00AE3E41" w:rsidRDefault="007B4B3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S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II vs SIRI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BD07D64" w14:textId="52BA13B4" w:rsidR="007B4B33" w:rsidRPr="00AE3E41" w:rsidRDefault="007B4B3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0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.051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8671CB2" w14:textId="38E28710" w:rsidR="007B4B33" w:rsidRPr="00AE3E41" w:rsidRDefault="00E2126B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&lt;0.0001</w:t>
            </w:r>
          </w:p>
        </w:tc>
      </w:tr>
      <w:tr w:rsidR="00AE3E41" w:rsidRPr="00AE3E41" w14:paraId="41C31A47" w14:textId="77777777" w:rsidTr="00E2126B">
        <w:trPr>
          <w:jc w:val="center"/>
        </w:trPr>
        <w:tc>
          <w:tcPr>
            <w:tcW w:w="2977" w:type="dxa"/>
            <w:tcBorders>
              <w:top w:val="nil"/>
            </w:tcBorders>
          </w:tcPr>
          <w:p w14:paraId="00E1B1EA" w14:textId="44EC3C64" w:rsidR="007B4B33" w:rsidRPr="00AE3E41" w:rsidRDefault="007B4B3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S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II vs PLR</w:t>
            </w:r>
          </w:p>
        </w:tc>
        <w:tc>
          <w:tcPr>
            <w:tcW w:w="2977" w:type="dxa"/>
            <w:tcBorders>
              <w:top w:val="nil"/>
            </w:tcBorders>
          </w:tcPr>
          <w:p w14:paraId="6D7303D8" w14:textId="4046D1CE" w:rsidR="007B4B33" w:rsidRPr="00AE3E41" w:rsidRDefault="007B4B3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0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.072</w:t>
            </w:r>
          </w:p>
        </w:tc>
        <w:tc>
          <w:tcPr>
            <w:tcW w:w="2977" w:type="dxa"/>
            <w:tcBorders>
              <w:top w:val="nil"/>
            </w:tcBorders>
          </w:tcPr>
          <w:p w14:paraId="70676B41" w14:textId="65643BD0" w:rsidR="007B4B33" w:rsidRPr="00AE3E41" w:rsidRDefault="00E2126B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&lt;0.0001</w:t>
            </w:r>
          </w:p>
        </w:tc>
      </w:tr>
      <w:tr w:rsidR="00AE3E41" w:rsidRPr="00AE3E41" w14:paraId="61625440" w14:textId="77777777" w:rsidTr="00E2126B">
        <w:trPr>
          <w:jc w:val="center"/>
        </w:trPr>
        <w:tc>
          <w:tcPr>
            <w:tcW w:w="2977" w:type="dxa"/>
          </w:tcPr>
          <w:p w14:paraId="74D3EECE" w14:textId="040222DA" w:rsidR="007B4B33" w:rsidRPr="00AE3E41" w:rsidRDefault="007B4B3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S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II vs MLR</w:t>
            </w:r>
          </w:p>
        </w:tc>
        <w:tc>
          <w:tcPr>
            <w:tcW w:w="2977" w:type="dxa"/>
          </w:tcPr>
          <w:p w14:paraId="017D4CF3" w14:textId="5D88A23D" w:rsidR="007B4B33" w:rsidRPr="00AE3E41" w:rsidRDefault="007B4B3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0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.123</w:t>
            </w:r>
          </w:p>
        </w:tc>
        <w:tc>
          <w:tcPr>
            <w:tcW w:w="2977" w:type="dxa"/>
          </w:tcPr>
          <w:p w14:paraId="3EFDC059" w14:textId="515793F2" w:rsidR="007B4B33" w:rsidRPr="00AE3E41" w:rsidRDefault="00E2126B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&lt;0.0001</w:t>
            </w:r>
          </w:p>
        </w:tc>
      </w:tr>
      <w:tr w:rsidR="00AE3E41" w:rsidRPr="00AE3E41" w14:paraId="2D147E29" w14:textId="77777777" w:rsidTr="00E2126B">
        <w:trPr>
          <w:jc w:val="center"/>
        </w:trPr>
        <w:tc>
          <w:tcPr>
            <w:tcW w:w="2977" w:type="dxa"/>
          </w:tcPr>
          <w:p w14:paraId="1447026E" w14:textId="5888C21E" w:rsidR="007B4B33" w:rsidRPr="00AE3E41" w:rsidRDefault="007B4B3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N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LR vs SIRI</w:t>
            </w:r>
          </w:p>
        </w:tc>
        <w:tc>
          <w:tcPr>
            <w:tcW w:w="2977" w:type="dxa"/>
          </w:tcPr>
          <w:p w14:paraId="0334EE03" w14:textId="611BD67E" w:rsidR="007B4B33" w:rsidRPr="00AE3E41" w:rsidRDefault="00E2126B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0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.029</w:t>
            </w:r>
          </w:p>
        </w:tc>
        <w:tc>
          <w:tcPr>
            <w:tcW w:w="2977" w:type="dxa"/>
          </w:tcPr>
          <w:p w14:paraId="209B9779" w14:textId="27D38EA5" w:rsidR="007B4B33" w:rsidRPr="00AE3E41" w:rsidRDefault="00E2126B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&lt;0.0001</w:t>
            </w:r>
          </w:p>
        </w:tc>
      </w:tr>
      <w:tr w:rsidR="00AE3E41" w:rsidRPr="00AE3E41" w14:paraId="6FFD11CE" w14:textId="77777777" w:rsidTr="00E2126B">
        <w:trPr>
          <w:jc w:val="center"/>
        </w:trPr>
        <w:tc>
          <w:tcPr>
            <w:tcW w:w="2977" w:type="dxa"/>
          </w:tcPr>
          <w:p w14:paraId="0638BCF2" w14:textId="01864707" w:rsidR="007B4B33" w:rsidRPr="00AE3E41" w:rsidRDefault="007B4B3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N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LR vs PLR</w:t>
            </w:r>
          </w:p>
        </w:tc>
        <w:tc>
          <w:tcPr>
            <w:tcW w:w="2977" w:type="dxa"/>
          </w:tcPr>
          <w:p w14:paraId="49B53F6B" w14:textId="622D0569" w:rsidR="007B4B33" w:rsidRPr="00AE3E41" w:rsidRDefault="00E2126B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0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.050</w:t>
            </w:r>
          </w:p>
        </w:tc>
        <w:tc>
          <w:tcPr>
            <w:tcW w:w="2977" w:type="dxa"/>
          </w:tcPr>
          <w:p w14:paraId="494ECBDB" w14:textId="17E29D94" w:rsidR="007B4B33" w:rsidRPr="00AE3E41" w:rsidRDefault="00E2126B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&lt;0.0001</w:t>
            </w:r>
          </w:p>
        </w:tc>
      </w:tr>
      <w:tr w:rsidR="00AE3E41" w:rsidRPr="00AE3E41" w14:paraId="4261DA58" w14:textId="77777777" w:rsidTr="00E2126B">
        <w:trPr>
          <w:jc w:val="center"/>
        </w:trPr>
        <w:tc>
          <w:tcPr>
            <w:tcW w:w="2977" w:type="dxa"/>
          </w:tcPr>
          <w:p w14:paraId="5AA0F8DB" w14:textId="13B95E66" w:rsidR="007B4B33" w:rsidRPr="00AE3E41" w:rsidRDefault="007B4B3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N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LR vs MLR</w:t>
            </w:r>
          </w:p>
        </w:tc>
        <w:tc>
          <w:tcPr>
            <w:tcW w:w="2977" w:type="dxa"/>
          </w:tcPr>
          <w:p w14:paraId="6C77CE7C" w14:textId="2898770E" w:rsidR="007B4B33" w:rsidRPr="00AE3E41" w:rsidRDefault="00E2126B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0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.101</w:t>
            </w:r>
          </w:p>
        </w:tc>
        <w:tc>
          <w:tcPr>
            <w:tcW w:w="2977" w:type="dxa"/>
          </w:tcPr>
          <w:p w14:paraId="4B395E96" w14:textId="6BC3F1A8" w:rsidR="007B4B33" w:rsidRPr="00AE3E41" w:rsidRDefault="00E2126B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&lt;0.0001</w:t>
            </w:r>
          </w:p>
        </w:tc>
      </w:tr>
      <w:tr w:rsidR="00AE3E41" w:rsidRPr="00AE3E41" w14:paraId="788B118F" w14:textId="77777777" w:rsidTr="00E2126B">
        <w:trPr>
          <w:jc w:val="center"/>
        </w:trPr>
        <w:tc>
          <w:tcPr>
            <w:tcW w:w="2977" w:type="dxa"/>
          </w:tcPr>
          <w:p w14:paraId="47287CE7" w14:textId="16100DE1" w:rsidR="007B4B33" w:rsidRPr="00AE3E41" w:rsidRDefault="007B4B3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S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IRI vs PLR</w:t>
            </w:r>
          </w:p>
        </w:tc>
        <w:tc>
          <w:tcPr>
            <w:tcW w:w="2977" w:type="dxa"/>
          </w:tcPr>
          <w:p w14:paraId="774C7D63" w14:textId="58A88C9B" w:rsidR="007B4B33" w:rsidRPr="00AE3E41" w:rsidRDefault="00E2126B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0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.021</w:t>
            </w:r>
          </w:p>
        </w:tc>
        <w:tc>
          <w:tcPr>
            <w:tcW w:w="2977" w:type="dxa"/>
          </w:tcPr>
          <w:p w14:paraId="4C732624" w14:textId="3FA122C2" w:rsidR="007B4B33" w:rsidRPr="00AE3E41" w:rsidRDefault="00E2126B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/>
                <w:sz w:val="22"/>
              </w:rPr>
              <w:t>0.0050</w:t>
            </w:r>
          </w:p>
        </w:tc>
      </w:tr>
      <w:tr w:rsidR="00AE3E41" w:rsidRPr="00AE3E41" w14:paraId="2D78824F" w14:textId="77777777" w:rsidTr="00E2126B">
        <w:trPr>
          <w:jc w:val="center"/>
        </w:trPr>
        <w:tc>
          <w:tcPr>
            <w:tcW w:w="2977" w:type="dxa"/>
          </w:tcPr>
          <w:p w14:paraId="585A5A80" w14:textId="19B5FC7A" w:rsidR="007B4B33" w:rsidRPr="00AE3E41" w:rsidRDefault="007B4B3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S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IRI vs MLR</w:t>
            </w:r>
          </w:p>
        </w:tc>
        <w:tc>
          <w:tcPr>
            <w:tcW w:w="2977" w:type="dxa"/>
          </w:tcPr>
          <w:p w14:paraId="1D4ED70A" w14:textId="34E867A6" w:rsidR="007B4B33" w:rsidRPr="00AE3E41" w:rsidRDefault="00E2126B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0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.072</w:t>
            </w:r>
          </w:p>
        </w:tc>
        <w:tc>
          <w:tcPr>
            <w:tcW w:w="2977" w:type="dxa"/>
          </w:tcPr>
          <w:p w14:paraId="749C5BBE" w14:textId="1A246EF7" w:rsidR="007B4B33" w:rsidRPr="00AE3E41" w:rsidRDefault="00E2126B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&lt;0.0001</w:t>
            </w:r>
          </w:p>
        </w:tc>
      </w:tr>
      <w:tr w:rsidR="00AE3E41" w:rsidRPr="00AE3E41" w14:paraId="73C53D18" w14:textId="77777777" w:rsidTr="00E2126B">
        <w:trPr>
          <w:jc w:val="center"/>
        </w:trPr>
        <w:tc>
          <w:tcPr>
            <w:tcW w:w="2977" w:type="dxa"/>
          </w:tcPr>
          <w:p w14:paraId="3D330F84" w14:textId="2A3C4B4B" w:rsidR="007B4B33" w:rsidRPr="00AE3E41" w:rsidRDefault="007B4B33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P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LR vs MLR</w:t>
            </w:r>
          </w:p>
        </w:tc>
        <w:tc>
          <w:tcPr>
            <w:tcW w:w="2977" w:type="dxa"/>
          </w:tcPr>
          <w:p w14:paraId="6AE710E5" w14:textId="06C5A5CF" w:rsidR="007B4B33" w:rsidRPr="00AE3E41" w:rsidRDefault="00E2126B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0</w:t>
            </w:r>
            <w:r w:rsidRPr="00AE3E41">
              <w:rPr>
                <w:rFonts w:ascii="Times New Roman" w:eastAsia="Malgun Gothic" w:hAnsi="Times New Roman" w:cs="Times New Roman"/>
                <w:sz w:val="22"/>
              </w:rPr>
              <w:t>.051</w:t>
            </w:r>
          </w:p>
        </w:tc>
        <w:tc>
          <w:tcPr>
            <w:tcW w:w="2977" w:type="dxa"/>
          </w:tcPr>
          <w:p w14:paraId="3D800825" w14:textId="445CAED5" w:rsidR="007B4B33" w:rsidRPr="00AE3E41" w:rsidRDefault="00E2126B" w:rsidP="000038C5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E41">
              <w:rPr>
                <w:rFonts w:ascii="Times New Roman" w:eastAsia="Malgun Gothic" w:hAnsi="Times New Roman" w:cs="Times New Roman" w:hint="eastAsia"/>
                <w:sz w:val="22"/>
              </w:rPr>
              <w:t>&lt;0.0001</w:t>
            </w:r>
          </w:p>
        </w:tc>
      </w:tr>
    </w:tbl>
    <w:p w14:paraId="08A27BFE" w14:textId="07A0AF9A" w:rsidR="007B4B33" w:rsidRPr="00AE3E41" w:rsidRDefault="007B4B33" w:rsidP="007B4B33">
      <w:pPr>
        <w:widowControl/>
        <w:wordWrap/>
        <w:autoSpaceDE/>
        <w:autoSpaceDN/>
        <w:spacing w:after="0" w:line="240" w:lineRule="auto"/>
        <w:rPr>
          <w:rFonts w:ascii="Times New Roman" w:eastAsia="Malgun Gothic" w:hAnsi="Times New Roman" w:cs="Times New Roman"/>
          <w:kern w:val="0"/>
          <w:sz w:val="22"/>
        </w:rPr>
      </w:pPr>
      <w:r w:rsidRPr="00AE3E41">
        <w:rPr>
          <w:rFonts w:ascii="Times New Roman" w:eastAsia="Malgun Gothic" w:hAnsi="Times New Roman" w:cs="Times New Roman"/>
          <w:kern w:val="0"/>
          <w:sz w:val="22"/>
          <w:vertAlign w:val="superscript"/>
        </w:rPr>
        <w:t>*</w:t>
      </w:r>
      <w:r w:rsidRPr="00AE3E41">
        <w:rPr>
          <w:rFonts w:ascii="Times New Roman" w:eastAsia="Malgun Gothic" w:hAnsi="Times New Roman" w:cs="Times New Roman"/>
          <w:i/>
          <w:iCs/>
          <w:kern w:val="0"/>
          <w:sz w:val="22"/>
        </w:rPr>
        <w:t>p</w:t>
      </w:r>
      <w:r w:rsidRPr="00AE3E41">
        <w:rPr>
          <w:rFonts w:ascii="Times New Roman" w:eastAsia="Malgun Gothic" w:hAnsi="Times New Roman" w:cs="Times New Roman"/>
          <w:kern w:val="0"/>
          <w:sz w:val="22"/>
        </w:rPr>
        <w:t>-values were obtained using the DeLong test for correlated ROC curves.</w:t>
      </w:r>
    </w:p>
    <w:p w14:paraId="3F023584" w14:textId="265A59FE" w:rsidR="007B4B33" w:rsidRPr="00AE3E41" w:rsidRDefault="007B4B33" w:rsidP="007B4B33">
      <w:pPr>
        <w:widowControl/>
        <w:wordWrap/>
        <w:autoSpaceDE/>
        <w:autoSpaceDN/>
        <w:spacing w:after="0" w:line="240" w:lineRule="auto"/>
        <w:rPr>
          <w:rFonts w:ascii="Times New Roman" w:eastAsia="Malgun Gothic" w:hAnsi="Times New Roman" w:cs="Times New Roman"/>
          <w:kern w:val="0"/>
          <w:sz w:val="22"/>
        </w:rPr>
      </w:pPr>
      <w:r w:rsidRPr="00AE3E41">
        <w:rPr>
          <w:rFonts w:ascii="Times New Roman" w:eastAsia="Malgun Gothic" w:hAnsi="Times New Roman" w:cs="Times New Roman"/>
          <w:kern w:val="0"/>
          <w:sz w:val="22"/>
        </w:rPr>
        <w:t>Abbreviations: MLR, monocyte-to-lymphocyte ratio; NLR, neutrophil-to-lymphocyte ratio; PLR, platelet-to-lymphocyte ratio; SII, systemic immune-inflammation index; SIRI, systemic inflammation response index</w:t>
      </w:r>
    </w:p>
    <w:sectPr w:rsidR="007B4B33" w:rsidRPr="00AE3E41" w:rsidSect="00990FBF">
      <w:footerReference w:type="even" r:id="rId6"/>
      <w:footerReference w:type="default" r:id="rId7"/>
      <w:footerReference w:type="firs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81DC1" w14:textId="77777777" w:rsidR="00516516" w:rsidRDefault="00516516">
      <w:pPr>
        <w:spacing w:after="0" w:line="240" w:lineRule="auto"/>
      </w:pPr>
      <w:r>
        <w:separator/>
      </w:r>
    </w:p>
  </w:endnote>
  <w:endnote w:type="continuationSeparator" w:id="0">
    <w:p w14:paraId="079C7F30" w14:textId="77777777" w:rsidR="00516516" w:rsidRDefault="0051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5D22" w14:textId="7C22A067" w:rsidR="00AE3E41" w:rsidRDefault="00AE3E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708222" wp14:editId="154B57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35280"/>
              <wp:effectExtent l="0" t="0" r="18415" b="0"/>
              <wp:wrapNone/>
              <wp:docPr id="93994722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3F4719" w14:textId="52976A4A" w:rsidR="00AE3E41" w:rsidRPr="00AE3E41" w:rsidRDefault="00AE3E41" w:rsidP="00AE3E4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E3E4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082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C3F4719" w14:textId="52976A4A" w:rsidR="00AE3E41" w:rsidRPr="00AE3E41" w:rsidRDefault="00AE3E41" w:rsidP="00AE3E4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E3E4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19DD6" w14:textId="037408AA" w:rsidR="00000000" w:rsidRDefault="00AE3E41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7D2353" wp14:editId="7C7DFE85">
              <wp:simplePos x="914400" y="93821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35280"/>
              <wp:effectExtent l="0" t="0" r="18415" b="0"/>
              <wp:wrapNone/>
              <wp:docPr id="126177474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46BF8" w14:textId="429ED1ED" w:rsidR="00AE3E41" w:rsidRPr="00AE3E41" w:rsidRDefault="00AE3E41" w:rsidP="00AE3E4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E3E4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D23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6B46BF8" w14:textId="429ED1ED" w:rsidR="00AE3E41" w:rsidRPr="00AE3E41" w:rsidRDefault="00AE3E41" w:rsidP="00AE3E4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E3E4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892936917"/>
        <w:docPartObj>
          <w:docPartGallery w:val="Page Numbers (Bottom of Page)"/>
          <w:docPartUnique/>
        </w:docPartObj>
      </w:sdtPr>
      <w:sdtContent>
        <w:r w:rsidR="0081446F">
          <w:fldChar w:fldCharType="begin"/>
        </w:r>
        <w:r w:rsidR="0081446F">
          <w:instrText>PAGE   \* MERGEFORMAT</w:instrText>
        </w:r>
        <w:r w:rsidR="0081446F">
          <w:fldChar w:fldCharType="separate"/>
        </w:r>
        <w:r w:rsidR="0081446F" w:rsidRPr="00597CF9">
          <w:rPr>
            <w:noProof/>
            <w:lang w:val="ko-KR"/>
          </w:rPr>
          <w:t>12</w:t>
        </w:r>
        <w:r w:rsidR="0081446F">
          <w:fldChar w:fldCharType="end"/>
        </w:r>
      </w:sdtContent>
    </w:sdt>
  </w:p>
  <w:p w14:paraId="0DB121C4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9711" w14:textId="7B828153" w:rsidR="00AE3E41" w:rsidRDefault="00AE3E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A84CC1" wp14:editId="66FFCAB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35280"/>
              <wp:effectExtent l="0" t="0" r="18415" b="0"/>
              <wp:wrapNone/>
              <wp:docPr id="115023920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ABEA5" w14:textId="6800A83D" w:rsidR="00AE3E41" w:rsidRPr="00AE3E41" w:rsidRDefault="00AE3E41" w:rsidP="00AE3E4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E3E4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84C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67CABEA5" w14:textId="6800A83D" w:rsidR="00AE3E41" w:rsidRPr="00AE3E41" w:rsidRDefault="00AE3E41" w:rsidP="00AE3E4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E3E4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19313" w14:textId="77777777" w:rsidR="00516516" w:rsidRDefault="00516516">
      <w:pPr>
        <w:spacing w:after="0" w:line="240" w:lineRule="auto"/>
      </w:pPr>
      <w:r>
        <w:separator/>
      </w:r>
    </w:p>
  </w:footnote>
  <w:footnote w:type="continuationSeparator" w:id="0">
    <w:p w14:paraId="79C73D70" w14:textId="77777777" w:rsidR="00516516" w:rsidRDefault="00516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50"/>
    <w:rsid w:val="00037243"/>
    <w:rsid w:val="00516516"/>
    <w:rsid w:val="00607EEE"/>
    <w:rsid w:val="006B01EA"/>
    <w:rsid w:val="006F41C4"/>
    <w:rsid w:val="007B4B33"/>
    <w:rsid w:val="007D10C4"/>
    <w:rsid w:val="0081446F"/>
    <w:rsid w:val="00854051"/>
    <w:rsid w:val="00886383"/>
    <w:rsid w:val="009046EF"/>
    <w:rsid w:val="00A25550"/>
    <w:rsid w:val="00A735CE"/>
    <w:rsid w:val="00AE3E41"/>
    <w:rsid w:val="00B1566B"/>
    <w:rsid w:val="00CB51C3"/>
    <w:rsid w:val="00E2126B"/>
    <w:rsid w:val="00E64EB8"/>
    <w:rsid w:val="00E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A7B21"/>
  <w15:chartTrackingRefBased/>
  <w15:docId w15:val="{9D759B33-1F9A-476F-B2A0-76619CA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50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2555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25550"/>
  </w:style>
  <w:style w:type="table" w:customStyle="1" w:styleId="1">
    <w:name w:val="표 구분선1"/>
    <w:basedOn w:val="TableNormal"/>
    <w:next w:val="TableGrid"/>
    <w:uiPriority w:val="39"/>
    <w:rsid w:val="00A25550"/>
    <w:pPr>
      <w:spacing w:after="0" w:line="240" w:lineRule="auto"/>
    </w:pPr>
    <w:rPr>
      <w:rFonts w:ascii="Calibri" w:hAnsi="Calibri" w:cs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25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10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0C4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A-Ra Cho</dc:creator>
  <cp:keywords/>
  <dc:description/>
  <cp:lastModifiedBy>Nicholson, Tamara</cp:lastModifiedBy>
  <cp:revision>18</cp:revision>
  <dcterms:created xsi:type="dcterms:W3CDTF">2025-12-30T16:41:00Z</dcterms:created>
  <dcterms:modified xsi:type="dcterms:W3CDTF">2026-01-09T01:24:00Z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a03ed327-599e-4404-ac47-4bc07902e17f</vt:lpwstr>
  </property>
  <property fmtid="{D5CDD505-2E9C-101B-9397-08002B2CF9AE}" pid="3" name="ClassificationContentMarkingFooterShapeIds">
    <vt:lpwstr>448f41e2,380674d7,4b352797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2026-01-09T01:24:45Z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221f2828-d980-4ebf-878b-fdfacf7db132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