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9F2765F" w14:textId="06190ED6" w:rsidR="00A5128F" w:rsidRPr="00B1131E" w:rsidRDefault="00B1131E" w:rsidP="00B1131E">
      <w:pPr>
        <w:spacing w:line="480" w:lineRule="auto"/>
        <w:jc w:val="center"/>
        <w:rPr>
          <w:rFonts w:ascii="Times New Roman" w:hAnsi="Times New Roman" w:cs="Times New Roman"/>
          <w:sz w:val="28"/>
          <w:szCs w:val="28"/>
        </w:rPr>
      </w:pPr>
      <w:r w:rsidRPr="005C257A">
        <w:rPr>
          <w:rFonts w:ascii="Times New Roman" w:hAnsi="Times New Roman" w:cs="Times New Roman"/>
          <w:b/>
          <w:bCs/>
          <w:sz w:val="28"/>
          <w:szCs w:val="28"/>
        </w:rPr>
        <w:t>Supplementary Material</w:t>
      </w:r>
    </w:p>
    <w:p w14:paraId="75B3EE21" w14:textId="77777777" w:rsidR="00FB399D" w:rsidRDefault="008E5E8A" w:rsidP="008774A0">
      <w:pPr>
        <w:jc w:val="center"/>
        <w:rPr>
          <w:rFonts w:ascii="Times New Roman" w:hAnsi="Times New Roman" w:cs="Times New Roman"/>
          <w:sz w:val="24"/>
          <w:szCs w:val="24"/>
        </w:rPr>
      </w:pPr>
      <w:r>
        <w:rPr>
          <w:noProof/>
        </w:rPr>
        <w:drawing>
          <wp:inline distT="0" distB="0" distL="0" distR="0" wp14:anchorId="684499B9" wp14:editId="3B5B46AE">
            <wp:extent cx="5271347" cy="7215423"/>
            <wp:effectExtent l="0" t="0" r="5715" b="5080"/>
            <wp:docPr id="3762578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257820" name="图片 1"/>
                    <pic:cNvPicPr>
                      <a:picLocks noChangeAspect="1" noChangeArrowheads="1"/>
                    </pic:cNvPicPr>
                  </pic:nvPicPr>
                  <pic:blipFill>
                    <a:blip r:embed="rId6"/>
                    <a:stretch>
                      <a:fillRect/>
                    </a:stretch>
                  </pic:blipFill>
                  <pic:spPr bwMode="auto">
                    <a:xfrm>
                      <a:off x="0" y="0"/>
                      <a:ext cx="5271347" cy="7215423"/>
                    </a:xfrm>
                    <a:prstGeom prst="rect">
                      <a:avLst/>
                    </a:prstGeom>
                    <a:noFill/>
                    <a:ln>
                      <a:noFill/>
                    </a:ln>
                  </pic:spPr>
                </pic:pic>
              </a:graphicData>
            </a:graphic>
          </wp:inline>
        </w:drawing>
      </w:r>
    </w:p>
    <w:p w14:paraId="12C35D1B" w14:textId="77777777" w:rsidR="00FB399D" w:rsidRPr="00E54CAB" w:rsidRDefault="00000000" w:rsidP="008774A0">
      <w:pPr>
        <w:rPr>
          <w:rFonts w:hint="eastAsia"/>
          <w:b/>
          <w:bCs/>
        </w:rPr>
      </w:pPr>
      <w:r>
        <w:rPr>
          <w:rFonts w:ascii="Times New Roman" w:hAnsi="Times New Roman" w:cs="Times New Roman" w:hint="eastAsia"/>
          <w:b/>
          <w:bCs/>
          <w:sz w:val="24"/>
          <w:szCs w:val="24"/>
        </w:rPr>
        <w:t>F</w:t>
      </w:r>
      <w:r>
        <w:rPr>
          <w:rFonts w:ascii="Times New Roman" w:hAnsi="Times New Roman" w:cs="Times New Roman"/>
          <w:b/>
          <w:bCs/>
          <w:sz w:val="24"/>
          <w:szCs w:val="24"/>
        </w:rPr>
        <w:t>i</w:t>
      </w:r>
      <w:r w:rsidRPr="00E54CAB">
        <w:rPr>
          <w:rFonts w:ascii="Times New Roman" w:hAnsi="Times New Roman" w:cs="Times New Roman"/>
          <w:b/>
          <w:bCs/>
          <w:sz w:val="24"/>
          <w:szCs w:val="24"/>
        </w:rPr>
        <w:t>g</w:t>
      </w:r>
      <w:r w:rsidR="00CE1306">
        <w:rPr>
          <w:rFonts w:ascii="Times New Roman" w:hAnsi="Times New Roman" w:cs="Times New Roman" w:hint="eastAsia"/>
          <w:b/>
          <w:bCs/>
          <w:sz w:val="24"/>
          <w:szCs w:val="24"/>
        </w:rPr>
        <w:t>.</w:t>
      </w:r>
      <w:r w:rsidR="00E54CAB">
        <w:rPr>
          <w:rFonts w:ascii="Times New Roman" w:hAnsi="Times New Roman" w:cs="Times New Roman" w:hint="eastAsia"/>
          <w:b/>
          <w:bCs/>
          <w:sz w:val="24"/>
          <w:szCs w:val="24"/>
        </w:rPr>
        <w:t xml:space="preserve"> </w:t>
      </w:r>
      <w:r w:rsidRPr="00E54CAB">
        <w:rPr>
          <w:rFonts w:ascii="Times New Roman" w:hAnsi="Times New Roman" w:cs="Times New Roman"/>
          <w:b/>
          <w:bCs/>
          <w:sz w:val="24"/>
          <w:szCs w:val="24"/>
        </w:rPr>
        <w:t xml:space="preserve">S1. </w:t>
      </w:r>
      <w:r w:rsidR="00E54CAB" w:rsidRPr="00E54CAB">
        <w:rPr>
          <w:rFonts w:ascii="Times New Roman" w:hAnsi="Times New Roman" w:cs="Times New Roman"/>
          <w:sz w:val="24"/>
          <w:szCs w:val="24"/>
        </w:rPr>
        <w:t xml:space="preserve">Screening for interacting targets of RA and KCR. (A) PPI network of potential therapeutic targets for KCR. (B) </w:t>
      </w:r>
      <w:r w:rsidR="00E54CAB">
        <w:rPr>
          <w:rFonts w:ascii="Times New Roman" w:hAnsi="Times New Roman" w:cs="Times New Roman" w:hint="eastAsia"/>
          <w:sz w:val="24"/>
          <w:szCs w:val="24"/>
        </w:rPr>
        <w:t>77</w:t>
      </w:r>
      <w:r w:rsidR="00E54CAB" w:rsidRPr="00E54CAB">
        <w:rPr>
          <w:rFonts w:ascii="Times New Roman" w:hAnsi="Times New Roman" w:cs="Times New Roman"/>
          <w:sz w:val="24"/>
          <w:szCs w:val="24"/>
        </w:rPr>
        <w:t xml:space="preserve"> KCR core targets had higher than average BC, CC and Degree values. (C and D) </w:t>
      </w:r>
      <w:r w:rsidR="00E54CAB">
        <w:rPr>
          <w:rFonts w:ascii="Times New Roman" w:hAnsi="Times New Roman" w:cs="Times New Roman" w:hint="eastAsia"/>
          <w:sz w:val="24"/>
          <w:szCs w:val="24"/>
        </w:rPr>
        <w:t>325</w:t>
      </w:r>
      <w:r w:rsidR="00E54CAB" w:rsidRPr="00E54CAB">
        <w:rPr>
          <w:rFonts w:ascii="Times New Roman" w:hAnsi="Times New Roman" w:cs="Times New Roman"/>
          <w:sz w:val="24"/>
          <w:szCs w:val="24"/>
        </w:rPr>
        <w:t xml:space="preserve"> interacting targets between RA and KCR. (E) PPI network of RA and KCR. (F) PPI network of core targets of KCR for RA.</w:t>
      </w:r>
    </w:p>
    <w:p w14:paraId="6BD784AF" w14:textId="77777777" w:rsidR="00FB399D" w:rsidRDefault="008E5E8A" w:rsidP="008774A0">
      <w:pPr>
        <w:jc w:val="center"/>
        <w:rPr>
          <w:rFonts w:asciiTheme="majorBidi" w:hAnsiTheme="majorBidi" w:cstheme="majorBidi"/>
          <w:sz w:val="24"/>
          <w:szCs w:val="28"/>
        </w:rPr>
      </w:pPr>
      <w:r>
        <w:rPr>
          <w:noProof/>
        </w:rPr>
        <w:lastRenderedPageBreak/>
        <w:drawing>
          <wp:inline distT="0" distB="0" distL="0" distR="0" wp14:anchorId="2E34A38F" wp14:editId="0C4A9650">
            <wp:extent cx="5272631" cy="2830853"/>
            <wp:effectExtent l="0" t="0" r="4445" b="7620"/>
            <wp:docPr id="105270697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706971" name="图片 2"/>
                    <pic:cNvPicPr>
                      <a:picLocks noChangeAspect="1" noChangeArrowheads="1"/>
                    </pic:cNvPicPr>
                  </pic:nvPicPr>
                  <pic:blipFill>
                    <a:blip r:embed="rId7"/>
                    <a:stretch>
                      <a:fillRect/>
                    </a:stretch>
                  </pic:blipFill>
                  <pic:spPr bwMode="auto">
                    <a:xfrm>
                      <a:off x="0" y="0"/>
                      <a:ext cx="5272631" cy="2830853"/>
                    </a:xfrm>
                    <a:prstGeom prst="rect">
                      <a:avLst/>
                    </a:prstGeom>
                    <a:noFill/>
                    <a:ln>
                      <a:noFill/>
                    </a:ln>
                  </pic:spPr>
                </pic:pic>
              </a:graphicData>
            </a:graphic>
          </wp:inline>
        </w:drawing>
      </w:r>
    </w:p>
    <w:p w14:paraId="460A3066" w14:textId="77777777" w:rsidR="00FB399D" w:rsidRDefault="00000000" w:rsidP="008774A0">
      <w:pPr>
        <w:rPr>
          <w:rFonts w:ascii="Times New Roman" w:hAnsi="Times New Roman" w:cs="Times New Roman"/>
          <w:sz w:val="24"/>
          <w:szCs w:val="24"/>
        </w:rPr>
      </w:pPr>
      <w:r>
        <w:rPr>
          <w:rFonts w:ascii="Times New Roman" w:hAnsi="Times New Roman" w:cs="Times New Roman" w:hint="eastAsia"/>
          <w:b/>
          <w:bCs/>
          <w:sz w:val="24"/>
          <w:szCs w:val="24"/>
        </w:rPr>
        <w:t>F</w:t>
      </w:r>
      <w:r>
        <w:rPr>
          <w:rFonts w:ascii="Times New Roman" w:hAnsi="Times New Roman" w:cs="Times New Roman"/>
          <w:b/>
          <w:bCs/>
          <w:sz w:val="24"/>
          <w:szCs w:val="24"/>
        </w:rPr>
        <w:t>i</w:t>
      </w:r>
      <w:r w:rsidRPr="00E54CAB">
        <w:rPr>
          <w:rFonts w:ascii="Times New Roman" w:hAnsi="Times New Roman" w:cs="Times New Roman"/>
          <w:b/>
          <w:bCs/>
          <w:sz w:val="24"/>
          <w:szCs w:val="24"/>
        </w:rPr>
        <w:t>g</w:t>
      </w:r>
      <w:r w:rsidR="00CE1306">
        <w:rPr>
          <w:rFonts w:ascii="Times New Roman" w:hAnsi="Times New Roman" w:cs="Times New Roman" w:hint="eastAsia"/>
          <w:b/>
          <w:bCs/>
          <w:sz w:val="24"/>
          <w:szCs w:val="24"/>
        </w:rPr>
        <w:t>.</w:t>
      </w:r>
      <w:r w:rsidRPr="00E54CAB">
        <w:rPr>
          <w:rFonts w:ascii="Times New Roman" w:hAnsi="Times New Roman" w:cs="Times New Roman"/>
          <w:b/>
          <w:bCs/>
          <w:sz w:val="24"/>
          <w:szCs w:val="24"/>
        </w:rPr>
        <w:t xml:space="preserve"> S2. </w:t>
      </w:r>
      <w:r w:rsidR="00E54CAB" w:rsidRPr="00E54CAB">
        <w:rPr>
          <w:rFonts w:ascii="Times New Roman" w:hAnsi="Times New Roman" w:cs="Times New Roman"/>
          <w:sz w:val="24"/>
          <w:szCs w:val="24"/>
        </w:rPr>
        <w:t>KEGG and GO analysis of interacting targets of RA and KCR. (A) KEGG analysis of interacting targets of RA and KCR. (B, C and D) GO (BP, MF, and CC) analysis of interacting targets of RA and KCR.</w:t>
      </w:r>
    </w:p>
    <w:p w14:paraId="601D9D82" w14:textId="77777777" w:rsidR="007372ED" w:rsidRPr="007372ED" w:rsidRDefault="007372ED" w:rsidP="008774A0">
      <w:pPr>
        <w:jc w:val="center"/>
        <w:rPr>
          <w:rFonts w:ascii="Times New Roman" w:hAnsi="Times New Roman" w:cs="Times New Roman"/>
          <w:b/>
          <w:bCs/>
          <w:sz w:val="24"/>
          <w:szCs w:val="36"/>
        </w:rPr>
      </w:pPr>
      <w:r w:rsidRPr="007372ED">
        <w:rPr>
          <w:rFonts w:ascii="Times New Roman" w:hAnsi="Times New Roman" w:cs="Times New Roman"/>
          <w:noProof/>
          <w:sz w:val="24"/>
          <w:szCs w:val="28"/>
        </w:rPr>
        <w:drawing>
          <wp:inline distT="0" distB="0" distL="0" distR="0" wp14:anchorId="3B13D2A6" wp14:editId="1CC52C5D">
            <wp:extent cx="5272421" cy="2716756"/>
            <wp:effectExtent l="0" t="0" r="4445" b="7620"/>
            <wp:docPr id="155352343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523436" name="图片 2"/>
                    <pic:cNvPicPr>
                      <a:picLocks noChangeAspect="1" noChangeArrowheads="1"/>
                    </pic:cNvPicPr>
                  </pic:nvPicPr>
                  <pic:blipFill>
                    <a:blip r:embed="rId8"/>
                    <a:stretch>
                      <a:fillRect/>
                    </a:stretch>
                  </pic:blipFill>
                  <pic:spPr>
                    <a:xfrm>
                      <a:off x="0" y="0"/>
                      <a:ext cx="5272421" cy="2716756"/>
                    </a:xfrm>
                    <a:prstGeom prst="rect">
                      <a:avLst/>
                    </a:prstGeom>
                    <a:noFill/>
                    <a:ln>
                      <a:noFill/>
                    </a:ln>
                  </pic:spPr>
                </pic:pic>
              </a:graphicData>
            </a:graphic>
          </wp:inline>
        </w:drawing>
      </w:r>
    </w:p>
    <w:p w14:paraId="6B306807" w14:textId="110E70D3" w:rsidR="007372ED" w:rsidRPr="007372ED" w:rsidRDefault="007372ED" w:rsidP="008774A0">
      <w:pPr>
        <w:rPr>
          <w:rFonts w:ascii="Times New Roman" w:hAnsi="Times New Roman" w:cs="Times New Roman"/>
          <w:b/>
          <w:bCs/>
          <w:sz w:val="24"/>
          <w:szCs w:val="28"/>
        </w:rPr>
      </w:pPr>
      <w:r w:rsidRPr="007372ED">
        <w:rPr>
          <w:rFonts w:ascii="Times New Roman" w:hAnsi="Times New Roman" w:cs="Times New Roman"/>
          <w:b/>
          <w:bCs/>
          <w:sz w:val="24"/>
          <w:szCs w:val="28"/>
        </w:rPr>
        <w:t xml:space="preserve">Fig. </w:t>
      </w:r>
      <w:r w:rsidRPr="007372ED">
        <w:rPr>
          <w:rFonts w:ascii="Times New Roman" w:hAnsi="Times New Roman" w:cs="Times New Roman" w:hint="eastAsia"/>
          <w:b/>
          <w:bCs/>
          <w:sz w:val="24"/>
          <w:szCs w:val="28"/>
        </w:rPr>
        <w:t>S3</w:t>
      </w:r>
      <w:r w:rsidRPr="007372ED">
        <w:rPr>
          <w:rFonts w:ascii="Times New Roman" w:hAnsi="Times New Roman" w:cs="Times New Roman"/>
          <w:b/>
          <w:bCs/>
          <w:sz w:val="24"/>
          <w:szCs w:val="28"/>
        </w:rPr>
        <w:t>.</w:t>
      </w:r>
      <w:r w:rsidRPr="007372ED">
        <w:rPr>
          <w:rFonts w:ascii="Times New Roman" w:hAnsi="Times New Roman" w:cs="Times New Roman"/>
          <w:sz w:val="24"/>
          <w:szCs w:val="28"/>
        </w:rPr>
        <w:t xml:space="preserve"> </w:t>
      </w:r>
      <w:bookmarkStart w:id="0" w:name="_Hlk179397570"/>
      <w:r w:rsidRPr="007372ED">
        <w:rPr>
          <w:rFonts w:ascii="Times New Roman" w:hAnsi="Times New Roman" w:cs="Times New Roman"/>
          <w:sz w:val="24"/>
          <w:szCs w:val="28"/>
        </w:rPr>
        <w:t>KEGG and GO analysis of interacting targets of RA and the major compound of KCR. (A) KEGG analysis of interacting targets of RA and the major compound of KCR. (B, C and D) GO (BP, MF, and CC) analysis of interacting targets of RA and the major compound of KCR.</w:t>
      </w:r>
      <w:bookmarkEnd w:id="0"/>
    </w:p>
    <w:p w14:paraId="6A85A40C" w14:textId="77777777" w:rsidR="007372ED" w:rsidRPr="007372ED" w:rsidRDefault="007372ED" w:rsidP="008774A0">
      <w:pPr>
        <w:rPr>
          <w:rFonts w:ascii="Times New Roman" w:hAnsi="Times New Roman" w:cs="Times New Roman"/>
          <w:sz w:val="24"/>
          <w:szCs w:val="24"/>
        </w:rPr>
      </w:pPr>
    </w:p>
    <w:p w14:paraId="0724635E" w14:textId="77777777" w:rsidR="006364A2" w:rsidRDefault="006364A2" w:rsidP="008774A0">
      <w:pPr>
        <w:jc w:val="center"/>
        <w:rPr>
          <w:rFonts w:ascii="Times New Roman" w:hAnsi="Times New Roman" w:cs="Times New Roman"/>
          <w:sz w:val="24"/>
          <w:szCs w:val="24"/>
        </w:rPr>
      </w:pPr>
      <w:r>
        <w:rPr>
          <w:noProof/>
        </w:rPr>
        <w:lastRenderedPageBreak/>
        <w:drawing>
          <wp:inline distT="0" distB="0" distL="0" distR="0" wp14:anchorId="11662E07" wp14:editId="01466211">
            <wp:extent cx="5190379" cy="5064746"/>
            <wp:effectExtent l="0" t="0" r="0" b="3175"/>
            <wp:docPr id="11491940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194013" name="图片 1"/>
                    <pic:cNvPicPr>
                      <a:picLocks noChangeAspect="1" noChangeArrowheads="1"/>
                    </pic:cNvPicPr>
                  </pic:nvPicPr>
                  <pic:blipFill>
                    <a:blip r:embed="rId9"/>
                    <a:stretch>
                      <a:fillRect/>
                    </a:stretch>
                  </pic:blipFill>
                  <pic:spPr bwMode="auto">
                    <a:xfrm>
                      <a:off x="0" y="0"/>
                      <a:ext cx="5190379" cy="5064746"/>
                    </a:xfrm>
                    <a:prstGeom prst="rect">
                      <a:avLst/>
                    </a:prstGeom>
                    <a:noFill/>
                    <a:ln>
                      <a:noFill/>
                    </a:ln>
                  </pic:spPr>
                </pic:pic>
              </a:graphicData>
            </a:graphic>
          </wp:inline>
        </w:drawing>
      </w:r>
    </w:p>
    <w:p w14:paraId="1A04D190" w14:textId="7CCA9FB7" w:rsidR="006364A2" w:rsidRPr="006364A2" w:rsidRDefault="006364A2" w:rsidP="008774A0">
      <w:pPr>
        <w:rPr>
          <w:rFonts w:ascii="Times New Roman" w:hAnsi="Times New Roman" w:cs="Times New Roman"/>
          <w:sz w:val="24"/>
          <w:szCs w:val="24"/>
        </w:rPr>
      </w:pPr>
      <w:r w:rsidRPr="006364A2">
        <w:rPr>
          <w:rFonts w:ascii="Times New Roman" w:hAnsi="Times New Roman" w:cs="Times New Roman"/>
          <w:b/>
          <w:bCs/>
          <w:sz w:val="24"/>
          <w:szCs w:val="24"/>
        </w:rPr>
        <w:t>Fig</w:t>
      </w:r>
      <w:r w:rsidR="00CE1306">
        <w:rPr>
          <w:rFonts w:ascii="Times New Roman" w:hAnsi="Times New Roman" w:cs="Times New Roman" w:hint="eastAsia"/>
          <w:b/>
          <w:bCs/>
          <w:sz w:val="24"/>
          <w:szCs w:val="24"/>
        </w:rPr>
        <w:t>.</w:t>
      </w:r>
      <w:r w:rsidRPr="006364A2">
        <w:rPr>
          <w:rFonts w:ascii="Times New Roman" w:hAnsi="Times New Roman" w:cs="Times New Roman"/>
          <w:b/>
          <w:bCs/>
          <w:sz w:val="24"/>
          <w:szCs w:val="24"/>
        </w:rPr>
        <w:t xml:space="preserve"> </w:t>
      </w:r>
      <w:r>
        <w:rPr>
          <w:rFonts w:ascii="Times New Roman" w:hAnsi="Times New Roman" w:cs="Times New Roman" w:hint="eastAsia"/>
          <w:b/>
          <w:bCs/>
          <w:sz w:val="24"/>
          <w:szCs w:val="24"/>
        </w:rPr>
        <w:t>S</w:t>
      </w:r>
      <w:r w:rsidR="00795E02">
        <w:rPr>
          <w:rFonts w:ascii="Times New Roman" w:hAnsi="Times New Roman" w:cs="Times New Roman" w:hint="eastAsia"/>
          <w:b/>
          <w:bCs/>
          <w:sz w:val="24"/>
          <w:szCs w:val="24"/>
        </w:rPr>
        <w:t>4</w:t>
      </w:r>
      <w:r w:rsidRPr="006364A2">
        <w:rPr>
          <w:rFonts w:ascii="Times New Roman" w:hAnsi="Times New Roman" w:cs="Times New Roman"/>
          <w:b/>
          <w:bCs/>
          <w:sz w:val="24"/>
          <w:szCs w:val="24"/>
        </w:rPr>
        <w:t>.</w:t>
      </w:r>
      <w:r w:rsidRPr="006364A2">
        <w:rPr>
          <w:rFonts w:ascii="Times New Roman" w:hAnsi="Times New Roman" w:cs="Times New Roman"/>
          <w:sz w:val="24"/>
          <w:szCs w:val="24"/>
        </w:rPr>
        <w:t xml:space="preserve"> </w:t>
      </w:r>
      <w:bookmarkStart w:id="1" w:name="OLE_LINK29"/>
      <w:r w:rsidR="008D0F28" w:rsidRPr="008D0F28">
        <w:rPr>
          <w:rFonts w:ascii="Times New Roman" w:hAnsi="Times New Roman" w:cs="Times New Roman" w:hint="eastAsia"/>
          <w:sz w:val="24"/>
          <w:szCs w:val="24"/>
        </w:rPr>
        <w:t>The effects of KCR on physiological indices in AIA rats</w:t>
      </w:r>
      <w:r w:rsidRPr="006364A2">
        <w:rPr>
          <w:rFonts w:ascii="Times New Roman" w:hAnsi="Times New Roman" w:cs="Times New Roman"/>
          <w:sz w:val="24"/>
          <w:szCs w:val="24"/>
        </w:rPr>
        <w:t xml:space="preserve">. (A) ALT, γ-GT, LDH, TG, and UREA of AIA rats in each group. (B) WBC, </w:t>
      </w:r>
      <w:proofErr w:type="gramStart"/>
      <w:r w:rsidRPr="006364A2">
        <w:rPr>
          <w:rFonts w:ascii="Times New Roman" w:hAnsi="Times New Roman" w:cs="Times New Roman"/>
          <w:sz w:val="24"/>
          <w:szCs w:val="24"/>
        </w:rPr>
        <w:t>Neu#,</w:t>
      </w:r>
      <w:proofErr w:type="gramEnd"/>
      <w:r w:rsidRPr="006364A2">
        <w:rPr>
          <w:rFonts w:ascii="Times New Roman" w:hAnsi="Times New Roman" w:cs="Times New Roman"/>
          <w:sz w:val="24"/>
          <w:szCs w:val="24"/>
        </w:rPr>
        <w:t xml:space="preserve"> PLT, HGB, MCH, RBC, MCV, and HCT of rats in each group. </w:t>
      </w:r>
      <w:bookmarkEnd w:id="1"/>
      <w:r w:rsidR="00D6287E" w:rsidRPr="00D6287E">
        <w:rPr>
          <w:rFonts w:ascii="Times New Roman" w:hAnsi="Times New Roman" w:cs="Times New Roman" w:hint="eastAsia"/>
          <w:sz w:val="24"/>
          <w:szCs w:val="24"/>
        </w:rPr>
        <w:t>(</w:t>
      </w:r>
      <w:r w:rsidR="00D6287E">
        <w:rPr>
          <w:rFonts w:ascii="Times New Roman" w:hAnsi="Times New Roman" w:cs="Times New Roman" w:hint="eastAsia"/>
          <w:sz w:val="24"/>
          <w:szCs w:val="24"/>
        </w:rPr>
        <w:t>C-E</w:t>
      </w:r>
      <w:r w:rsidR="00D6287E" w:rsidRPr="00D6287E">
        <w:rPr>
          <w:rFonts w:ascii="Times New Roman" w:hAnsi="Times New Roman" w:cs="Times New Roman" w:hint="eastAsia"/>
          <w:sz w:val="24"/>
          <w:szCs w:val="24"/>
        </w:rPr>
        <w:t>) The liver index, spleen index, and thymus index of rats in each group.</w:t>
      </w:r>
      <w:r w:rsidR="00AF104A" w:rsidRPr="00AF104A">
        <w:rPr>
          <w:rFonts w:hint="eastAsia"/>
        </w:rPr>
        <w:t xml:space="preserve"> </w:t>
      </w:r>
      <w:r w:rsidR="00AF104A" w:rsidRPr="00AF104A">
        <w:rPr>
          <w:rFonts w:ascii="Times New Roman" w:hAnsi="Times New Roman" w:cs="Times New Roman" w:hint="eastAsia"/>
          <w:sz w:val="24"/>
          <w:szCs w:val="24"/>
        </w:rPr>
        <w:t xml:space="preserve">* </w:t>
      </w:r>
      <w:r w:rsidR="00AF104A" w:rsidRPr="00AF104A">
        <w:rPr>
          <w:rFonts w:ascii="Times New Roman" w:hAnsi="Times New Roman" w:cs="Times New Roman" w:hint="eastAsia"/>
          <w:i/>
          <w:iCs/>
          <w:sz w:val="24"/>
          <w:szCs w:val="24"/>
        </w:rPr>
        <w:t>p</w:t>
      </w:r>
      <w:r w:rsidR="00AF104A" w:rsidRPr="00AF104A">
        <w:rPr>
          <w:rFonts w:ascii="Times New Roman" w:hAnsi="Times New Roman" w:cs="Times New Roman" w:hint="eastAsia"/>
          <w:sz w:val="24"/>
          <w:szCs w:val="24"/>
        </w:rPr>
        <w:t xml:space="preserve"> &lt; 0.05, ** </w:t>
      </w:r>
      <w:r w:rsidR="00AF104A" w:rsidRPr="00AF104A">
        <w:rPr>
          <w:rFonts w:ascii="Times New Roman" w:hAnsi="Times New Roman" w:cs="Times New Roman" w:hint="eastAsia"/>
          <w:i/>
          <w:iCs/>
          <w:sz w:val="24"/>
          <w:szCs w:val="24"/>
        </w:rPr>
        <w:t>p</w:t>
      </w:r>
      <w:r w:rsidR="00AF104A" w:rsidRPr="00AF104A">
        <w:rPr>
          <w:rFonts w:ascii="Times New Roman" w:hAnsi="Times New Roman" w:cs="Times New Roman" w:hint="eastAsia"/>
          <w:sz w:val="24"/>
          <w:szCs w:val="24"/>
        </w:rPr>
        <w:t xml:space="preserve"> &lt; 0.01 vs. the Normal group</w:t>
      </w:r>
      <w:proofErr w:type="gramStart"/>
      <w:r w:rsidR="00AF104A" w:rsidRPr="00AF104A">
        <w:rPr>
          <w:rFonts w:ascii="Times New Roman" w:hAnsi="Times New Roman" w:cs="Times New Roman" w:hint="eastAsia"/>
          <w:sz w:val="24"/>
          <w:szCs w:val="24"/>
        </w:rPr>
        <w:t xml:space="preserve">, # </w:t>
      </w:r>
      <w:r w:rsidR="00AF104A" w:rsidRPr="00AF104A">
        <w:rPr>
          <w:rFonts w:ascii="Times New Roman" w:hAnsi="Times New Roman" w:cs="Times New Roman" w:hint="eastAsia"/>
          <w:i/>
          <w:iCs/>
          <w:sz w:val="24"/>
          <w:szCs w:val="24"/>
        </w:rPr>
        <w:t>p</w:t>
      </w:r>
      <w:proofErr w:type="gramEnd"/>
      <w:r w:rsidR="00AF104A" w:rsidRPr="00AF104A">
        <w:rPr>
          <w:rFonts w:ascii="Times New Roman" w:hAnsi="Times New Roman" w:cs="Times New Roman" w:hint="eastAsia"/>
          <w:sz w:val="24"/>
          <w:szCs w:val="24"/>
        </w:rPr>
        <w:t xml:space="preserve"> &lt; 0.05 vs. the Model group.</w:t>
      </w:r>
    </w:p>
    <w:p w14:paraId="45E82E92" w14:textId="77777777" w:rsidR="008E5728" w:rsidRPr="008E5728" w:rsidRDefault="008E5728" w:rsidP="008774A0">
      <w:pPr>
        <w:rPr>
          <w:rFonts w:ascii="Times New Roman" w:hAnsi="Times New Roman" w:cs="Times New Roman"/>
          <w:sz w:val="24"/>
          <w:szCs w:val="24"/>
        </w:rPr>
      </w:pPr>
      <w:bookmarkStart w:id="2" w:name="_Hlk182264991"/>
      <w:r>
        <w:rPr>
          <w:noProof/>
        </w:rPr>
        <w:drawing>
          <wp:inline distT="0" distB="0" distL="0" distR="0" wp14:anchorId="665A5CDD" wp14:editId="4813E86D">
            <wp:extent cx="5274305" cy="991521"/>
            <wp:effectExtent l="0" t="0" r="3175" b="0"/>
            <wp:docPr id="99217578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175785" name="图片 8"/>
                    <pic:cNvPicPr>
                      <a:picLocks noChangeAspect="1" noChangeArrowheads="1"/>
                    </pic:cNvPicPr>
                  </pic:nvPicPr>
                  <pic:blipFill>
                    <a:blip r:embed="rId10"/>
                    <a:stretch>
                      <a:fillRect/>
                    </a:stretch>
                  </pic:blipFill>
                  <pic:spPr bwMode="auto">
                    <a:xfrm>
                      <a:off x="0" y="0"/>
                      <a:ext cx="5274305" cy="991521"/>
                    </a:xfrm>
                    <a:prstGeom prst="rect">
                      <a:avLst/>
                    </a:prstGeom>
                    <a:noFill/>
                    <a:ln>
                      <a:noFill/>
                    </a:ln>
                  </pic:spPr>
                </pic:pic>
              </a:graphicData>
            </a:graphic>
          </wp:inline>
        </w:drawing>
      </w:r>
    </w:p>
    <w:p w14:paraId="774F65C9" w14:textId="77777777" w:rsidR="008E5728" w:rsidRPr="008E5728" w:rsidRDefault="008E5728" w:rsidP="008774A0">
      <w:pPr>
        <w:rPr>
          <w:rFonts w:ascii="Times New Roman" w:hAnsi="Times New Roman" w:cs="Times New Roman"/>
          <w:sz w:val="24"/>
          <w:szCs w:val="24"/>
        </w:rPr>
      </w:pPr>
      <w:r w:rsidRPr="008E5728">
        <w:rPr>
          <w:rFonts w:ascii="Times New Roman" w:hAnsi="Times New Roman" w:cs="Times New Roman" w:hint="eastAsia"/>
          <w:b/>
          <w:bCs/>
          <w:sz w:val="24"/>
          <w:szCs w:val="24"/>
        </w:rPr>
        <w:t>Fig. S5.</w:t>
      </w:r>
      <w:r w:rsidRPr="008E5728">
        <w:rPr>
          <w:rFonts w:ascii="Times New Roman" w:hAnsi="Times New Roman" w:cs="Times New Roman" w:hint="eastAsia"/>
          <w:sz w:val="24"/>
          <w:szCs w:val="24"/>
        </w:rPr>
        <w:t xml:space="preserve"> Taxonomic composition profiling of gut microbiota in AIA rats. (A and B) Taxonomic composition analysis of </w:t>
      </w:r>
      <w:proofErr w:type="gramStart"/>
      <w:r w:rsidRPr="008E5728">
        <w:rPr>
          <w:rFonts w:ascii="Times New Roman" w:hAnsi="Times New Roman" w:cs="Times New Roman" w:hint="eastAsia"/>
          <w:sz w:val="24"/>
          <w:szCs w:val="24"/>
        </w:rPr>
        <w:t>the gut</w:t>
      </w:r>
      <w:proofErr w:type="gramEnd"/>
      <w:r w:rsidRPr="008E5728">
        <w:rPr>
          <w:rFonts w:ascii="Times New Roman" w:hAnsi="Times New Roman" w:cs="Times New Roman" w:hint="eastAsia"/>
          <w:sz w:val="24"/>
          <w:szCs w:val="24"/>
        </w:rPr>
        <w:t xml:space="preserve"> microbiota at the phylum and genus levels. (C) Rarefaction curves for sequenced samples.</w:t>
      </w:r>
    </w:p>
    <w:p w14:paraId="3C00CC8D" w14:textId="77777777" w:rsidR="00CE1306" w:rsidRPr="00CE1306" w:rsidRDefault="00CE1306" w:rsidP="008774A0">
      <w:pPr>
        <w:rPr>
          <w:rFonts w:ascii="Times New Roman" w:hAnsi="Times New Roman" w:cs="Times New Roman"/>
          <w:b/>
          <w:bCs/>
          <w:sz w:val="24"/>
          <w:szCs w:val="24"/>
        </w:rPr>
      </w:pPr>
      <w:r w:rsidRPr="00CE1306">
        <w:rPr>
          <w:rFonts w:ascii="Times New Roman" w:hAnsi="Times New Roman" w:cs="Times New Roman"/>
          <w:noProof/>
          <w:sz w:val="24"/>
          <w:szCs w:val="24"/>
        </w:rPr>
        <w:lastRenderedPageBreak/>
        <w:drawing>
          <wp:inline distT="0" distB="0" distL="0" distR="0" wp14:anchorId="076F8EE6" wp14:editId="2CC9E9C0">
            <wp:extent cx="5271261" cy="3183888"/>
            <wp:effectExtent l="0" t="0" r="5715" b="0"/>
            <wp:docPr id="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7"/>
                    <pic:cNvPicPr>
                      <a:picLocks noChangeAspect="1"/>
                    </pic:cNvPicPr>
                  </pic:nvPicPr>
                  <pic:blipFill>
                    <a:blip r:embed="rId11"/>
                    <a:stretch>
                      <a:fillRect/>
                    </a:stretch>
                  </pic:blipFill>
                  <pic:spPr>
                    <a:xfrm>
                      <a:off x="0" y="0"/>
                      <a:ext cx="5271261" cy="3183888"/>
                    </a:xfrm>
                    <a:prstGeom prst="rect">
                      <a:avLst/>
                    </a:prstGeom>
                  </pic:spPr>
                </pic:pic>
              </a:graphicData>
            </a:graphic>
          </wp:inline>
        </w:drawing>
      </w:r>
      <w:r w:rsidRPr="00CE1306">
        <w:rPr>
          <w:rFonts w:ascii="Times New Roman" w:hAnsi="Times New Roman" w:cs="Times New Roman"/>
          <w:b/>
          <w:bCs/>
          <w:sz w:val="24"/>
          <w:szCs w:val="24"/>
        </w:rPr>
        <w:t>Fig</w:t>
      </w:r>
      <w:r>
        <w:rPr>
          <w:rFonts w:ascii="Times New Roman" w:hAnsi="Times New Roman" w:cs="Times New Roman" w:hint="eastAsia"/>
          <w:b/>
          <w:bCs/>
          <w:sz w:val="24"/>
          <w:szCs w:val="24"/>
        </w:rPr>
        <w:t>. S</w:t>
      </w:r>
      <w:r w:rsidR="008E5728">
        <w:rPr>
          <w:rFonts w:ascii="Times New Roman" w:hAnsi="Times New Roman" w:cs="Times New Roman" w:hint="eastAsia"/>
          <w:b/>
          <w:bCs/>
          <w:sz w:val="24"/>
          <w:szCs w:val="24"/>
        </w:rPr>
        <w:t>6</w:t>
      </w:r>
      <w:r w:rsidRPr="00CE1306">
        <w:rPr>
          <w:rFonts w:ascii="Times New Roman" w:hAnsi="Times New Roman" w:cs="Times New Roman"/>
          <w:b/>
          <w:bCs/>
          <w:sz w:val="24"/>
          <w:szCs w:val="24"/>
        </w:rPr>
        <w:t>.</w:t>
      </w:r>
      <w:r w:rsidRPr="00CE1306">
        <w:rPr>
          <w:rFonts w:ascii="Times New Roman" w:hAnsi="Times New Roman" w:cs="Times New Roman"/>
          <w:sz w:val="24"/>
          <w:szCs w:val="24"/>
        </w:rPr>
        <w:t xml:space="preserve"> Species variation and marker species analysis of gut microbiota in AIA rats. (A) Heat map of species composition of gut microbiota in AIA rats. (B) Random forest analysis of gut microbiota in AIA rats.</w:t>
      </w:r>
    </w:p>
    <w:bookmarkEnd w:id="2"/>
    <w:p w14:paraId="2F12650E" w14:textId="77777777" w:rsidR="00372033" w:rsidRDefault="00372033" w:rsidP="00372033">
      <w:pPr>
        <w:rPr>
          <w:rFonts w:ascii="Times New Roman" w:hAnsi="Times New Roman" w:cs="Times New Roman"/>
          <w:b/>
          <w:bCs/>
          <w:sz w:val="24"/>
          <w:szCs w:val="24"/>
        </w:rPr>
      </w:pPr>
    </w:p>
    <w:p w14:paraId="5348CE7C" w14:textId="0A65BFB7" w:rsidR="00372033" w:rsidRPr="00372033" w:rsidRDefault="00372033" w:rsidP="00372033">
      <w:pPr>
        <w:rPr>
          <w:rFonts w:ascii="Times New Roman" w:hAnsi="Times New Roman" w:cs="Times New Roman"/>
          <w:sz w:val="24"/>
          <w:szCs w:val="24"/>
        </w:rPr>
      </w:pPr>
    </w:p>
    <w:sectPr w:rsidR="00372033" w:rsidRPr="00372033">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7E4E46D" w14:textId="77777777" w:rsidR="000C272E" w:rsidRDefault="000C272E" w:rsidP="008E5E8A">
      <w:pPr>
        <w:rPr>
          <w:rFonts w:hint="eastAsia"/>
        </w:rPr>
      </w:pPr>
      <w:r>
        <w:separator/>
      </w:r>
    </w:p>
  </w:endnote>
  <w:endnote w:type="continuationSeparator" w:id="0">
    <w:p w14:paraId="5238CE54" w14:textId="77777777" w:rsidR="000C272E" w:rsidRDefault="000C272E" w:rsidP="008E5E8A">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dvOT56309c18.I">
    <w:altName w:val="Times New Roman"/>
    <w:charset w:val="00"/>
    <w:family w:val="roman"/>
    <w:pitch w:val="default"/>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9264042" w14:textId="77777777" w:rsidR="000C272E" w:rsidRDefault="000C272E" w:rsidP="008E5E8A">
      <w:pPr>
        <w:rPr>
          <w:rFonts w:hint="eastAsia"/>
        </w:rPr>
      </w:pPr>
      <w:r>
        <w:separator/>
      </w:r>
    </w:p>
  </w:footnote>
  <w:footnote w:type="continuationSeparator" w:id="0">
    <w:p w14:paraId="4E88AF50" w14:textId="77777777" w:rsidR="000C272E" w:rsidRDefault="000C272E" w:rsidP="008E5E8A">
      <w:pPr>
        <w:rPr>
          <w:rFonts w:hint="eastAsia"/>
        </w:rPr>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YjlkNzVlODU4NjRiNmZkMzA5NDgwZDhkNDMyYTNmYzYifQ=="/>
  </w:docVars>
  <w:rsids>
    <w:rsidRoot w:val="00F80EE2"/>
    <w:rsid w:val="00014FB8"/>
    <w:rsid w:val="00021E8F"/>
    <w:rsid w:val="0003576E"/>
    <w:rsid w:val="000505AD"/>
    <w:rsid w:val="00051D5A"/>
    <w:rsid w:val="00065E47"/>
    <w:rsid w:val="00074174"/>
    <w:rsid w:val="000C0642"/>
    <w:rsid w:val="000C272E"/>
    <w:rsid w:val="000C34A1"/>
    <w:rsid w:val="000C6969"/>
    <w:rsid w:val="000D40B3"/>
    <w:rsid w:val="000E5D1C"/>
    <w:rsid w:val="000F6852"/>
    <w:rsid w:val="00101DAA"/>
    <w:rsid w:val="00112A79"/>
    <w:rsid w:val="001172DF"/>
    <w:rsid w:val="0012604B"/>
    <w:rsid w:val="00133F9B"/>
    <w:rsid w:val="00167CB2"/>
    <w:rsid w:val="00173504"/>
    <w:rsid w:val="001869BC"/>
    <w:rsid w:val="00190228"/>
    <w:rsid w:val="00193E19"/>
    <w:rsid w:val="001B33F8"/>
    <w:rsid w:val="001B5CC6"/>
    <w:rsid w:val="001B7FB1"/>
    <w:rsid w:val="001C2FA9"/>
    <w:rsid w:val="001C4EB7"/>
    <w:rsid w:val="001D3521"/>
    <w:rsid w:val="001E4AF2"/>
    <w:rsid w:val="0020340F"/>
    <w:rsid w:val="002061EB"/>
    <w:rsid w:val="002514A4"/>
    <w:rsid w:val="00260E66"/>
    <w:rsid w:val="00262BD8"/>
    <w:rsid w:val="00264D85"/>
    <w:rsid w:val="002676CD"/>
    <w:rsid w:val="002A26EC"/>
    <w:rsid w:val="002A66DD"/>
    <w:rsid w:val="00301A4F"/>
    <w:rsid w:val="00306D16"/>
    <w:rsid w:val="00323B63"/>
    <w:rsid w:val="00342CB9"/>
    <w:rsid w:val="00355AF3"/>
    <w:rsid w:val="0037104D"/>
    <w:rsid w:val="00372033"/>
    <w:rsid w:val="00372B1F"/>
    <w:rsid w:val="00380079"/>
    <w:rsid w:val="0039155C"/>
    <w:rsid w:val="0039250B"/>
    <w:rsid w:val="0039386A"/>
    <w:rsid w:val="00396C0C"/>
    <w:rsid w:val="003F0F59"/>
    <w:rsid w:val="0042420A"/>
    <w:rsid w:val="0043566C"/>
    <w:rsid w:val="004449B6"/>
    <w:rsid w:val="00462BB4"/>
    <w:rsid w:val="004721F1"/>
    <w:rsid w:val="00476D51"/>
    <w:rsid w:val="00495BCC"/>
    <w:rsid w:val="004C1D5D"/>
    <w:rsid w:val="004C1F5C"/>
    <w:rsid w:val="004E113E"/>
    <w:rsid w:val="004F0CF4"/>
    <w:rsid w:val="00517874"/>
    <w:rsid w:val="005364C2"/>
    <w:rsid w:val="00561B72"/>
    <w:rsid w:val="00594815"/>
    <w:rsid w:val="005B457C"/>
    <w:rsid w:val="005C4FD1"/>
    <w:rsid w:val="00602272"/>
    <w:rsid w:val="00607B8F"/>
    <w:rsid w:val="00617894"/>
    <w:rsid w:val="006322F3"/>
    <w:rsid w:val="006364A2"/>
    <w:rsid w:val="006732BD"/>
    <w:rsid w:val="00696604"/>
    <w:rsid w:val="006A6B2A"/>
    <w:rsid w:val="006A7398"/>
    <w:rsid w:val="006C10BA"/>
    <w:rsid w:val="006F58A9"/>
    <w:rsid w:val="00700768"/>
    <w:rsid w:val="00711029"/>
    <w:rsid w:val="0073454B"/>
    <w:rsid w:val="007345AD"/>
    <w:rsid w:val="007372ED"/>
    <w:rsid w:val="00737FFA"/>
    <w:rsid w:val="00741A62"/>
    <w:rsid w:val="00743919"/>
    <w:rsid w:val="00747FA9"/>
    <w:rsid w:val="007519FA"/>
    <w:rsid w:val="00794FBB"/>
    <w:rsid w:val="00795E02"/>
    <w:rsid w:val="007B26E9"/>
    <w:rsid w:val="007C14D0"/>
    <w:rsid w:val="007C6F33"/>
    <w:rsid w:val="007D6CEE"/>
    <w:rsid w:val="00800C4F"/>
    <w:rsid w:val="00815E64"/>
    <w:rsid w:val="00816B7C"/>
    <w:rsid w:val="00817A84"/>
    <w:rsid w:val="0085572F"/>
    <w:rsid w:val="008774A0"/>
    <w:rsid w:val="0089762C"/>
    <w:rsid w:val="008A2A18"/>
    <w:rsid w:val="008B3E29"/>
    <w:rsid w:val="008D0F28"/>
    <w:rsid w:val="008E5262"/>
    <w:rsid w:val="008E5728"/>
    <w:rsid w:val="008E5E8A"/>
    <w:rsid w:val="008F7B26"/>
    <w:rsid w:val="00902929"/>
    <w:rsid w:val="009039D2"/>
    <w:rsid w:val="00915914"/>
    <w:rsid w:val="00941990"/>
    <w:rsid w:val="0097585D"/>
    <w:rsid w:val="00985E71"/>
    <w:rsid w:val="00995C1C"/>
    <w:rsid w:val="0099661A"/>
    <w:rsid w:val="009A440A"/>
    <w:rsid w:val="009A7B81"/>
    <w:rsid w:val="009B0B2D"/>
    <w:rsid w:val="009C3CDA"/>
    <w:rsid w:val="009C7931"/>
    <w:rsid w:val="009D0699"/>
    <w:rsid w:val="009D4E77"/>
    <w:rsid w:val="009D7F81"/>
    <w:rsid w:val="009E5AE9"/>
    <w:rsid w:val="009F0661"/>
    <w:rsid w:val="009F0CEE"/>
    <w:rsid w:val="009F6DC2"/>
    <w:rsid w:val="00A07AF3"/>
    <w:rsid w:val="00A33762"/>
    <w:rsid w:val="00A3516F"/>
    <w:rsid w:val="00A37432"/>
    <w:rsid w:val="00A429A3"/>
    <w:rsid w:val="00A44AE9"/>
    <w:rsid w:val="00A4634A"/>
    <w:rsid w:val="00A5128F"/>
    <w:rsid w:val="00A535F8"/>
    <w:rsid w:val="00A66C93"/>
    <w:rsid w:val="00A9059D"/>
    <w:rsid w:val="00A91A38"/>
    <w:rsid w:val="00AA4080"/>
    <w:rsid w:val="00AB1AD0"/>
    <w:rsid w:val="00AB6246"/>
    <w:rsid w:val="00AC027C"/>
    <w:rsid w:val="00AD1B70"/>
    <w:rsid w:val="00AF104A"/>
    <w:rsid w:val="00B07EB1"/>
    <w:rsid w:val="00B1131E"/>
    <w:rsid w:val="00B3261E"/>
    <w:rsid w:val="00B50BC5"/>
    <w:rsid w:val="00B8340C"/>
    <w:rsid w:val="00BA1C8E"/>
    <w:rsid w:val="00BB5558"/>
    <w:rsid w:val="00BC12F0"/>
    <w:rsid w:val="00BC6FE9"/>
    <w:rsid w:val="00BE5797"/>
    <w:rsid w:val="00C32AD4"/>
    <w:rsid w:val="00C60DD9"/>
    <w:rsid w:val="00C62A8D"/>
    <w:rsid w:val="00C65F8E"/>
    <w:rsid w:val="00C7542B"/>
    <w:rsid w:val="00C86F37"/>
    <w:rsid w:val="00CC099F"/>
    <w:rsid w:val="00CE0B9B"/>
    <w:rsid w:val="00CE1306"/>
    <w:rsid w:val="00CE3BE1"/>
    <w:rsid w:val="00D0076F"/>
    <w:rsid w:val="00D14557"/>
    <w:rsid w:val="00D154EE"/>
    <w:rsid w:val="00D20EC0"/>
    <w:rsid w:val="00D21961"/>
    <w:rsid w:val="00D433FB"/>
    <w:rsid w:val="00D5103A"/>
    <w:rsid w:val="00D57CFF"/>
    <w:rsid w:val="00D6287E"/>
    <w:rsid w:val="00D663A2"/>
    <w:rsid w:val="00D85F51"/>
    <w:rsid w:val="00D86856"/>
    <w:rsid w:val="00DA1976"/>
    <w:rsid w:val="00DB6E0A"/>
    <w:rsid w:val="00DD69F9"/>
    <w:rsid w:val="00E26133"/>
    <w:rsid w:val="00E31942"/>
    <w:rsid w:val="00E5197E"/>
    <w:rsid w:val="00E54CAB"/>
    <w:rsid w:val="00E72F6E"/>
    <w:rsid w:val="00E76E38"/>
    <w:rsid w:val="00E8228D"/>
    <w:rsid w:val="00E82CE1"/>
    <w:rsid w:val="00E86559"/>
    <w:rsid w:val="00EB1419"/>
    <w:rsid w:val="00ED4105"/>
    <w:rsid w:val="00EF5D3B"/>
    <w:rsid w:val="00F5537A"/>
    <w:rsid w:val="00F6334A"/>
    <w:rsid w:val="00F72458"/>
    <w:rsid w:val="00F7690C"/>
    <w:rsid w:val="00F80EE2"/>
    <w:rsid w:val="00FA0645"/>
    <w:rsid w:val="00FA45D5"/>
    <w:rsid w:val="00FB35B4"/>
    <w:rsid w:val="00FB399D"/>
    <w:rsid w:val="00FD6973"/>
    <w:rsid w:val="00FE42DB"/>
    <w:rsid w:val="1EC5708C"/>
    <w:rsid w:val="4D1E02F3"/>
    <w:rsid w:val="5FAF173C"/>
    <w:rsid w:val="67D5043C"/>
    <w:rsid w:val="794E56E7"/>
    <w:rsid w:val="7AD045F2"/>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B7F838C"/>
  <w14:defaultImageDpi w14:val="330"/>
  <w15:docId w15:val="{A5521640-4435-4BDB-962A-5771A90745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uiPriority w:val="99"/>
    <w:unhideWhenUsed/>
    <w:qFormat/>
    <w:pPr>
      <w:jc w:val="left"/>
    </w:pPr>
  </w:style>
  <w:style w:type="paragraph" w:styleId="a4">
    <w:name w:val="footer"/>
    <w:basedOn w:val="a"/>
    <w:link w:val="a5"/>
    <w:uiPriority w:val="99"/>
    <w:unhideWhenUsed/>
    <w:pPr>
      <w:tabs>
        <w:tab w:val="center" w:pos="4153"/>
        <w:tab w:val="right" w:pos="8306"/>
      </w:tabs>
      <w:snapToGrid w:val="0"/>
      <w:jc w:val="left"/>
    </w:pPr>
    <w:rPr>
      <w:sz w:val="18"/>
      <w:szCs w:val="18"/>
    </w:rPr>
  </w:style>
  <w:style w:type="paragraph" w:styleId="a6">
    <w:name w:val="header"/>
    <w:basedOn w:val="a"/>
    <w:link w:val="a7"/>
    <w:uiPriority w:val="99"/>
    <w:unhideWhenUsed/>
    <w:pPr>
      <w:pBdr>
        <w:bottom w:val="single" w:sz="6" w:space="1" w:color="auto"/>
      </w:pBdr>
      <w:tabs>
        <w:tab w:val="center" w:pos="4153"/>
        <w:tab w:val="right" w:pos="8306"/>
      </w:tabs>
      <w:snapToGrid w:val="0"/>
      <w:jc w:val="center"/>
    </w:pPr>
    <w:rPr>
      <w:sz w:val="18"/>
      <w:szCs w:val="18"/>
    </w:rPr>
  </w:style>
  <w:style w:type="character" w:styleId="a8">
    <w:name w:val="Hyperlink"/>
    <w:basedOn w:val="a0"/>
    <w:uiPriority w:val="99"/>
    <w:unhideWhenUsed/>
    <w:qFormat/>
    <w:rPr>
      <w:color w:val="0000FF"/>
      <w:u w:val="single"/>
    </w:rPr>
  </w:style>
  <w:style w:type="character" w:styleId="a9">
    <w:name w:val="annotation reference"/>
    <w:basedOn w:val="a0"/>
    <w:uiPriority w:val="99"/>
    <w:semiHidden/>
    <w:unhideWhenUsed/>
    <w:qFormat/>
    <w:rPr>
      <w:sz w:val="21"/>
      <w:szCs w:val="21"/>
    </w:rPr>
  </w:style>
  <w:style w:type="character" w:customStyle="1" w:styleId="a7">
    <w:name w:val="页眉 字符"/>
    <w:basedOn w:val="a0"/>
    <w:link w:val="a6"/>
    <w:uiPriority w:val="99"/>
    <w:rPr>
      <w:sz w:val="18"/>
      <w:szCs w:val="18"/>
    </w:rPr>
  </w:style>
  <w:style w:type="character" w:customStyle="1" w:styleId="a5">
    <w:name w:val="页脚 字符"/>
    <w:basedOn w:val="a0"/>
    <w:link w:val="a4"/>
    <w:uiPriority w:val="99"/>
    <w:qFormat/>
    <w:rPr>
      <w:sz w:val="18"/>
      <w:szCs w:val="18"/>
    </w:rPr>
  </w:style>
  <w:style w:type="character" w:customStyle="1" w:styleId="fontstyle21">
    <w:name w:val="fontstyle21"/>
    <w:qFormat/>
    <w:rPr>
      <w:rFonts w:ascii="AdvOT56309c18.I" w:hAnsi="AdvOT56309c18.I" w:hint="default"/>
      <w:color w:val="000000"/>
      <w:sz w:val="34"/>
      <w:szCs w:val="34"/>
    </w:rPr>
  </w:style>
  <w:style w:type="character" w:customStyle="1" w:styleId="1">
    <w:name w:val="未处理的提及1"/>
    <w:basedOn w:val="a0"/>
    <w:uiPriority w:val="99"/>
    <w:semiHidden/>
    <w:unhideWhenUse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tif"/><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Relationship Id="rId11" Type="http://schemas.openxmlformats.org/officeDocument/2006/relationships/image" Target="media/image6.tif"/><Relationship Id="rId5" Type="http://schemas.openxmlformats.org/officeDocument/2006/relationships/endnotes" Target="endnotes.xml"/><Relationship Id="rId10" Type="http://schemas.openxmlformats.org/officeDocument/2006/relationships/image" Target="media/image5.tif"/><Relationship Id="rId4" Type="http://schemas.openxmlformats.org/officeDocument/2006/relationships/footnotes" Target="footnotes.xml"/><Relationship Id="rId9" Type="http://schemas.openxmlformats.org/officeDocument/2006/relationships/image" Target="media/image4.ti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45</TotalTime>
  <Pages>4</Pages>
  <Words>240</Words>
  <Characters>1369</Characters>
  <Application>Microsoft Office Word</Application>
  <DocSecurity>0</DocSecurity>
  <Lines>11</Lines>
  <Paragraphs>3</Paragraphs>
  <ScaleCrop>false</ScaleCrop>
  <Company/>
  <LinksUpToDate>false</LinksUpToDate>
  <CharactersWithSpaces>1606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Yu Vanhal</dc:creator>
  <cp:lastModifiedBy>c30258</cp:lastModifiedBy>
  <cp:revision>70</cp:revision>
  <dcterms:created xsi:type="dcterms:W3CDTF">2023-09-06T17:05:00Z</dcterms:created>
  <dcterms:modified xsi:type="dcterms:W3CDTF">2025-12-30T02:50:00Z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63b03d3ee285138b4e7c2256e514cda9efad5feca085acc9a7e39e87608691fb</vt:lpwstr>
  </property>
  <property fmtid="{D5CDD505-2E9C-101B-9397-08002B2CF9AE}" pid="3" name="KSOProductBuildVer">
    <vt:lpwstr>2052-12.1.0.17827</vt:lpwstr>
  </property>
  <property fmtid="{D5CDD505-2E9C-101B-9397-08002B2CF9AE}" pid="4" name="ICV">
    <vt:lpwstr>F809C10AC29B4997AA29E25DE807F426_12</vt:lpwstr>
  </property>
</Properties>
</file>