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8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none"/>
        </w:rPr>
      </w:pPr>
      <w:r>
        <w:rPr>
          <w:rFonts w:hint="default" w:ascii="Arial" w:hAnsi="Arial" w:eastAsia="Segoe UI" w:cs="Arial"/>
          <w:b/>
          <w:bCs/>
          <w:color w:val="404040"/>
          <w:sz w:val="20"/>
          <w:szCs w:val="20"/>
          <w:highlight w:val="none"/>
        </w:rPr>
        <w:t xml:space="preserve">Supplementary Table </w:t>
      </w:r>
      <w:r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  <w:t>1</w:t>
      </w:r>
      <w:r>
        <w:rPr>
          <w:rFonts w:hint="default" w:ascii="Arial" w:hAnsi="Arial" w:eastAsia="Segoe UI" w:cs="Arial"/>
          <w:b/>
          <w:bCs/>
          <w:color w:val="404040"/>
          <w:sz w:val="20"/>
          <w:szCs w:val="20"/>
          <w:highlight w:val="none"/>
        </w:rPr>
        <w:t xml:space="preserve">. </w:t>
      </w:r>
      <w:r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none"/>
        </w:rPr>
        <w:t>Primer sequences for RT-qPCR.</w:t>
      </w:r>
    </w:p>
    <w:tbl>
      <w:tblPr>
        <w:tblStyle w:val="6"/>
        <w:tblpPr w:leftFromText="180" w:rightFromText="180" w:vertAnchor="text" w:horzAnchor="page" w:tblpX="659" w:tblpY="249"/>
        <w:tblOverlap w:val="never"/>
        <w:tblW w:w="10915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536"/>
        <w:gridCol w:w="4394"/>
      </w:tblGrid>
      <w:tr w14:paraId="0E409EB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77ABC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536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7E42B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Forward</w:t>
            </w:r>
          </w:p>
        </w:tc>
        <w:tc>
          <w:tcPr>
            <w:tcW w:w="4394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716E4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14:paraId="76F9823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F0B0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β-actin</w:t>
            </w:r>
          </w:p>
        </w:tc>
        <w:tc>
          <w:tcPr>
            <w:tcW w:w="45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0B5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CATGTACGTTGCTATCCAGGC</w:t>
            </w:r>
          </w:p>
        </w:tc>
        <w:tc>
          <w:tcPr>
            <w:tcW w:w="4394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6E45A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CTCCTTAATGTCACGCACGAT</w:t>
            </w:r>
          </w:p>
        </w:tc>
      </w:tr>
      <w:tr w14:paraId="3D96171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F866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PLK1</w:t>
            </w:r>
          </w:p>
        </w:tc>
        <w:tc>
          <w:tcPr>
            <w:tcW w:w="4536" w:type="dxa"/>
          </w:tcPr>
          <w:p w14:paraId="426EC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ATTCCCAAGCACATCAACCC </w:t>
            </w:r>
          </w:p>
        </w:tc>
        <w:tc>
          <w:tcPr>
            <w:tcW w:w="4394" w:type="dxa"/>
          </w:tcPr>
          <w:p w14:paraId="7997C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GGAGACGGGCAGGGATATAG</w:t>
            </w:r>
          </w:p>
        </w:tc>
      </w:tr>
      <w:tr w14:paraId="0AD9326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B3E6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CDC25C</w:t>
            </w:r>
          </w:p>
        </w:tc>
        <w:tc>
          <w:tcPr>
            <w:tcW w:w="45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1FC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TGTCAACCCAGAAACAGTGG </w:t>
            </w:r>
          </w:p>
        </w:tc>
        <w:tc>
          <w:tcPr>
            <w:tcW w:w="4394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5011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CTGGATGTGTCCTCCCAGAT </w:t>
            </w:r>
          </w:p>
        </w:tc>
      </w:tr>
      <w:tr w14:paraId="306B13F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E43A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CCNB1</w:t>
            </w:r>
          </w:p>
        </w:tc>
        <w:tc>
          <w:tcPr>
            <w:tcW w:w="4536" w:type="dxa"/>
          </w:tcPr>
          <w:p w14:paraId="52355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AATAAGGCGAAGATCAACATGGC </w:t>
            </w:r>
          </w:p>
        </w:tc>
        <w:tc>
          <w:tcPr>
            <w:tcW w:w="4394" w:type="dxa"/>
          </w:tcPr>
          <w:p w14:paraId="2BE8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TTTGTTACCAATGTCCCCAAGAG </w:t>
            </w:r>
          </w:p>
        </w:tc>
      </w:tr>
      <w:tr w14:paraId="01B5B66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1E62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CDK1</w:t>
            </w:r>
          </w:p>
        </w:tc>
        <w:tc>
          <w:tcPr>
            <w:tcW w:w="45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FC19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AAACTACAGGTCAAGTGGTAGCC</w:t>
            </w:r>
          </w:p>
        </w:tc>
        <w:tc>
          <w:tcPr>
            <w:tcW w:w="4394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695E1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TCCTGCATAAGCACATCCTGA</w:t>
            </w:r>
          </w:p>
        </w:tc>
      </w:tr>
    </w:tbl>
    <w:p w14:paraId="6719A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7D1E6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5DD48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5D366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00F59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3B0D9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187FA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0450A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26161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38EBB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57455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1A5FB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64BC9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7F8F1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p w14:paraId="25248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color w:val="404040"/>
          <w:sz w:val="20"/>
          <w:szCs w:val="20"/>
          <w:highlight w:val="yellow"/>
        </w:rPr>
      </w:pPr>
    </w:p>
    <w:tbl>
      <w:tblPr>
        <w:tblStyle w:val="3"/>
        <w:tblpPr w:leftFromText="180" w:rightFromText="180" w:vertAnchor="page" w:horzAnchor="page" w:tblpX="1652" w:tblpY="27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953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top"/>
          </w:tcPr>
          <w:p w14:paraId="761A4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1A8F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Healthy(n=17)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3680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Sepsis(n=17)</w:t>
            </w:r>
          </w:p>
        </w:tc>
      </w:tr>
      <w:tr w14:paraId="3316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30BB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Gender (male, %)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BBA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8(47%)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5090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13(76%)</w:t>
            </w:r>
          </w:p>
        </w:tc>
      </w:tr>
      <w:tr w14:paraId="372F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5599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Ages (years)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E835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59.8±15.8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055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62.4±13.1</w:t>
            </w:r>
          </w:p>
        </w:tc>
      </w:tr>
      <w:tr w14:paraId="3D53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997E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BMI (kg/m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6150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23.7±4.6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6DDC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23.1±3.8</w:t>
            </w:r>
          </w:p>
        </w:tc>
      </w:tr>
      <w:tr w14:paraId="08F8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475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Neutrophils (10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6F2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3.9±2.0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D48D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9.6±6.5**</w:t>
            </w:r>
          </w:p>
        </w:tc>
      </w:tr>
      <w:tr w14:paraId="1431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FF7D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Monocytes (10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FF75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0.5±0.2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56A1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0.6±0.4**</w:t>
            </w:r>
          </w:p>
        </w:tc>
      </w:tr>
      <w:tr w14:paraId="56A7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F764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Lymphocytes (10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439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1.8±0.7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C006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0.9±0.6</w:t>
            </w:r>
          </w:p>
        </w:tc>
      </w:tr>
      <w:tr w14:paraId="5774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B917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Platelets (10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FB61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204.9±54.9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9AD5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165.8±167.2</w:t>
            </w:r>
          </w:p>
        </w:tc>
      </w:tr>
      <w:tr w14:paraId="14BF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F880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Hemoglobin (g/L)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2FC4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120.7±30.5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F656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76.4±18.2**</w:t>
            </w:r>
          </w:p>
        </w:tc>
      </w:tr>
      <w:tr w14:paraId="45E8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9B9C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CRP (mg/L)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C0C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38.1±60.0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1F4C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119.3±97.2**</w:t>
            </w:r>
          </w:p>
        </w:tc>
      </w:tr>
      <w:tr w14:paraId="0E7C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9A40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Albumin(g/L)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80FD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42.2±4.0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F35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28.3±7.5**</w:t>
            </w:r>
          </w:p>
        </w:tc>
      </w:tr>
      <w:tr w14:paraId="139A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F097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PT(s)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382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11.7±0.5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325C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15.5±2.9**</w:t>
            </w:r>
          </w:p>
        </w:tc>
      </w:tr>
      <w:tr w14:paraId="7DB1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4CB5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APTT(s)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2EC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26.8±1.9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5E8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37.4±11.1**</w:t>
            </w:r>
          </w:p>
        </w:tc>
      </w:tr>
      <w:tr w14:paraId="3908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D7B0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D-dimer(mg/L)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50D2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1.3±1.9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D30C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7.3±5.1**</w:t>
            </w:r>
          </w:p>
        </w:tc>
      </w:tr>
      <w:tr w14:paraId="26C9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9C0F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Fibrinogen(mg/dL)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36A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287.2±102.0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5E6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402.5±187.2*</w:t>
            </w:r>
          </w:p>
        </w:tc>
      </w:tr>
      <w:tr w14:paraId="3709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460F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IL-6(pg/ml),median(IQR)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4EE6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2.0(1.1-5.5)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8A50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243.4(113-395)**</w:t>
            </w:r>
          </w:p>
        </w:tc>
      </w:tr>
      <w:tr w14:paraId="50B3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FB73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TB(umol/L)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EA0E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9.1±3.7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E6A6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47.1±53.3*</w:t>
            </w:r>
          </w:p>
        </w:tc>
      </w:tr>
      <w:tr w14:paraId="2FC7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DEF2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MAP(mmHg)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CA4C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95.4±8.9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4F83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86.2±16.1*</w:t>
            </w:r>
          </w:p>
        </w:tc>
      </w:tr>
      <w:tr w14:paraId="2AC1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721A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Cr(umol/L)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65E4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77.59±17.0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8F73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143.88±89.8**</w:t>
            </w:r>
          </w:p>
        </w:tc>
      </w:tr>
    </w:tbl>
    <w:p w14:paraId="31B8C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yellow"/>
        </w:rPr>
      </w:pPr>
      <w:r>
        <w:rPr>
          <w:rFonts w:hint="default" w:ascii="Arial" w:hAnsi="Arial" w:eastAsia="Segoe UI" w:cs="Arial"/>
          <w:b/>
          <w:bCs/>
          <w:color w:val="404040"/>
          <w:sz w:val="20"/>
          <w:szCs w:val="20"/>
          <w:highlight w:val="none"/>
        </w:rPr>
        <w:t xml:space="preserve">Supplementary Table </w:t>
      </w:r>
      <w:r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 w:eastAsia="Segoe UI" w:cs="Arial"/>
          <w:b/>
          <w:bCs/>
          <w:color w:val="404040"/>
          <w:sz w:val="20"/>
          <w:szCs w:val="20"/>
          <w:highlight w:val="none"/>
          <w:lang w:val="en-US" w:eastAsia="zh-CN"/>
        </w:rPr>
        <w:t xml:space="preserve">. </w:t>
      </w:r>
      <w:r>
        <w:rPr>
          <w:rFonts w:hint="default" w:ascii="Arial" w:hAnsi="Arial" w:cs="Arial"/>
          <w:b w:val="0"/>
          <w:bCs w:val="0"/>
          <w:color w:val="000000"/>
          <w:kern w:val="0"/>
          <w:sz w:val="20"/>
          <w:szCs w:val="20"/>
          <w:lang w:bidi="ar"/>
        </w:rPr>
        <w:t>Baseline of characteristics of healthy volunteers and sepsis patients enrolled in the group.</w:t>
      </w:r>
    </w:p>
    <w:p w14:paraId="6E9BF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  <w:t>BMI：body mass index; CRP:C reactive protein; IQR:interquartile range; TB:total bilirubin; MAP:mean arterial pressure; Cr:creatinine</w:t>
      </w:r>
    </w:p>
    <w:p w14:paraId="3AFF7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  <w:t xml:space="preserve">Data are expressed by percentage or mean±standard deviation [SD],median (interquartile range[IQR]), </w:t>
      </w: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*</w:t>
      </w:r>
      <w:r>
        <w:rPr>
          <w:rFonts w:hint="default" w:ascii="Arial" w:hAnsi="Arial" w:cs="Arial"/>
          <w:i/>
          <w:iCs/>
          <w:sz w:val="20"/>
          <w:szCs w:val="20"/>
          <w:vertAlign w:val="baseline"/>
          <w:lang w:val="en-US" w:eastAsia="zh-CN"/>
        </w:rPr>
        <w:t>P</w:t>
      </w:r>
      <w:r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  <w:t xml:space="preserve">＜0.05 versus Healthy, </w:t>
      </w: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**</w:t>
      </w:r>
      <w:r>
        <w:rPr>
          <w:rFonts w:hint="default" w:ascii="Arial" w:hAnsi="Arial" w:cs="Arial"/>
          <w:i/>
          <w:iCs/>
          <w:sz w:val="20"/>
          <w:szCs w:val="20"/>
          <w:vertAlign w:val="baseline"/>
          <w:lang w:val="en-US" w:eastAsia="zh-CN"/>
        </w:rPr>
        <w:t>P</w:t>
      </w:r>
      <w:r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  <w:t>＜0.01 versus Healthy.</w:t>
      </w:r>
    </w:p>
    <w:p w14:paraId="5DEBB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170D2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77893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79C93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6A00F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7921F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43012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7CF01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65C11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03A35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8D82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5B990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16BB5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54BEE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6EF96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4310D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4F1CF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8ECD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BD3C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4FA8F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21590</wp:posOffset>
                </wp:positionV>
                <wp:extent cx="345440" cy="261620"/>
                <wp:effectExtent l="0" t="0" r="698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76500" y="1800860"/>
                          <a:ext cx="34544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A2789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75pt;margin-top:1.7pt;height:20.6pt;width:27.2pt;z-index:251661312;mso-width-relative:page;mso-height-relative:page;" fillcolor="#FFFFFF [3201]" filled="t" stroked="f" coordsize="21600,21600" o:gfxdata="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rwLwHUAAAA&#10;CAEAAA8AAAAAAAAAAQAgAAAAIgAAAGRycy9kb3ducmV2LnhtbFBLAQIUABQAAAAIAIdO4kAu++aa&#10;WgIAAJo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7FA2789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1570355</wp:posOffset>
            </wp:positionH>
            <wp:positionV relativeFrom="paragraph">
              <wp:posOffset>21590</wp:posOffset>
            </wp:positionV>
            <wp:extent cx="2477135" cy="1800225"/>
            <wp:effectExtent l="0" t="0" r="8890" b="0"/>
            <wp:wrapSquare wrapText="bothSides"/>
            <wp:docPr id="1" name="图片 1" descr="2025.10.29-11 cck8 2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10.29-11 cck8 2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C7C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574CD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7B7A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70CA1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0C68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</w:pPr>
      <w:r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122555</wp:posOffset>
            </wp:positionV>
            <wp:extent cx="6233795" cy="2160270"/>
            <wp:effectExtent l="0" t="0" r="5080" b="1905"/>
            <wp:wrapSquare wrapText="bothSides"/>
            <wp:docPr id="3" name="图片 3" descr="Con vs TAK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on vs TAK9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37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122555</wp:posOffset>
                </wp:positionV>
                <wp:extent cx="345440" cy="261620"/>
                <wp:effectExtent l="0" t="0" r="698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7383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55pt;margin-top:9.65pt;height:20.6pt;width:27.2pt;z-index:251662336;mso-width-relative:page;mso-height-relative:page;" fillcolor="#FFFFFF [3201]" filled="t" stroked="f" coordsize="21600,21600" o:gfxdata="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HYzSC1QAAAAkBAAAPAAAAAAAA&#10;AAEAIAAAACIAAABkcnMvZG93bnJldi54bWxQSwECFAAUAAAACACHTuJArEswr04CAACO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057383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Segoe UI" w:cs="Arial"/>
          <w:b/>
          <w:bCs/>
          <w:color w:val="404040"/>
          <w:sz w:val="20"/>
          <w:szCs w:val="20"/>
          <w:highlight w:val="none"/>
        </w:rPr>
        <w:t xml:space="preserve">Supplementary </w:t>
      </w:r>
      <w:r>
        <w:rPr>
          <w:rFonts w:hint="eastAsia" w:ascii="Arial" w:hAnsi="Arial" w:eastAsia="Segoe UI" w:cs="Arial"/>
          <w:b/>
          <w:bCs/>
          <w:color w:val="404040"/>
          <w:sz w:val="20"/>
          <w:szCs w:val="20"/>
          <w:highlight w:val="none"/>
          <w:lang w:val="en-US" w:eastAsia="zh-CN"/>
        </w:rPr>
        <w:t>Figure 1</w:t>
      </w:r>
      <w:r>
        <w:rPr>
          <w:rFonts w:hint="default" w:ascii="Arial" w:hAnsi="Arial" w:eastAsia="Segoe UI" w:cs="Arial"/>
          <w:b/>
          <w:bCs/>
          <w:color w:val="404040"/>
          <w:sz w:val="20"/>
          <w:szCs w:val="20"/>
          <w:highlight w:val="none"/>
          <w:lang w:val="en-US" w:eastAsia="zh-CN"/>
        </w:rPr>
        <w:t>.</w:t>
      </w:r>
      <w:r>
        <w:rPr>
          <w:rFonts w:hint="eastAsia" w:ascii="Arial" w:hAnsi="Arial" w:eastAsia="Segoe UI" w:cs="Arial"/>
          <w:b/>
          <w:bCs/>
          <w:color w:val="40404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none"/>
        </w:rPr>
        <w:t xml:space="preserve">The </w:t>
      </w:r>
      <w:r>
        <w:rPr>
          <w:rFonts w:hint="eastAsia" w:ascii="Arial" w:hAnsi="Arial" w:eastAsia="宋体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  <w:t>PLK1</w:t>
      </w:r>
      <w:r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none"/>
        </w:rPr>
        <w:t xml:space="preserve"> inhibitor TAK-960</w:t>
      </w:r>
      <w:r>
        <w:rPr>
          <w:rFonts w:hint="eastAsia" w:ascii="Arial" w:hAnsi="Arial" w:eastAsia="宋体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  <w:t>(8nM</w:t>
      </w:r>
      <w:bookmarkStart w:id="0" w:name="_GoBack"/>
      <w:bookmarkEnd w:id="0"/>
      <w:r>
        <w:rPr>
          <w:rFonts w:hint="eastAsia" w:ascii="Arial" w:hAnsi="Arial" w:eastAsia="宋体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  <w:t>)</w:t>
      </w:r>
      <w:r>
        <w:rPr>
          <w:rFonts w:hint="default" w:ascii="Arial" w:hAnsi="Arial" w:eastAsia="Segoe UI" w:cs="Arial"/>
          <w:b w:val="0"/>
          <w:bCs w:val="0"/>
          <w:color w:val="404040"/>
          <w:sz w:val="20"/>
          <w:szCs w:val="20"/>
          <w:highlight w:val="none"/>
        </w:rPr>
        <w:t xml:space="preserve"> inhibits HUVEC activity and induces G2/M phase arre</w:t>
      </w:r>
      <w:r>
        <w:rPr>
          <w:rFonts w:hint="default" w:ascii="Arial" w:hAnsi="Arial" w:eastAsia="宋体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  <w:t>st.</w:t>
      </w:r>
      <w:r>
        <w:rPr>
          <w:rFonts w:hint="eastAsia" w:ascii="Arial" w:hAnsi="Arial" w:eastAsia="宋体" w:cs="Arial"/>
          <w:b w:val="0"/>
          <w:bCs w:val="0"/>
          <w:color w:val="404040"/>
          <w:sz w:val="20"/>
          <w:szCs w:val="20"/>
          <w:highlight w:val="none"/>
          <w:lang w:val="en-US" w:eastAsia="zh-CN"/>
        </w:rPr>
        <w:t xml:space="preserve"> (A) CCK-8 cell viability assay of HUVECs (n=6). (B) Flow cytometric analysis of the cell cycle of HUVECs(n = 3).</w:t>
      </w:r>
    </w:p>
    <w:p w14:paraId="7BD54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8002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4A78E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53A9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77A9A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0D852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2092C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p w14:paraId="482AF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eastAsia="宋体" w:cs="Arial"/>
          <w:b/>
          <w:bCs/>
          <w:color w:val="404040"/>
          <w:sz w:val="20"/>
          <w:szCs w:val="2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7A3"/>
    <w:rsid w:val="02954528"/>
    <w:rsid w:val="032F2286"/>
    <w:rsid w:val="03D254E6"/>
    <w:rsid w:val="0517294F"/>
    <w:rsid w:val="05676974"/>
    <w:rsid w:val="06E415DA"/>
    <w:rsid w:val="0A2368BD"/>
    <w:rsid w:val="0A93759F"/>
    <w:rsid w:val="0C0F0EA7"/>
    <w:rsid w:val="0EBE4E06"/>
    <w:rsid w:val="115124B6"/>
    <w:rsid w:val="1AF63134"/>
    <w:rsid w:val="1F503858"/>
    <w:rsid w:val="2135727E"/>
    <w:rsid w:val="21A954A2"/>
    <w:rsid w:val="21F901D7"/>
    <w:rsid w:val="231A6657"/>
    <w:rsid w:val="23702CF7"/>
    <w:rsid w:val="27B64A3B"/>
    <w:rsid w:val="2CD23AFF"/>
    <w:rsid w:val="2EF57F78"/>
    <w:rsid w:val="30422D49"/>
    <w:rsid w:val="31B947B6"/>
    <w:rsid w:val="33385DC3"/>
    <w:rsid w:val="347B45E4"/>
    <w:rsid w:val="371B0D30"/>
    <w:rsid w:val="39956628"/>
    <w:rsid w:val="3D22018A"/>
    <w:rsid w:val="414F3518"/>
    <w:rsid w:val="41502960"/>
    <w:rsid w:val="435F53F9"/>
    <w:rsid w:val="450B3BFA"/>
    <w:rsid w:val="45B95404"/>
    <w:rsid w:val="4714323A"/>
    <w:rsid w:val="480756B2"/>
    <w:rsid w:val="484713ED"/>
    <w:rsid w:val="4A9F5CE4"/>
    <w:rsid w:val="4CA30BBC"/>
    <w:rsid w:val="4D444B4C"/>
    <w:rsid w:val="4D677E3B"/>
    <w:rsid w:val="4D752558"/>
    <w:rsid w:val="4DE877FA"/>
    <w:rsid w:val="4E5A52AA"/>
    <w:rsid w:val="4F702FD7"/>
    <w:rsid w:val="507C1E50"/>
    <w:rsid w:val="51F21463"/>
    <w:rsid w:val="527D7E7B"/>
    <w:rsid w:val="52B23907"/>
    <w:rsid w:val="54A20D14"/>
    <w:rsid w:val="57DE6F4C"/>
    <w:rsid w:val="5A1F7AD4"/>
    <w:rsid w:val="5A1F7DE4"/>
    <w:rsid w:val="655B7E2E"/>
    <w:rsid w:val="65A610A9"/>
    <w:rsid w:val="65BA2DA7"/>
    <w:rsid w:val="66650F64"/>
    <w:rsid w:val="6723777F"/>
    <w:rsid w:val="67513297"/>
    <w:rsid w:val="676F196F"/>
    <w:rsid w:val="6AF64881"/>
    <w:rsid w:val="6FC40AC8"/>
    <w:rsid w:val="705B5186"/>
    <w:rsid w:val="73927111"/>
    <w:rsid w:val="74DB14EF"/>
    <w:rsid w:val="772618AB"/>
    <w:rsid w:val="78431690"/>
    <w:rsid w:val="78862224"/>
    <w:rsid w:val="79CC3E1C"/>
    <w:rsid w:val="7A5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Plain Table 2"/>
    <w:basedOn w:val="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</Words>
  <Characters>1246</Characters>
  <Lines>0</Lines>
  <Paragraphs>0</Paragraphs>
  <TotalTime>0</TotalTime>
  <ScaleCrop>false</ScaleCrop>
  <LinksUpToDate>false</LinksUpToDate>
  <CharactersWithSpaces>1311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2025-04-22T03:47:00Z</dcterms:created>
  <dc:creator>13910</dc:creator>
  <cp:lastModifiedBy>ZCY</cp:lastModifiedBy>
  <dcterms:modified xsi:type="dcterms:W3CDTF">2025-11-02T07:35:17Z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eyJoZGlkIjoiOTVkODc0ZDI0MDRlZDI0OWVjYjU1NTU5ZjcwMjdjMDkiLCJ1c2VySWQiOiI1MDYyNDAyNTAifQ==</vt:lpwstr>
  </property>
  <property fmtid="{D5CDD505-2E9C-101B-9397-08002B2CF9AE}" pid="4" name="ICV">
    <vt:lpwstr>AA70761D42F841FA801105E5FCB83EBB_12</vt:lpwstr>
  </property>
</Properties>
</file>