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4D18" w14:textId="2A4446F4"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Supplementary </w:t>
      </w:r>
      <w:r w:rsidR="007F4018">
        <w:rPr>
          <w:rFonts w:asciiTheme="majorBidi" w:hAnsiTheme="majorBidi" w:cstheme="majorBidi"/>
          <w:b/>
          <w:sz w:val="24"/>
          <w:szCs w:val="24"/>
        </w:rPr>
        <w:t>Material 1</w:t>
      </w:r>
      <w:r w:rsidR="00194F06" w:rsidRPr="00194F06">
        <w:rPr>
          <w:rFonts w:asciiTheme="majorBidi" w:hAnsiTheme="majorBidi" w:cstheme="majorBidi"/>
          <w:b/>
          <w:sz w:val="24"/>
          <w:szCs w:val="24"/>
        </w:rPr>
        <w:t>:</w:t>
      </w:r>
      <w:r w:rsidRPr="00194F06">
        <w:rPr>
          <w:rFonts w:asciiTheme="majorBidi" w:hAnsiTheme="majorBidi" w:cstheme="majorBidi"/>
          <w:b/>
          <w:sz w:val="24"/>
          <w:szCs w:val="24"/>
        </w:rPr>
        <w:t xml:space="preserve"> Round‑1 Structured Questionnaire</w:t>
      </w:r>
      <w:r w:rsidR="00194F06">
        <w:rPr>
          <w:rFonts w:asciiTheme="majorBidi" w:hAnsiTheme="majorBidi" w:cstheme="majorBidi"/>
          <w:b/>
          <w:sz w:val="24"/>
          <w:szCs w:val="24"/>
        </w:rPr>
        <w:t>.</w:t>
      </w:r>
    </w:p>
    <w:p w14:paraId="3A125F0C"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Note: This instrument was used in Round‑1 to capture national practice patterns and initial agreement ratings across seven domains. Items were rated on a three‑point scale (Agree / Neutral / Disagree). After Round‑1, some exploratory items were refined, merged, or removed prior to Round‑2 expert rating.</w:t>
      </w:r>
    </w:p>
    <w:p w14:paraId="6DD52B38"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Instructions to respondents (Round‑1)</w:t>
      </w:r>
    </w:p>
    <w:p w14:paraId="25E7F7B6"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 Please indicate your agreement with each statement: Agree / Neutral / Disagree.</w:t>
      </w:r>
    </w:p>
    <w:p w14:paraId="4F16B80A"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 You may add brief free‑text comments after any item to clarify your response or suggest rewording.</w:t>
      </w:r>
    </w:p>
    <w:p w14:paraId="359F36F1"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 Estimated completion time: 10–12 minutes. Responses are anonymous and analyzed in aggregate.</w:t>
      </w:r>
    </w:p>
    <w:p w14:paraId="380B9730"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Section A: Participant Information (abbreviated)</w:t>
      </w:r>
    </w:p>
    <w:p w14:paraId="2FB3EBE6"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 Years in clinical practice (≥5 years required); subspecialty; practice setting; region.</w:t>
      </w:r>
    </w:p>
    <w:p w14:paraId="246D99C4"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Section B: Clinical Practice Patterns (abbreviated)</w:t>
      </w:r>
    </w:p>
    <w:p w14:paraId="1BB0CB6C"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 Typical diagnostic tools, first‑line therapies, use of adjuvants, procedural experience, transplant referrals.</w:t>
      </w:r>
    </w:p>
    <w:p w14:paraId="6878B231"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Section C: Statements for Agreement (final domains; rated again in Round‑2)</w:t>
      </w:r>
    </w:p>
    <w:p w14:paraId="7958F856"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 [Diagnosis] Comprehensive medical history assessment is essential for all AGA patients.</w:t>
      </w:r>
    </w:p>
    <w:p w14:paraId="653BE2B7"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 [Diagnosis] Clinical scalp examination is usually sufficient for diagnosis.</w:t>
      </w:r>
    </w:p>
    <w:p w14:paraId="457580D7"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3. [Diagnosis] Pull test and trichoscopy are useful tools to confirm diagnosis.</w:t>
      </w:r>
    </w:p>
    <w:p w14:paraId="47DC8355"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4. [Diagnosis] Basic investigations are reserved for patients whose history/examination suggests specific deficiencies or conditions.</w:t>
      </w:r>
    </w:p>
    <w:p w14:paraId="71A73BCD"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5. [Minoxidil] Topical minoxidil: 1 mL twice daily.</w:t>
      </w:r>
    </w:p>
    <w:p w14:paraId="37AE2534"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6. [Minoxidil] Minoxidil 5% foam is more effective than 2% solution in female pattern hair loss (FPHL).</w:t>
      </w:r>
    </w:p>
    <w:p w14:paraId="2ED60DF0"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7. [Minoxidil] Higher concentrations of minoxidil &gt;5% have a limited role.</w:t>
      </w:r>
    </w:p>
    <w:p w14:paraId="64E1860E"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8. [Minoxidil] Temporary shedding is expected at treatment initiation and should not prompt discontinuation.</w:t>
      </w:r>
    </w:p>
    <w:p w14:paraId="3AE0A712"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lastRenderedPageBreak/>
        <w:t>9. [Minoxidil] Hypertrichosis is relatively common but is typically reversible within 1–6 months after discontinuation.</w:t>
      </w:r>
    </w:p>
    <w:p w14:paraId="57762B2A"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10. [Minoxidil] Patients can be considered non‑responders to minoxidil after six months of continuous use without observable improvement.</w:t>
      </w:r>
    </w:p>
    <w:p w14:paraId="6B62CAFD"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11. [Minoxidil] Oral minoxidil is an option for patients with non‑compliance or intolerance to topical application.</w:t>
      </w:r>
    </w:p>
    <w:p w14:paraId="481238DB"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12. [Minoxidil] Intradermal minoxidil is an alternative for patients with poor compliance with daily topical application.</w:t>
      </w:r>
    </w:p>
    <w:p w14:paraId="7E1C0797"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13. [Minoxidil] AGA is increasingly recognized in pediatric patients; topical minoxidil may be of therapeutic value.</w:t>
      </w:r>
    </w:p>
    <w:p w14:paraId="145C2A7D"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14. [Antiandrogens] Oral finasteride 1 mg/day is an effective modality in males with AGA.</w:t>
      </w:r>
    </w:p>
    <w:p w14:paraId="2ED6AFFD"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15. [Antiandrogens] Oral dutasteride 0.5 mg/day may be used as a line of therapy in male AGA patients.</w:t>
      </w:r>
    </w:p>
    <w:p w14:paraId="7D2A47AF"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16. [Antiandrogens] Androgen receptor antagonists can play a role in the management of FPHL, particularly in hyperandrogenic profiles.</w:t>
      </w:r>
    </w:p>
    <w:p w14:paraId="5A0D0F6A"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17. [Low‑Level Laser Therapy] Low‑level laser therapy (LLLT) three times per week reduces vellus hairs and increases terminal hair counts and shaft diameter.</w:t>
      </w:r>
    </w:p>
    <w:p w14:paraId="421545AD"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18. [Adjuvant Therapies] Non‑minoxidil topical therapies may have a beneficial role.</w:t>
      </w:r>
    </w:p>
    <w:p w14:paraId="451ED477"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19. [Adjuvant Therapies] Natural oils may be considered in minoxidil non‑responders or those who refuse minoxidil therapy.</w:t>
      </w:r>
    </w:p>
    <w:p w14:paraId="4AC9B22C"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20. [Adjuvant Therapies] Ketoconazole 2% shampoo (2–3 times per week) can be employed as an adjuvant therapy in AGA.</w:t>
      </w:r>
    </w:p>
    <w:p w14:paraId="36C50CC4"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21. [Adjuvant Therapies] Nutritional supplements (e.g., amino acids, biotin, zinc, vitamin D) may be useful in patients with concomitant AGA and telogen effluvium (TE).</w:t>
      </w:r>
    </w:p>
    <w:p w14:paraId="40877952"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22. [Adjuvant Therapies] Platelet‑rich plasma (PRP) can be given monthly for three sessions, then every 3–6 months for maintenance.</w:t>
      </w:r>
    </w:p>
    <w:p w14:paraId="28460885"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23. [Adjuvant Therapies] Bio‑injectables (e.g., stem cells, exosomes, growth factors) are promising but require further high‑quality evidence.</w:t>
      </w:r>
    </w:p>
    <w:p w14:paraId="21C1A5F8"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24. [Adjuvant Therapies] Microneedling enhances therapeutic response to topical treatment.</w:t>
      </w:r>
    </w:p>
    <w:p w14:paraId="1D08D1CB"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lastRenderedPageBreak/>
        <w:t>25. [Adjuvant Therapies] Combined therapies with topical minoxidil are recommended for suitable patients.</w:t>
      </w:r>
    </w:p>
    <w:p w14:paraId="76652326"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26. [Hair Transplantation] Hair transplantation is recommended if there is no stabilization or improvement after 12 months of continuous medical therapy.</w:t>
      </w:r>
    </w:p>
    <w:p w14:paraId="210250CF"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27. [Counseling/Hair Aids] Counseling, wigs, hair extensions, and topical camouflage may be recommended in late‑stage patients or those declining medical/procedural therapies.</w:t>
      </w:r>
    </w:p>
    <w:p w14:paraId="70E2CD2B"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Section D: Exploratory Items (Round‑1 only; removed/merged after refinement)</w:t>
      </w:r>
    </w:p>
    <w:p w14:paraId="47E5DEC3"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These exploratory statements were tested in Round‑1 to probe areas of uncertainty or operational detail. Based on respondent feedback and item‑level distributions, they were refined, merged into broader statements, or removed prior to Round‑2 expert rating.</w:t>
      </w:r>
    </w:p>
    <w:p w14:paraId="589FA74B"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28. [Diagnosis] Universal laboratory screening (ferritin, vitamin D, TSH, vitamin B12, prolactin) should be undertaken in all suspected AGA cases irrespective of clinical suspicion.</w:t>
      </w:r>
    </w:p>
    <w:p w14:paraId="7FE1DAE2"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Refined to targeted testing based on history and examination (final Statement 4).</w:t>
      </w:r>
    </w:p>
    <w:p w14:paraId="16970CDC"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29. [Diagnosis] Trichoscopy should be mandated at baseline and repeated every 3–6 months for all AGA patients to document treatment response.</w:t>
      </w:r>
    </w:p>
    <w:p w14:paraId="3BD51808"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Merged into optional complementary assessments with clinician discretion (final Statements 2–3).</w:t>
      </w:r>
    </w:p>
    <w:p w14:paraId="7907C903"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30. [Minoxidil] Topical minoxidil concentrations greater than 5% (e.g., 7–10%) should be preferred as initial therapy in adults to accelerate response.</w:t>
      </w:r>
    </w:p>
    <w:p w14:paraId="3AB77DB0"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Removed; evidence considered insufficient for routine preference (final Statement 7 emphasizes limited role of &gt;5%).</w:t>
      </w:r>
    </w:p>
    <w:p w14:paraId="2C5D9DAF"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31. [Minoxidil] Oral minoxidil can be considered a first‑line alternative to topical minoxidil for adults without cardiovascular comorbidity.</w:t>
      </w:r>
    </w:p>
    <w:p w14:paraId="1E7706C3"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Reworded; oral minoxidil reserved for topical non‑compliance or intolerance (final Statement 11).</w:t>
      </w:r>
    </w:p>
    <w:p w14:paraId="574B258E"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32. [Antiandrogens] Topical finasteride should routinely replace oral finasteride in men to minimize systemic adverse effects.</w:t>
      </w:r>
    </w:p>
    <w:p w14:paraId="78EC93B2"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Merged; topical finasteride considered within combination/individualized therapy rather than routine replacement (final Statement 25).</w:t>
      </w:r>
    </w:p>
    <w:p w14:paraId="26EB0F13"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lastRenderedPageBreak/>
        <w:t>33. [Low‑Level Laser Therapy] Daily home‑use low‑level laser therapy is superior to thrice‑weekly regimens and should be recommended when available.</w:t>
      </w:r>
    </w:p>
    <w:p w14:paraId="22AE05AD"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Removed; frequency standardized to three times per week based on practicality and evidence synthesis (final Statement 17).</w:t>
      </w:r>
    </w:p>
    <w:p w14:paraId="091C730D"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34. [Adjuvant/Procedures] Microneedling at ≥1.5 mm depth performed weekly is superior to ≤1.0 mm depths and should be routinely combined with minoxidil.</w:t>
      </w:r>
    </w:p>
    <w:p w14:paraId="23766BDA"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Refined to endorse microneedling as an adjunct without prescriptive depth/frequency (final Statement 24).</w:t>
      </w:r>
    </w:p>
    <w:p w14:paraId="11145188" w14:textId="77777777" w:rsidR="00D73985" w:rsidRPr="00194F06" w:rsidRDefault="00000000">
      <w:pPr>
        <w:rPr>
          <w:rFonts w:asciiTheme="majorBidi" w:hAnsiTheme="majorBidi" w:cstheme="majorBidi"/>
          <w:sz w:val="24"/>
          <w:szCs w:val="24"/>
        </w:rPr>
      </w:pPr>
      <w:r w:rsidRPr="00194F06">
        <w:rPr>
          <w:rFonts w:asciiTheme="majorBidi" w:hAnsiTheme="majorBidi" w:cstheme="majorBidi"/>
          <w:sz w:val="24"/>
          <w:szCs w:val="24"/>
        </w:rPr>
        <w:t>35. [Hair Transplant/Counseling] Patients with Norwood II hair loss should be considered for early hair transplantation after 6 months of medical therapy if psychosocial distress is present.</w:t>
      </w:r>
    </w:p>
    <w:p w14:paraId="53887EE2" w14:textId="77777777" w:rsidR="00D73985" w:rsidRPr="00194F06" w:rsidRDefault="00000000">
      <w:pPr>
        <w:rPr>
          <w:rFonts w:asciiTheme="majorBidi" w:hAnsiTheme="majorBidi" w:cstheme="majorBidi"/>
          <w:sz w:val="24"/>
          <w:szCs w:val="24"/>
        </w:rPr>
      </w:pPr>
      <w:r w:rsidRPr="00194F06">
        <w:rPr>
          <w:rFonts w:asciiTheme="majorBidi" w:hAnsiTheme="majorBidi" w:cstheme="majorBidi"/>
          <w:b/>
          <w:sz w:val="24"/>
          <w:szCs w:val="24"/>
        </w:rPr>
        <w:t xml:space="preserve">    Disposition: </w:t>
      </w:r>
      <w:r w:rsidRPr="00194F06">
        <w:rPr>
          <w:rFonts w:asciiTheme="majorBidi" w:hAnsiTheme="majorBidi" w:cstheme="majorBidi"/>
          <w:sz w:val="24"/>
          <w:szCs w:val="24"/>
        </w:rPr>
        <w:t>Refined to a more conservative threshold and timing for transplantation (final Statement 26).</w:t>
      </w:r>
    </w:p>
    <w:p w14:paraId="367891F3" w14:textId="77777777" w:rsidR="00D73985" w:rsidRPr="00194F06" w:rsidRDefault="00D73985">
      <w:pPr>
        <w:rPr>
          <w:rFonts w:asciiTheme="majorBidi" w:hAnsiTheme="majorBidi" w:cstheme="majorBidi"/>
          <w:sz w:val="24"/>
          <w:szCs w:val="24"/>
        </w:rPr>
      </w:pPr>
    </w:p>
    <w:p w14:paraId="4A83D5B1" w14:textId="77777777" w:rsidR="00D73985" w:rsidRDefault="00000000">
      <w:pPr>
        <w:rPr>
          <w:rFonts w:asciiTheme="majorBidi" w:hAnsiTheme="majorBidi" w:cstheme="majorBidi"/>
          <w:sz w:val="24"/>
          <w:szCs w:val="24"/>
        </w:rPr>
      </w:pPr>
      <w:r w:rsidRPr="00194F06">
        <w:rPr>
          <w:rFonts w:asciiTheme="majorBidi" w:hAnsiTheme="majorBidi" w:cstheme="majorBidi"/>
          <w:sz w:val="24"/>
          <w:szCs w:val="24"/>
        </w:rPr>
        <w:t>Consensus definition for Round‑2: Items achieving ≥75% ‘Agree’ among experts were classified as consensus statements.</w:t>
      </w:r>
    </w:p>
    <w:p w14:paraId="6808CD87" w14:textId="77777777" w:rsidR="007F4018" w:rsidRDefault="007F4018">
      <w:pPr>
        <w:rPr>
          <w:rFonts w:asciiTheme="majorBidi" w:hAnsiTheme="majorBidi" w:cstheme="majorBidi"/>
          <w:sz w:val="24"/>
          <w:szCs w:val="24"/>
        </w:rPr>
      </w:pPr>
    </w:p>
    <w:p w14:paraId="03C5823D" w14:textId="77777777" w:rsidR="007F4018" w:rsidRDefault="007F4018">
      <w:pPr>
        <w:rPr>
          <w:rFonts w:asciiTheme="majorBidi" w:hAnsiTheme="majorBidi" w:cstheme="majorBidi"/>
          <w:sz w:val="24"/>
          <w:szCs w:val="24"/>
        </w:rPr>
      </w:pPr>
    </w:p>
    <w:p w14:paraId="74E8ED70" w14:textId="77777777" w:rsidR="007F4018" w:rsidRDefault="007F4018">
      <w:pPr>
        <w:rPr>
          <w:rFonts w:asciiTheme="majorBidi" w:hAnsiTheme="majorBidi" w:cstheme="majorBidi"/>
          <w:sz w:val="24"/>
          <w:szCs w:val="24"/>
        </w:rPr>
      </w:pPr>
    </w:p>
    <w:p w14:paraId="7164296C" w14:textId="77777777" w:rsidR="007F4018" w:rsidRDefault="007F4018">
      <w:pPr>
        <w:rPr>
          <w:rFonts w:asciiTheme="majorBidi" w:hAnsiTheme="majorBidi" w:cstheme="majorBidi"/>
          <w:sz w:val="24"/>
          <w:szCs w:val="24"/>
        </w:rPr>
      </w:pPr>
    </w:p>
    <w:p w14:paraId="5A1F43EB" w14:textId="77777777" w:rsidR="007F4018" w:rsidRDefault="007F4018">
      <w:pPr>
        <w:rPr>
          <w:rFonts w:asciiTheme="majorBidi" w:hAnsiTheme="majorBidi" w:cstheme="majorBidi"/>
          <w:sz w:val="24"/>
          <w:szCs w:val="24"/>
        </w:rPr>
      </w:pPr>
    </w:p>
    <w:p w14:paraId="7591A911" w14:textId="77777777" w:rsidR="007F4018" w:rsidRDefault="007F4018">
      <w:pPr>
        <w:rPr>
          <w:rFonts w:asciiTheme="majorBidi" w:hAnsiTheme="majorBidi" w:cstheme="majorBidi"/>
          <w:sz w:val="24"/>
          <w:szCs w:val="24"/>
        </w:rPr>
      </w:pPr>
    </w:p>
    <w:p w14:paraId="2C44C3AA" w14:textId="77777777" w:rsidR="007F4018" w:rsidRDefault="007F4018">
      <w:pPr>
        <w:rPr>
          <w:rFonts w:asciiTheme="majorBidi" w:hAnsiTheme="majorBidi" w:cstheme="majorBidi"/>
          <w:sz w:val="24"/>
          <w:szCs w:val="24"/>
        </w:rPr>
      </w:pPr>
    </w:p>
    <w:p w14:paraId="2681F8DE" w14:textId="77777777" w:rsidR="007F4018" w:rsidRDefault="007F4018">
      <w:pPr>
        <w:rPr>
          <w:rFonts w:asciiTheme="majorBidi" w:hAnsiTheme="majorBidi" w:cstheme="majorBidi"/>
          <w:sz w:val="24"/>
          <w:szCs w:val="24"/>
        </w:rPr>
      </w:pPr>
    </w:p>
    <w:p w14:paraId="06C0E167" w14:textId="77777777" w:rsidR="007F4018" w:rsidRDefault="007F4018">
      <w:pPr>
        <w:rPr>
          <w:rFonts w:asciiTheme="majorBidi" w:hAnsiTheme="majorBidi" w:cstheme="majorBidi"/>
          <w:sz w:val="24"/>
          <w:szCs w:val="24"/>
        </w:rPr>
      </w:pPr>
    </w:p>
    <w:p w14:paraId="349C5EE1" w14:textId="77777777" w:rsidR="007F4018" w:rsidRDefault="007F4018">
      <w:pPr>
        <w:rPr>
          <w:rFonts w:asciiTheme="majorBidi" w:hAnsiTheme="majorBidi" w:cstheme="majorBidi"/>
          <w:sz w:val="24"/>
          <w:szCs w:val="24"/>
        </w:rPr>
      </w:pPr>
    </w:p>
    <w:p w14:paraId="47D36E06" w14:textId="77777777" w:rsidR="007F4018" w:rsidRDefault="007F4018">
      <w:pPr>
        <w:rPr>
          <w:rFonts w:asciiTheme="majorBidi" w:hAnsiTheme="majorBidi" w:cstheme="majorBidi"/>
          <w:sz w:val="24"/>
          <w:szCs w:val="24"/>
        </w:rPr>
      </w:pPr>
    </w:p>
    <w:p w14:paraId="06EC44B4" w14:textId="77777777" w:rsidR="007F4018" w:rsidRDefault="007F4018">
      <w:pPr>
        <w:rPr>
          <w:rFonts w:asciiTheme="majorBidi" w:hAnsiTheme="majorBidi" w:cstheme="majorBidi"/>
          <w:sz w:val="24"/>
          <w:szCs w:val="24"/>
        </w:rPr>
      </w:pPr>
    </w:p>
    <w:p w14:paraId="6F194B2A" w14:textId="69D51DA1" w:rsidR="007F4018" w:rsidRPr="00BB4F58" w:rsidRDefault="007F4018" w:rsidP="007F4018">
      <w:pPr>
        <w:rPr>
          <w:rFonts w:asciiTheme="majorBidi" w:hAnsiTheme="majorBidi" w:cstheme="majorBidi"/>
          <w:b/>
          <w:bCs/>
          <w:sz w:val="24"/>
          <w:szCs w:val="24"/>
        </w:rPr>
      </w:pPr>
      <w:r w:rsidRPr="00BB4F58">
        <w:rPr>
          <w:rFonts w:asciiTheme="majorBidi" w:hAnsiTheme="majorBidi" w:cstheme="majorBidi"/>
          <w:b/>
          <w:bCs/>
          <w:sz w:val="24"/>
          <w:szCs w:val="24"/>
        </w:rPr>
        <w:lastRenderedPageBreak/>
        <w:t xml:space="preserve">Supplementary Table </w:t>
      </w:r>
      <w:r>
        <w:rPr>
          <w:rFonts w:asciiTheme="majorBidi" w:hAnsiTheme="majorBidi" w:cstheme="majorBidi"/>
          <w:b/>
          <w:bCs/>
          <w:sz w:val="24"/>
          <w:szCs w:val="24"/>
        </w:rPr>
        <w:t>1</w:t>
      </w:r>
      <w:r w:rsidRPr="00BB4F58">
        <w:rPr>
          <w:rFonts w:asciiTheme="majorBidi" w:hAnsiTheme="majorBidi" w:cstheme="majorBidi"/>
          <w:b/>
          <w:bCs/>
          <w:sz w:val="24"/>
          <w:szCs w:val="24"/>
        </w:rPr>
        <w:t xml:space="preserve">: Raw </w:t>
      </w:r>
      <w:r>
        <w:rPr>
          <w:rFonts w:asciiTheme="majorBidi" w:hAnsiTheme="majorBidi" w:cstheme="majorBidi"/>
          <w:b/>
          <w:bCs/>
          <w:sz w:val="24"/>
          <w:szCs w:val="24"/>
        </w:rPr>
        <w:t>C</w:t>
      </w:r>
      <w:r w:rsidRPr="00BB4F58">
        <w:rPr>
          <w:rFonts w:asciiTheme="majorBidi" w:hAnsiTheme="majorBidi" w:cstheme="majorBidi"/>
          <w:b/>
          <w:bCs/>
          <w:sz w:val="24"/>
          <w:szCs w:val="24"/>
        </w:rPr>
        <w:t>ounts of Round‑2 (20‑member expert panel).</w:t>
      </w:r>
    </w:p>
    <w:tbl>
      <w:tblPr>
        <w:tblStyle w:val="TableGrid"/>
        <w:tblW w:w="11923" w:type="dxa"/>
        <w:jc w:val="center"/>
        <w:tblLayout w:type="fixed"/>
        <w:tblLook w:val="04A0" w:firstRow="1" w:lastRow="0" w:firstColumn="1" w:lastColumn="0" w:noHBand="0" w:noVBand="1"/>
      </w:tblPr>
      <w:tblGrid>
        <w:gridCol w:w="1890"/>
        <w:gridCol w:w="1260"/>
        <w:gridCol w:w="3894"/>
        <w:gridCol w:w="803"/>
        <w:gridCol w:w="936"/>
        <w:gridCol w:w="1069"/>
        <w:gridCol w:w="723"/>
        <w:gridCol w:w="1348"/>
      </w:tblGrid>
      <w:tr w:rsidR="007F4018" w:rsidRPr="00F22B3E" w14:paraId="70FD5E0E" w14:textId="77777777" w:rsidTr="000C7C77">
        <w:trPr>
          <w:jc w:val="center"/>
        </w:trPr>
        <w:tc>
          <w:tcPr>
            <w:tcW w:w="1890" w:type="dxa"/>
          </w:tcPr>
          <w:p w14:paraId="38657BD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Key Area</w:t>
            </w:r>
          </w:p>
        </w:tc>
        <w:tc>
          <w:tcPr>
            <w:tcW w:w="1260" w:type="dxa"/>
          </w:tcPr>
          <w:p w14:paraId="284D1BC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Statement #</w:t>
            </w:r>
          </w:p>
        </w:tc>
        <w:tc>
          <w:tcPr>
            <w:tcW w:w="3894" w:type="dxa"/>
          </w:tcPr>
          <w:p w14:paraId="312EB8D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Summary Statement</w:t>
            </w:r>
          </w:p>
        </w:tc>
        <w:tc>
          <w:tcPr>
            <w:tcW w:w="803" w:type="dxa"/>
          </w:tcPr>
          <w:p w14:paraId="6876085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Agree (n)</w:t>
            </w:r>
          </w:p>
        </w:tc>
        <w:tc>
          <w:tcPr>
            <w:tcW w:w="936" w:type="dxa"/>
          </w:tcPr>
          <w:p w14:paraId="132BC61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Neutral (n)</w:t>
            </w:r>
          </w:p>
        </w:tc>
        <w:tc>
          <w:tcPr>
            <w:tcW w:w="1069" w:type="dxa"/>
          </w:tcPr>
          <w:p w14:paraId="115AD57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Disagree (n)</w:t>
            </w:r>
          </w:p>
        </w:tc>
        <w:tc>
          <w:tcPr>
            <w:tcW w:w="723" w:type="dxa"/>
          </w:tcPr>
          <w:p w14:paraId="64BD0FA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Total (n)</w:t>
            </w:r>
          </w:p>
        </w:tc>
        <w:tc>
          <w:tcPr>
            <w:tcW w:w="1348" w:type="dxa"/>
          </w:tcPr>
          <w:p w14:paraId="440E3B1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Agreement (%)</w:t>
            </w:r>
          </w:p>
        </w:tc>
      </w:tr>
      <w:tr w:rsidR="007F4018" w:rsidRPr="00F22B3E" w14:paraId="42A44614" w14:textId="77777777" w:rsidTr="000C7C77">
        <w:trPr>
          <w:jc w:val="center"/>
        </w:trPr>
        <w:tc>
          <w:tcPr>
            <w:tcW w:w="1890" w:type="dxa"/>
            <w:vMerge w:val="restart"/>
          </w:tcPr>
          <w:p w14:paraId="430E3F9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Diagnosis</w:t>
            </w:r>
          </w:p>
        </w:tc>
        <w:tc>
          <w:tcPr>
            <w:tcW w:w="1260" w:type="dxa"/>
          </w:tcPr>
          <w:p w14:paraId="14AA4B1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w:t>
            </w:r>
          </w:p>
        </w:tc>
        <w:tc>
          <w:tcPr>
            <w:tcW w:w="3894" w:type="dxa"/>
          </w:tcPr>
          <w:p w14:paraId="6410676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All patients with suspected AGA must undergo a comprehensive medical history assessment, encompassing the age of commencement of hair loss, family history; medical conditions such as metabolic syndrome and insulin resistance; use of anabolic substances including whey and isolate protein shakes; and smoking habits</w:t>
            </w:r>
          </w:p>
        </w:tc>
        <w:tc>
          <w:tcPr>
            <w:tcW w:w="803" w:type="dxa"/>
          </w:tcPr>
          <w:p w14:paraId="645BF2B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19</w:t>
            </w:r>
          </w:p>
        </w:tc>
        <w:tc>
          <w:tcPr>
            <w:tcW w:w="936" w:type="dxa"/>
          </w:tcPr>
          <w:p w14:paraId="367C6DC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w:t>
            </w:r>
          </w:p>
        </w:tc>
        <w:tc>
          <w:tcPr>
            <w:tcW w:w="1069" w:type="dxa"/>
          </w:tcPr>
          <w:p w14:paraId="5E8CC78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59CE99F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65F6A85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95</w:t>
            </w:r>
          </w:p>
        </w:tc>
      </w:tr>
      <w:tr w:rsidR="007F4018" w:rsidRPr="00F22B3E" w14:paraId="727C01E3" w14:textId="77777777" w:rsidTr="000C7C77">
        <w:trPr>
          <w:jc w:val="center"/>
        </w:trPr>
        <w:tc>
          <w:tcPr>
            <w:tcW w:w="1890" w:type="dxa"/>
            <w:vMerge/>
          </w:tcPr>
          <w:p w14:paraId="33214382" w14:textId="77777777" w:rsidR="007F4018" w:rsidRPr="00F22B3E" w:rsidRDefault="007F4018" w:rsidP="000C7C77">
            <w:pPr>
              <w:rPr>
                <w:rFonts w:asciiTheme="majorBidi" w:hAnsiTheme="majorBidi" w:cstheme="majorBidi"/>
                <w:sz w:val="24"/>
                <w:szCs w:val="24"/>
              </w:rPr>
            </w:pPr>
          </w:p>
        </w:tc>
        <w:tc>
          <w:tcPr>
            <w:tcW w:w="1260" w:type="dxa"/>
          </w:tcPr>
          <w:p w14:paraId="1E27AEB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3894" w:type="dxa"/>
          </w:tcPr>
          <w:p w14:paraId="7365755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Clinical examination of the scalp is typically sufficient for diagnosing AGA</w:t>
            </w:r>
          </w:p>
        </w:tc>
        <w:tc>
          <w:tcPr>
            <w:tcW w:w="803" w:type="dxa"/>
          </w:tcPr>
          <w:p w14:paraId="1652AD6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17</w:t>
            </w:r>
          </w:p>
        </w:tc>
        <w:tc>
          <w:tcPr>
            <w:tcW w:w="936" w:type="dxa"/>
          </w:tcPr>
          <w:p w14:paraId="7CD2D70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3</w:t>
            </w:r>
          </w:p>
        </w:tc>
        <w:tc>
          <w:tcPr>
            <w:tcW w:w="1069" w:type="dxa"/>
          </w:tcPr>
          <w:p w14:paraId="3F90117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14FBE29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1E31AB0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85</w:t>
            </w:r>
          </w:p>
        </w:tc>
      </w:tr>
      <w:tr w:rsidR="007F4018" w:rsidRPr="00F22B3E" w14:paraId="418F9F67" w14:textId="77777777" w:rsidTr="000C7C77">
        <w:trPr>
          <w:jc w:val="center"/>
        </w:trPr>
        <w:tc>
          <w:tcPr>
            <w:tcW w:w="1890" w:type="dxa"/>
            <w:vMerge/>
          </w:tcPr>
          <w:p w14:paraId="1A615E73" w14:textId="77777777" w:rsidR="007F4018" w:rsidRPr="00F22B3E" w:rsidRDefault="007F4018" w:rsidP="000C7C77">
            <w:pPr>
              <w:rPr>
                <w:rFonts w:asciiTheme="majorBidi" w:hAnsiTheme="majorBidi" w:cstheme="majorBidi"/>
                <w:sz w:val="24"/>
                <w:szCs w:val="24"/>
              </w:rPr>
            </w:pPr>
          </w:p>
        </w:tc>
        <w:tc>
          <w:tcPr>
            <w:tcW w:w="1260" w:type="dxa"/>
          </w:tcPr>
          <w:p w14:paraId="2471145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3</w:t>
            </w:r>
          </w:p>
        </w:tc>
        <w:tc>
          <w:tcPr>
            <w:tcW w:w="3894" w:type="dxa"/>
          </w:tcPr>
          <w:p w14:paraId="2126B1D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 xml:space="preserve">Complementary assessments, including the pull test and </w:t>
            </w:r>
            <w:proofErr w:type="spellStart"/>
            <w:r w:rsidRPr="00F22B3E">
              <w:rPr>
                <w:rFonts w:asciiTheme="majorBidi" w:hAnsiTheme="majorBidi" w:cstheme="majorBidi"/>
                <w:sz w:val="24"/>
                <w:szCs w:val="24"/>
              </w:rPr>
              <w:t>trichoscopy</w:t>
            </w:r>
            <w:proofErr w:type="spellEnd"/>
            <w:r w:rsidRPr="00F22B3E">
              <w:rPr>
                <w:rFonts w:asciiTheme="majorBidi" w:hAnsiTheme="majorBidi" w:cstheme="majorBidi"/>
                <w:sz w:val="24"/>
                <w:szCs w:val="24"/>
              </w:rPr>
              <w:t>, for evaluating the terminal-to-vellus hair ratio, are useful tools to confirm the diagnosis</w:t>
            </w:r>
          </w:p>
        </w:tc>
        <w:tc>
          <w:tcPr>
            <w:tcW w:w="803" w:type="dxa"/>
          </w:tcPr>
          <w:p w14:paraId="6481433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936" w:type="dxa"/>
          </w:tcPr>
          <w:p w14:paraId="4DFCAB7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7149B75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340B3B4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2DEEE9E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7B88470E" w14:textId="77777777" w:rsidTr="000C7C77">
        <w:trPr>
          <w:jc w:val="center"/>
        </w:trPr>
        <w:tc>
          <w:tcPr>
            <w:tcW w:w="1890" w:type="dxa"/>
            <w:vMerge/>
          </w:tcPr>
          <w:p w14:paraId="3DE30883" w14:textId="77777777" w:rsidR="007F4018" w:rsidRPr="00F22B3E" w:rsidRDefault="007F4018" w:rsidP="000C7C77">
            <w:pPr>
              <w:rPr>
                <w:rFonts w:asciiTheme="majorBidi" w:hAnsiTheme="majorBidi" w:cstheme="majorBidi"/>
                <w:sz w:val="24"/>
                <w:szCs w:val="24"/>
              </w:rPr>
            </w:pPr>
          </w:p>
        </w:tc>
        <w:tc>
          <w:tcPr>
            <w:tcW w:w="1260" w:type="dxa"/>
          </w:tcPr>
          <w:p w14:paraId="49CA581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4</w:t>
            </w:r>
          </w:p>
        </w:tc>
        <w:tc>
          <w:tcPr>
            <w:tcW w:w="3894" w:type="dxa"/>
          </w:tcPr>
          <w:p w14:paraId="72A3382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Basic investigations can be reserved for patients whose history and examination findings suggest a specific disease or deficiency</w:t>
            </w:r>
          </w:p>
        </w:tc>
        <w:tc>
          <w:tcPr>
            <w:tcW w:w="803" w:type="dxa"/>
          </w:tcPr>
          <w:p w14:paraId="7AAE5EB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936" w:type="dxa"/>
          </w:tcPr>
          <w:p w14:paraId="0E75CE4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5877749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79C1069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7D27D0F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49AC8B53" w14:textId="77777777" w:rsidTr="000C7C77">
        <w:trPr>
          <w:jc w:val="center"/>
        </w:trPr>
        <w:tc>
          <w:tcPr>
            <w:tcW w:w="1890" w:type="dxa"/>
            <w:vMerge w:val="restart"/>
          </w:tcPr>
          <w:p w14:paraId="361ACE4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Minoxidil</w:t>
            </w:r>
          </w:p>
        </w:tc>
        <w:tc>
          <w:tcPr>
            <w:tcW w:w="1260" w:type="dxa"/>
          </w:tcPr>
          <w:p w14:paraId="3D67A2A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5</w:t>
            </w:r>
          </w:p>
        </w:tc>
        <w:tc>
          <w:tcPr>
            <w:tcW w:w="3894" w:type="dxa"/>
          </w:tcPr>
          <w:p w14:paraId="4BD7B0F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Topical minoxidil solution is administered in a dosage of 1 mL twice daily</w:t>
            </w:r>
          </w:p>
        </w:tc>
        <w:tc>
          <w:tcPr>
            <w:tcW w:w="803" w:type="dxa"/>
          </w:tcPr>
          <w:p w14:paraId="2CADCF5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936" w:type="dxa"/>
          </w:tcPr>
          <w:p w14:paraId="22F76ED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1069" w:type="dxa"/>
          </w:tcPr>
          <w:p w14:paraId="0963A66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4EF308F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5CABE63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100</w:t>
            </w:r>
          </w:p>
        </w:tc>
      </w:tr>
      <w:tr w:rsidR="007F4018" w:rsidRPr="00F22B3E" w14:paraId="5F10D099" w14:textId="77777777" w:rsidTr="000C7C77">
        <w:trPr>
          <w:jc w:val="center"/>
        </w:trPr>
        <w:tc>
          <w:tcPr>
            <w:tcW w:w="1890" w:type="dxa"/>
            <w:vMerge/>
          </w:tcPr>
          <w:p w14:paraId="7B69CED5" w14:textId="77777777" w:rsidR="007F4018" w:rsidRPr="00F22B3E" w:rsidRDefault="007F4018" w:rsidP="000C7C77">
            <w:pPr>
              <w:rPr>
                <w:rFonts w:asciiTheme="majorBidi" w:hAnsiTheme="majorBidi" w:cstheme="majorBidi"/>
                <w:sz w:val="24"/>
                <w:szCs w:val="24"/>
              </w:rPr>
            </w:pPr>
          </w:p>
        </w:tc>
        <w:tc>
          <w:tcPr>
            <w:tcW w:w="1260" w:type="dxa"/>
          </w:tcPr>
          <w:p w14:paraId="2530BFD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6</w:t>
            </w:r>
          </w:p>
        </w:tc>
        <w:tc>
          <w:tcPr>
            <w:tcW w:w="3894" w:type="dxa"/>
          </w:tcPr>
          <w:p w14:paraId="5A3D25C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Minoxidil 5% foam is more effective than 2% solution in female pattern hair loss</w:t>
            </w:r>
          </w:p>
        </w:tc>
        <w:tc>
          <w:tcPr>
            <w:tcW w:w="803" w:type="dxa"/>
          </w:tcPr>
          <w:p w14:paraId="76DF086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936" w:type="dxa"/>
          </w:tcPr>
          <w:p w14:paraId="655136D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77B1F2E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00C174F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18B1262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16C97FE3" w14:textId="77777777" w:rsidTr="000C7C77">
        <w:trPr>
          <w:jc w:val="center"/>
        </w:trPr>
        <w:tc>
          <w:tcPr>
            <w:tcW w:w="1890" w:type="dxa"/>
            <w:vMerge/>
          </w:tcPr>
          <w:p w14:paraId="231F78A7" w14:textId="77777777" w:rsidR="007F4018" w:rsidRPr="00F22B3E" w:rsidRDefault="007F4018" w:rsidP="000C7C77">
            <w:pPr>
              <w:rPr>
                <w:rFonts w:asciiTheme="majorBidi" w:hAnsiTheme="majorBidi" w:cstheme="majorBidi"/>
                <w:sz w:val="24"/>
                <w:szCs w:val="24"/>
              </w:rPr>
            </w:pPr>
          </w:p>
        </w:tc>
        <w:tc>
          <w:tcPr>
            <w:tcW w:w="1260" w:type="dxa"/>
          </w:tcPr>
          <w:p w14:paraId="0964729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7</w:t>
            </w:r>
          </w:p>
        </w:tc>
        <w:tc>
          <w:tcPr>
            <w:tcW w:w="3894" w:type="dxa"/>
          </w:tcPr>
          <w:p w14:paraId="6D8CCF1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Higher concentrations of minoxidil &gt;5% have a limited role in therapy</w:t>
            </w:r>
          </w:p>
        </w:tc>
        <w:tc>
          <w:tcPr>
            <w:tcW w:w="803" w:type="dxa"/>
          </w:tcPr>
          <w:p w14:paraId="4DF2779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17</w:t>
            </w:r>
          </w:p>
        </w:tc>
        <w:tc>
          <w:tcPr>
            <w:tcW w:w="936" w:type="dxa"/>
          </w:tcPr>
          <w:p w14:paraId="69E2664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3</w:t>
            </w:r>
          </w:p>
        </w:tc>
        <w:tc>
          <w:tcPr>
            <w:tcW w:w="1069" w:type="dxa"/>
          </w:tcPr>
          <w:p w14:paraId="2D7A486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47392B8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7747C12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85</w:t>
            </w:r>
          </w:p>
        </w:tc>
      </w:tr>
      <w:tr w:rsidR="007F4018" w:rsidRPr="00F22B3E" w14:paraId="67D9086A" w14:textId="77777777" w:rsidTr="000C7C77">
        <w:trPr>
          <w:jc w:val="center"/>
        </w:trPr>
        <w:tc>
          <w:tcPr>
            <w:tcW w:w="1890" w:type="dxa"/>
            <w:vMerge/>
          </w:tcPr>
          <w:p w14:paraId="4B3BDA0B" w14:textId="77777777" w:rsidR="007F4018" w:rsidRPr="00F22B3E" w:rsidRDefault="007F4018" w:rsidP="000C7C77">
            <w:pPr>
              <w:rPr>
                <w:rFonts w:asciiTheme="majorBidi" w:hAnsiTheme="majorBidi" w:cstheme="majorBidi"/>
                <w:sz w:val="24"/>
                <w:szCs w:val="24"/>
              </w:rPr>
            </w:pPr>
          </w:p>
        </w:tc>
        <w:tc>
          <w:tcPr>
            <w:tcW w:w="1260" w:type="dxa"/>
          </w:tcPr>
          <w:p w14:paraId="5228A2C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w:t>
            </w:r>
          </w:p>
        </w:tc>
        <w:tc>
          <w:tcPr>
            <w:tcW w:w="3894" w:type="dxa"/>
          </w:tcPr>
          <w:p w14:paraId="7BF96A6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Patients on minoxidil should be warned of the possibility of an initial but temporary hair fall, which should not prompt discontinuation of treatment</w:t>
            </w:r>
          </w:p>
        </w:tc>
        <w:tc>
          <w:tcPr>
            <w:tcW w:w="803" w:type="dxa"/>
          </w:tcPr>
          <w:p w14:paraId="2A7407E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19</w:t>
            </w:r>
          </w:p>
        </w:tc>
        <w:tc>
          <w:tcPr>
            <w:tcW w:w="936" w:type="dxa"/>
          </w:tcPr>
          <w:p w14:paraId="405EEC0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w:t>
            </w:r>
          </w:p>
        </w:tc>
        <w:tc>
          <w:tcPr>
            <w:tcW w:w="1069" w:type="dxa"/>
          </w:tcPr>
          <w:p w14:paraId="14917F3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2CCB37E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0B2D671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95</w:t>
            </w:r>
          </w:p>
        </w:tc>
      </w:tr>
      <w:tr w:rsidR="007F4018" w:rsidRPr="00F22B3E" w14:paraId="303EF696" w14:textId="77777777" w:rsidTr="000C7C77">
        <w:trPr>
          <w:jc w:val="center"/>
        </w:trPr>
        <w:tc>
          <w:tcPr>
            <w:tcW w:w="1890" w:type="dxa"/>
            <w:vMerge/>
          </w:tcPr>
          <w:p w14:paraId="0C24BEA6" w14:textId="77777777" w:rsidR="007F4018" w:rsidRPr="00F22B3E" w:rsidRDefault="007F4018" w:rsidP="000C7C77">
            <w:pPr>
              <w:rPr>
                <w:rFonts w:asciiTheme="majorBidi" w:hAnsiTheme="majorBidi" w:cstheme="majorBidi"/>
                <w:sz w:val="24"/>
                <w:szCs w:val="24"/>
              </w:rPr>
            </w:pPr>
          </w:p>
        </w:tc>
        <w:tc>
          <w:tcPr>
            <w:tcW w:w="1260" w:type="dxa"/>
          </w:tcPr>
          <w:p w14:paraId="78B2AE9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w:t>
            </w:r>
          </w:p>
        </w:tc>
        <w:tc>
          <w:tcPr>
            <w:tcW w:w="3894" w:type="dxa"/>
          </w:tcPr>
          <w:p w14:paraId="79E17B5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Hypertrichosis is one of the most bothersome side effects of minoxidil but typically resolves within 1-6 months after drug discontinuation</w:t>
            </w:r>
          </w:p>
        </w:tc>
        <w:tc>
          <w:tcPr>
            <w:tcW w:w="803" w:type="dxa"/>
          </w:tcPr>
          <w:p w14:paraId="5A46F08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936" w:type="dxa"/>
          </w:tcPr>
          <w:p w14:paraId="6E8594F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15B0136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1EE6453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02F947A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38E77737" w14:textId="77777777" w:rsidTr="000C7C77">
        <w:trPr>
          <w:jc w:val="center"/>
        </w:trPr>
        <w:tc>
          <w:tcPr>
            <w:tcW w:w="1890" w:type="dxa"/>
            <w:vMerge/>
          </w:tcPr>
          <w:p w14:paraId="7A86AA50" w14:textId="77777777" w:rsidR="007F4018" w:rsidRPr="00F22B3E" w:rsidRDefault="007F4018" w:rsidP="000C7C77">
            <w:pPr>
              <w:rPr>
                <w:rFonts w:asciiTheme="majorBidi" w:hAnsiTheme="majorBidi" w:cstheme="majorBidi"/>
                <w:sz w:val="24"/>
                <w:szCs w:val="24"/>
              </w:rPr>
            </w:pPr>
          </w:p>
        </w:tc>
        <w:tc>
          <w:tcPr>
            <w:tcW w:w="1260" w:type="dxa"/>
          </w:tcPr>
          <w:p w14:paraId="1B40BD6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10</w:t>
            </w:r>
          </w:p>
        </w:tc>
        <w:tc>
          <w:tcPr>
            <w:tcW w:w="3894" w:type="dxa"/>
          </w:tcPr>
          <w:p w14:paraId="1DAE88C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 xml:space="preserve">Patients with AGA are considered non-responders to minoxidil after six months of continuous use without </w:t>
            </w:r>
            <w:r w:rsidRPr="00F22B3E">
              <w:rPr>
                <w:rFonts w:asciiTheme="majorBidi" w:hAnsiTheme="majorBidi" w:cstheme="majorBidi"/>
                <w:sz w:val="24"/>
                <w:szCs w:val="24"/>
              </w:rPr>
              <w:lastRenderedPageBreak/>
              <w:t>observable improvement</w:t>
            </w:r>
          </w:p>
        </w:tc>
        <w:tc>
          <w:tcPr>
            <w:tcW w:w="803" w:type="dxa"/>
          </w:tcPr>
          <w:p w14:paraId="4BC155B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lastRenderedPageBreak/>
              <w:t>18</w:t>
            </w:r>
          </w:p>
        </w:tc>
        <w:tc>
          <w:tcPr>
            <w:tcW w:w="936" w:type="dxa"/>
          </w:tcPr>
          <w:p w14:paraId="530316A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3888696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64401D0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0AA6B7D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0A92BACA" w14:textId="77777777" w:rsidTr="000C7C77">
        <w:trPr>
          <w:jc w:val="center"/>
        </w:trPr>
        <w:tc>
          <w:tcPr>
            <w:tcW w:w="1890" w:type="dxa"/>
            <w:vMerge/>
          </w:tcPr>
          <w:p w14:paraId="22D55718" w14:textId="77777777" w:rsidR="007F4018" w:rsidRPr="00F22B3E" w:rsidRDefault="007F4018" w:rsidP="000C7C77">
            <w:pPr>
              <w:rPr>
                <w:rFonts w:asciiTheme="majorBidi" w:hAnsiTheme="majorBidi" w:cstheme="majorBidi"/>
                <w:sz w:val="24"/>
                <w:szCs w:val="24"/>
              </w:rPr>
            </w:pPr>
          </w:p>
        </w:tc>
        <w:tc>
          <w:tcPr>
            <w:tcW w:w="1260" w:type="dxa"/>
          </w:tcPr>
          <w:p w14:paraId="6D7AEC9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11</w:t>
            </w:r>
          </w:p>
        </w:tc>
        <w:tc>
          <w:tcPr>
            <w:tcW w:w="3894" w:type="dxa"/>
          </w:tcPr>
          <w:p w14:paraId="1FD3318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Oral minoxidil in doses starting from 0.25 mg daily is considered, especially for patients with topical minoxidil non-compliance</w:t>
            </w:r>
          </w:p>
        </w:tc>
        <w:tc>
          <w:tcPr>
            <w:tcW w:w="803" w:type="dxa"/>
          </w:tcPr>
          <w:p w14:paraId="041FC56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17</w:t>
            </w:r>
          </w:p>
        </w:tc>
        <w:tc>
          <w:tcPr>
            <w:tcW w:w="936" w:type="dxa"/>
          </w:tcPr>
          <w:p w14:paraId="51E51DE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3</w:t>
            </w:r>
          </w:p>
        </w:tc>
        <w:tc>
          <w:tcPr>
            <w:tcW w:w="1069" w:type="dxa"/>
          </w:tcPr>
          <w:p w14:paraId="5DB992D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334427F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58BDF5F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85</w:t>
            </w:r>
          </w:p>
        </w:tc>
      </w:tr>
      <w:tr w:rsidR="007F4018" w:rsidRPr="00F22B3E" w14:paraId="1FA92B33" w14:textId="77777777" w:rsidTr="000C7C77">
        <w:trPr>
          <w:jc w:val="center"/>
        </w:trPr>
        <w:tc>
          <w:tcPr>
            <w:tcW w:w="1890" w:type="dxa"/>
            <w:vMerge/>
          </w:tcPr>
          <w:p w14:paraId="3A147C9F" w14:textId="77777777" w:rsidR="007F4018" w:rsidRPr="00F22B3E" w:rsidRDefault="007F4018" w:rsidP="000C7C77">
            <w:pPr>
              <w:rPr>
                <w:rFonts w:asciiTheme="majorBidi" w:hAnsiTheme="majorBidi" w:cstheme="majorBidi"/>
                <w:sz w:val="24"/>
                <w:szCs w:val="24"/>
              </w:rPr>
            </w:pPr>
          </w:p>
        </w:tc>
        <w:tc>
          <w:tcPr>
            <w:tcW w:w="1260" w:type="dxa"/>
          </w:tcPr>
          <w:p w14:paraId="3EFDC42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12</w:t>
            </w:r>
          </w:p>
        </w:tc>
        <w:tc>
          <w:tcPr>
            <w:tcW w:w="3894" w:type="dxa"/>
          </w:tcPr>
          <w:p w14:paraId="285B686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Intradermal minoxidil injection is an alternative for patients with poor compliance with daily topical application</w:t>
            </w:r>
          </w:p>
        </w:tc>
        <w:tc>
          <w:tcPr>
            <w:tcW w:w="803" w:type="dxa"/>
          </w:tcPr>
          <w:p w14:paraId="55C04B5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17</w:t>
            </w:r>
          </w:p>
        </w:tc>
        <w:tc>
          <w:tcPr>
            <w:tcW w:w="936" w:type="dxa"/>
          </w:tcPr>
          <w:p w14:paraId="4D18583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3</w:t>
            </w:r>
          </w:p>
        </w:tc>
        <w:tc>
          <w:tcPr>
            <w:tcW w:w="1069" w:type="dxa"/>
          </w:tcPr>
          <w:p w14:paraId="39FC6A7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238CBA6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68D71E1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85</w:t>
            </w:r>
          </w:p>
        </w:tc>
      </w:tr>
      <w:tr w:rsidR="007F4018" w:rsidRPr="00F22B3E" w14:paraId="7A06FA65" w14:textId="77777777" w:rsidTr="000C7C77">
        <w:trPr>
          <w:jc w:val="center"/>
        </w:trPr>
        <w:tc>
          <w:tcPr>
            <w:tcW w:w="1890" w:type="dxa"/>
            <w:vMerge/>
          </w:tcPr>
          <w:p w14:paraId="37EAFFC5" w14:textId="77777777" w:rsidR="007F4018" w:rsidRPr="00F22B3E" w:rsidRDefault="007F4018" w:rsidP="000C7C77">
            <w:pPr>
              <w:rPr>
                <w:rFonts w:asciiTheme="majorBidi" w:hAnsiTheme="majorBidi" w:cstheme="majorBidi"/>
                <w:sz w:val="24"/>
                <w:szCs w:val="24"/>
              </w:rPr>
            </w:pPr>
          </w:p>
        </w:tc>
        <w:tc>
          <w:tcPr>
            <w:tcW w:w="1260" w:type="dxa"/>
          </w:tcPr>
          <w:p w14:paraId="4D6303E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13</w:t>
            </w:r>
          </w:p>
        </w:tc>
        <w:tc>
          <w:tcPr>
            <w:tcW w:w="3894" w:type="dxa"/>
          </w:tcPr>
          <w:p w14:paraId="6A999ED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AGA in children and adolescents is becoming a more evident phenomenon, and topical minoxidil may be of therapeutic value</w:t>
            </w:r>
          </w:p>
        </w:tc>
        <w:tc>
          <w:tcPr>
            <w:tcW w:w="803" w:type="dxa"/>
          </w:tcPr>
          <w:p w14:paraId="22707E5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16</w:t>
            </w:r>
          </w:p>
        </w:tc>
        <w:tc>
          <w:tcPr>
            <w:tcW w:w="936" w:type="dxa"/>
          </w:tcPr>
          <w:p w14:paraId="50ABCBB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4</w:t>
            </w:r>
          </w:p>
        </w:tc>
        <w:tc>
          <w:tcPr>
            <w:tcW w:w="1069" w:type="dxa"/>
          </w:tcPr>
          <w:p w14:paraId="69B1F0F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6A76C96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6A19C77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80</w:t>
            </w:r>
          </w:p>
        </w:tc>
      </w:tr>
      <w:tr w:rsidR="007F4018" w:rsidRPr="00F22B3E" w14:paraId="216BC8AA" w14:textId="77777777" w:rsidTr="000C7C77">
        <w:trPr>
          <w:jc w:val="center"/>
        </w:trPr>
        <w:tc>
          <w:tcPr>
            <w:tcW w:w="1890" w:type="dxa"/>
            <w:vMerge w:val="restart"/>
          </w:tcPr>
          <w:p w14:paraId="78C0FBC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Antiandrogens</w:t>
            </w:r>
          </w:p>
        </w:tc>
        <w:tc>
          <w:tcPr>
            <w:tcW w:w="1260" w:type="dxa"/>
          </w:tcPr>
          <w:p w14:paraId="1E883B0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14</w:t>
            </w:r>
          </w:p>
        </w:tc>
        <w:tc>
          <w:tcPr>
            <w:tcW w:w="3894" w:type="dxa"/>
          </w:tcPr>
          <w:p w14:paraId="6B4DD38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Oral finasteride at a daily dosage of 1 mg is a potent modality in males with AGA</w:t>
            </w:r>
          </w:p>
        </w:tc>
        <w:tc>
          <w:tcPr>
            <w:tcW w:w="803" w:type="dxa"/>
          </w:tcPr>
          <w:p w14:paraId="23BA087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19</w:t>
            </w:r>
          </w:p>
        </w:tc>
        <w:tc>
          <w:tcPr>
            <w:tcW w:w="936" w:type="dxa"/>
          </w:tcPr>
          <w:p w14:paraId="32E480D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w:t>
            </w:r>
          </w:p>
        </w:tc>
        <w:tc>
          <w:tcPr>
            <w:tcW w:w="1069" w:type="dxa"/>
          </w:tcPr>
          <w:p w14:paraId="032FCBB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5BA6FEE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308CB79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95</w:t>
            </w:r>
          </w:p>
        </w:tc>
      </w:tr>
      <w:tr w:rsidR="007F4018" w:rsidRPr="00F22B3E" w14:paraId="6E1BA19B" w14:textId="77777777" w:rsidTr="000C7C77">
        <w:trPr>
          <w:jc w:val="center"/>
        </w:trPr>
        <w:tc>
          <w:tcPr>
            <w:tcW w:w="1890" w:type="dxa"/>
            <w:vMerge/>
          </w:tcPr>
          <w:p w14:paraId="3EFDED10" w14:textId="77777777" w:rsidR="007F4018" w:rsidRPr="00F22B3E" w:rsidRDefault="007F4018" w:rsidP="000C7C77">
            <w:pPr>
              <w:rPr>
                <w:rFonts w:asciiTheme="majorBidi" w:hAnsiTheme="majorBidi" w:cstheme="majorBidi"/>
                <w:sz w:val="24"/>
                <w:szCs w:val="24"/>
              </w:rPr>
            </w:pPr>
          </w:p>
        </w:tc>
        <w:tc>
          <w:tcPr>
            <w:tcW w:w="1260" w:type="dxa"/>
          </w:tcPr>
          <w:p w14:paraId="2E7C475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15</w:t>
            </w:r>
          </w:p>
        </w:tc>
        <w:tc>
          <w:tcPr>
            <w:tcW w:w="3894" w:type="dxa"/>
          </w:tcPr>
          <w:p w14:paraId="70C9CE3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Oral dutasteride 0.5 mg/day may be used as a line of therapy in male AGA patients</w:t>
            </w:r>
          </w:p>
        </w:tc>
        <w:tc>
          <w:tcPr>
            <w:tcW w:w="803" w:type="dxa"/>
          </w:tcPr>
          <w:p w14:paraId="08F8E64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936" w:type="dxa"/>
          </w:tcPr>
          <w:p w14:paraId="4FA6102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30C7498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685D200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57A19D4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0F757089" w14:textId="77777777" w:rsidTr="000C7C77">
        <w:trPr>
          <w:jc w:val="center"/>
        </w:trPr>
        <w:tc>
          <w:tcPr>
            <w:tcW w:w="1890" w:type="dxa"/>
            <w:vMerge/>
          </w:tcPr>
          <w:p w14:paraId="351397F8" w14:textId="77777777" w:rsidR="007F4018" w:rsidRPr="00F22B3E" w:rsidRDefault="007F4018" w:rsidP="000C7C77">
            <w:pPr>
              <w:rPr>
                <w:rFonts w:asciiTheme="majorBidi" w:hAnsiTheme="majorBidi" w:cstheme="majorBidi"/>
                <w:sz w:val="24"/>
                <w:szCs w:val="24"/>
              </w:rPr>
            </w:pPr>
          </w:p>
        </w:tc>
        <w:tc>
          <w:tcPr>
            <w:tcW w:w="1260" w:type="dxa"/>
          </w:tcPr>
          <w:p w14:paraId="4BB9C4D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16</w:t>
            </w:r>
          </w:p>
        </w:tc>
        <w:tc>
          <w:tcPr>
            <w:tcW w:w="3894" w:type="dxa"/>
          </w:tcPr>
          <w:p w14:paraId="30C1F58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Androgen receptor antagonists can play a role in the management of FPHL</w:t>
            </w:r>
          </w:p>
        </w:tc>
        <w:tc>
          <w:tcPr>
            <w:tcW w:w="803" w:type="dxa"/>
          </w:tcPr>
          <w:p w14:paraId="1BF4179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16</w:t>
            </w:r>
          </w:p>
        </w:tc>
        <w:tc>
          <w:tcPr>
            <w:tcW w:w="936" w:type="dxa"/>
          </w:tcPr>
          <w:p w14:paraId="7E3947B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4</w:t>
            </w:r>
          </w:p>
        </w:tc>
        <w:tc>
          <w:tcPr>
            <w:tcW w:w="1069" w:type="dxa"/>
          </w:tcPr>
          <w:p w14:paraId="7680B46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4295E8E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0C14A7C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80</w:t>
            </w:r>
          </w:p>
        </w:tc>
      </w:tr>
      <w:tr w:rsidR="007F4018" w:rsidRPr="00F22B3E" w14:paraId="0C2BD572" w14:textId="77777777" w:rsidTr="000C7C77">
        <w:trPr>
          <w:jc w:val="center"/>
        </w:trPr>
        <w:tc>
          <w:tcPr>
            <w:tcW w:w="1890" w:type="dxa"/>
          </w:tcPr>
          <w:p w14:paraId="276AF92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Low‑Level Laser Therapy</w:t>
            </w:r>
          </w:p>
        </w:tc>
        <w:tc>
          <w:tcPr>
            <w:tcW w:w="1260" w:type="dxa"/>
          </w:tcPr>
          <w:p w14:paraId="4DE6498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17</w:t>
            </w:r>
          </w:p>
        </w:tc>
        <w:tc>
          <w:tcPr>
            <w:tcW w:w="3894" w:type="dxa"/>
          </w:tcPr>
          <w:p w14:paraId="169EB40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Low-level laser therapy three times per week causes a decrease in the number of vellus hairs, an increase in terminal hair, and an increase in shaft diameter</w:t>
            </w:r>
          </w:p>
        </w:tc>
        <w:tc>
          <w:tcPr>
            <w:tcW w:w="803" w:type="dxa"/>
          </w:tcPr>
          <w:p w14:paraId="616C518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19</w:t>
            </w:r>
          </w:p>
        </w:tc>
        <w:tc>
          <w:tcPr>
            <w:tcW w:w="936" w:type="dxa"/>
          </w:tcPr>
          <w:p w14:paraId="138130C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w:t>
            </w:r>
          </w:p>
        </w:tc>
        <w:tc>
          <w:tcPr>
            <w:tcW w:w="1069" w:type="dxa"/>
          </w:tcPr>
          <w:p w14:paraId="5E389EE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3D35CE2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54318E4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95</w:t>
            </w:r>
          </w:p>
        </w:tc>
      </w:tr>
      <w:tr w:rsidR="007F4018" w:rsidRPr="00F22B3E" w14:paraId="2C212830" w14:textId="77777777" w:rsidTr="000C7C77">
        <w:trPr>
          <w:jc w:val="center"/>
        </w:trPr>
        <w:tc>
          <w:tcPr>
            <w:tcW w:w="1890" w:type="dxa"/>
            <w:vMerge w:val="restart"/>
          </w:tcPr>
          <w:p w14:paraId="08A82AD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Adjuvant Therapies</w:t>
            </w:r>
          </w:p>
        </w:tc>
        <w:tc>
          <w:tcPr>
            <w:tcW w:w="1260" w:type="dxa"/>
          </w:tcPr>
          <w:p w14:paraId="36813FD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3894" w:type="dxa"/>
          </w:tcPr>
          <w:p w14:paraId="177A257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Non-minoxidil topical therapies may have a beneficial role</w:t>
            </w:r>
          </w:p>
        </w:tc>
        <w:tc>
          <w:tcPr>
            <w:tcW w:w="803" w:type="dxa"/>
          </w:tcPr>
          <w:p w14:paraId="43FC3FB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15</w:t>
            </w:r>
          </w:p>
        </w:tc>
        <w:tc>
          <w:tcPr>
            <w:tcW w:w="936" w:type="dxa"/>
          </w:tcPr>
          <w:p w14:paraId="3F242DA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5</w:t>
            </w:r>
          </w:p>
        </w:tc>
        <w:tc>
          <w:tcPr>
            <w:tcW w:w="1069" w:type="dxa"/>
          </w:tcPr>
          <w:p w14:paraId="69F792D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59CA218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3A74C11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75</w:t>
            </w:r>
          </w:p>
        </w:tc>
      </w:tr>
      <w:tr w:rsidR="007F4018" w:rsidRPr="00F22B3E" w14:paraId="109859EA" w14:textId="77777777" w:rsidTr="000C7C77">
        <w:trPr>
          <w:jc w:val="center"/>
        </w:trPr>
        <w:tc>
          <w:tcPr>
            <w:tcW w:w="1890" w:type="dxa"/>
            <w:vMerge/>
          </w:tcPr>
          <w:p w14:paraId="0F0F8B30" w14:textId="77777777" w:rsidR="007F4018" w:rsidRPr="00F22B3E" w:rsidRDefault="007F4018" w:rsidP="000C7C77">
            <w:pPr>
              <w:rPr>
                <w:rFonts w:asciiTheme="majorBidi" w:hAnsiTheme="majorBidi" w:cstheme="majorBidi"/>
                <w:sz w:val="24"/>
                <w:szCs w:val="24"/>
              </w:rPr>
            </w:pPr>
          </w:p>
        </w:tc>
        <w:tc>
          <w:tcPr>
            <w:tcW w:w="1260" w:type="dxa"/>
          </w:tcPr>
          <w:p w14:paraId="625B6A6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19</w:t>
            </w:r>
          </w:p>
        </w:tc>
        <w:tc>
          <w:tcPr>
            <w:tcW w:w="3894" w:type="dxa"/>
          </w:tcPr>
          <w:p w14:paraId="680EEE6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Natural oils may be considered in minoxidil non-responders or those who refuse minoxidil therapy</w:t>
            </w:r>
          </w:p>
        </w:tc>
        <w:tc>
          <w:tcPr>
            <w:tcW w:w="803" w:type="dxa"/>
          </w:tcPr>
          <w:p w14:paraId="1FDDBE1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16</w:t>
            </w:r>
          </w:p>
        </w:tc>
        <w:tc>
          <w:tcPr>
            <w:tcW w:w="936" w:type="dxa"/>
          </w:tcPr>
          <w:p w14:paraId="18D240D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4</w:t>
            </w:r>
          </w:p>
        </w:tc>
        <w:tc>
          <w:tcPr>
            <w:tcW w:w="1069" w:type="dxa"/>
          </w:tcPr>
          <w:p w14:paraId="550D37D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7724097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3C8D378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80</w:t>
            </w:r>
          </w:p>
        </w:tc>
      </w:tr>
      <w:tr w:rsidR="007F4018" w:rsidRPr="00F22B3E" w14:paraId="4E91D59F" w14:textId="77777777" w:rsidTr="000C7C77">
        <w:trPr>
          <w:jc w:val="center"/>
        </w:trPr>
        <w:tc>
          <w:tcPr>
            <w:tcW w:w="1890" w:type="dxa"/>
            <w:vMerge/>
          </w:tcPr>
          <w:p w14:paraId="3FBE2300" w14:textId="77777777" w:rsidR="007F4018" w:rsidRPr="00F22B3E" w:rsidRDefault="007F4018" w:rsidP="000C7C77">
            <w:pPr>
              <w:rPr>
                <w:rFonts w:asciiTheme="majorBidi" w:hAnsiTheme="majorBidi" w:cstheme="majorBidi"/>
                <w:sz w:val="24"/>
                <w:szCs w:val="24"/>
              </w:rPr>
            </w:pPr>
          </w:p>
        </w:tc>
        <w:tc>
          <w:tcPr>
            <w:tcW w:w="1260" w:type="dxa"/>
          </w:tcPr>
          <w:p w14:paraId="7C518B4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3894" w:type="dxa"/>
          </w:tcPr>
          <w:p w14:paraId="5F59A35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Ketoconazole 2% shampoo (2–3 times per week) can be employed as an adjuvant therapy in AGA due to its anti-inflammatory or anti-androgenic properties</w:t>
            </w:r>
          </w:p>
        </w:tc>
        <w:tc>
          <w:tcPr>
            <w:tcW w:w="803" w:type="dxa"/>
          </w:tcPr>
          <w:p w14:paraId="0CDC64C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16</w:t>
            </w:r>
          </w:p>
        </w:tc>
        <w:tc>
          <w:tcPr>
            <w:tcW w:w="936" w:type="dxa"/>
          </w:tcPr>
          <w:p w14:paraId="7E12D8C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4</w:t>
            </w:r>
          </w:p>
        </w:tc>
        <w:tc>
          <w:tcPr>
            <w:tcW w:w="1069" w:type="dxa"/>
          </w:tcPr>
          <w:p w14:paraId="3413CDE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76CF990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152F31A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80</w:t>
            </w:r>
          </w:p>
        </w:tc>
      </w:tr>
      <w:tr w:rsidR="007F4018" w:rsidRPr="00F22B3E" w14:paraId="03366571" w14:textId="77777777" w:rsidTr="000C7C77">
        <w:trPr>
          <w:jc w:val="center"/>
        </w:trPr>
        <w:tc>
          <w:tcPr>
            <w:tcW w:w="1890" w:type="dxa"/>
            <w:vMerge/>
          </w:tcPr>
          <w:p w14:paraId="4BBD26CD" w14:textId="77777777" w:rsidR="007F4018" w:rsidRPr="00F22B3E" w:rsidRDefault="007F4018" w:rsidP="000C7C77">
            <w:pPr>
              <w:rPr>
                <w:rFonts w:asciiTheme="majorBidi" w:hAnsiTheme="majorBidi" w:cstheme="majorBidi"/>
                <w:sz w:val="24"/>
                <w:szCs w:val="24"/>
              </w:rPr>
            </w:pPr>
          </w:p>
        </w:tc>
        <w:tc>
          <w:tcPr>
            <w:tcW w:w="1260" w:type="dxa"/>
          </w:tcPr>
          <w:p w14:paraId="328671D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21</w:t>
            </w:r>
          </w:p>
        </w:tc>
        <w:tc>
          <w:tcPr>
            <w:tcW w:w="3894" w:type="dxa"/>
          </w:tcPr>
          <w:p w14:paraId="6ACA5078"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Nutritional supplements, including amino acids, biotin, zinc, and other micronutrients, have a role as adjuvant therapy in managing AGA or patients who have simultaneous telogen effluvium and AGA</w:t>
            </w:r>
          </w:p>
        </w:tc>
        <w:tc>
          <w:tcPr>
            <w:tcW w:w="803" w:type="dxa"/>
          </w:tcPr>
          <w:p w14:paraId="6E7E0619"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15</w:t>
            </w:r>
          </w:p>
        </w:tc>
        <w:tc>
          <w:tcPr>
            <w:tcW w:w="936" w:type="dxa"/>
          </w:tcPr>
          <w:p w14:paraId="73BCECA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5</w:t>
            </w:r>
          </w:p>
        </w:tc>
        <w:tc>
          <w:tcPr>
            <w:tcW w:w="1069" w:type="dxa"/>
          </w:tcPr>
          <w:p w14:paraId="31D0DC4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34A0510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0550AE2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75</w:t>
            </w:r>
          </w:p>
        </w:tc>
      </w:tr>
      <w:tr w:rsidR="007F4018" w:rsidRPr="00F22B3E" w14:paraId="453DA11C" w14:textId="77777777" w:rsidTr="000C7C77">
        <w:trPr>
          <w:jc w:val="center"/>
        </w:trPr>
        <w:tc>
          <w:tcPr>
            <w:tcW w:w="1890" w:type="dxa"/>
            <w:vMerge/>
          </w:tcPr>
          <w:p w14:paraId="58DE4DE8" w14:textId="77777777" w:rsidR="007F4018" w:rsidRPr="00F22B3E" w:rsidRDefault="007F4018" w:rsidP="000C7C77">
            <w:pPr>
              <w:rPr>
                <w:rFonts w:asciiTheme="majorBidi" w:hAnsiTheme="majorBidi" w:cstheme="majorBidi"/>
                <w:sz w:val="24"/>
                <w:szCs w:val="24"/>
              </w:rPr>
            </w:pPr>
          </w:p>
        </w:tc>
        <w:tc>
          <w:tcPr>
            <w:tcW w:w="1260" w:type="dxa"/>
          </w:tcPr>
          <w:p w14:paraId="635F9D6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22</w:t>
            </w:r>
          </w:p>
        </w:tc>
        <w:tc>
          <w:tcPr>
            <w:tcW w:w="3894" w:type="dxa"/>
          </w:tcPr>
          <w:p w14:paraId="6626DE1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 xml:space="preserve">Platelet-rich plasma (PRP) sessions for AGA can be done monthly for 3 sessions, then a session every 3–6 </w:t>
            </w:r>
            <w:r w:rsidRPr="00F22B3E">
              <w:rPr>
                <w:rFonts w:asciiTheme="majorBidi" w:hAnsiTheme="majorBidi" w:cstheme="majorBidi"/>
                <w:sz w:val="24"/>
                <w:szCs w:val="24"/>
              </w:rPr>
              <w:lastRenderedPageBreak/>
              <w:t>months as a maintenance treatment</w:t>
            </w:r>
          </w:p>
        </w:tc>
        <w:tc>
          <w:tcPr>
            <w:tcW w:w="803" w:type="dxa"/>
          </w:tcPr>
          <w:p w14:paraId="7C224E5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lastRenderedPageBreak/>
              <w:t>18</w:t>
            </w:r>
          </w:p>
        </w:tc>
        <w:tc>
          <w:tcPr>
            <w:tcW w:w="936" w:type="dxa"/>
          </w:tcPr>
          <w:p w14:paraId="4B23B4A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33D7015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5A5ABAF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65C4AD6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12A2C2AF" w14:textId="77777777" w:rsidTr="000C7C77">
        <w:trPr>
          <w:jc w:val="center"/>
        </w:trPr>
        <w:tc>
          <w:tcPr>
            <w:tcW w:w="1890" w:type="dxa"/>
            <w:vMerge/>
          </w:tcPr>
          <w:p w14:paraId="685A94B3" w14:textId="77777777" w:rsidR="007F4018" w:rsidRPr="00F22B3E" w:rsidRDefault="007F4018" w:rsidP="000C7C77">
            <w:pPr>
              <w:rPr>
                <w:rFonts w:asciiTheme="majorBidi" w:hAnsiTheme="majorBidi" w:cstheme="majorBidi"/>
                <w:sz w:val="24"/>
                <w:szCs w:val="24"/>
              </w:rPr>
            </w:pPr>
          </w:p>
        </w:tc>
        <w:tc>
          <w:tcPr>
            <w:tcW w:w="1260" w:type="dxa"/>
          </w:tcPr>
          <w:p w14:paraId="7607759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23</w:t>
            </w:r>
          </w:p>
        </w:tc>
        <w:tc>
          <w:tcPr>
            <w:tcW w:w="3894" w:type="dxa"/>
          </w:tcPr>
          <w:p w14:paraId="1736DE2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Bio-injectables are promising</w:t>
            </w:r>
          </w:p>
        </w:tc>
        <w:tc>
          <w:tcPr>
            <w:tcW w:w="803" w:type="dxa"/>
          </w:tcPr>
          <w:p w14:paraId="2EF6205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15</w:t>
            </w:r>
          </w:p>
        </w:tc>
        <w:tc>
          <w:tcPr>
            <w:tcW w:w="936" w:type="dxa"/>
          </w:tcPr>
          <w:p w14:paraId="33447C95"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5</w:t>
            </w:r>
          </w:p>
        </w:tc>
        <w:tc>
          <w:tcPr>
            <w:tcW w:w="1069" w:type="dxa"/>
          </w:tcPr>
          <w:p w14:paraId="656C301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027D41D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1A538F0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75</w:t>
            </w:r>
          </w:p>
        </w:tc>
      </w:tr>
      <w:tr w:rsidR="007F4018" w:rsidRPr="00F22B3E" w14:paraId="71AB3969" w14:textId="77777777" w:rsidTr="000C7C77">
        <w:trPr>
          <w:jc w:val="center"/>
        </w:trPr>
        <w:tc>
          <w:tcPr>
            <w:tcW w:w="1890" w:type="dxa"/>
            <w:vMerge/>
          </w:tcPr>
          <w:p w14:paraId="09137477" w14:textId="77777777" w:rsidR="007F4018" w:rsidRPr="00F22B3E" w:rsidRDefault="007F4018" w:rsidP="000C7C77">
            <w:pPr>
              <w:rPr>
                <w:rFonts w:asciiTheme="majorBidi" w:hAnsiTheme="majorBidi" w:cstheme="majorBidi"/>
                <w:sz w:val="24"/>
                <w:szCs w:val="24"/>
              </w:rPr>
            </w:pPr>
          </w:p>
        </w:tc>
        <w:tc>
          <w:tcPr>
            <w:tcW w:w="1260" w:type="dxa"/>
          </w:tcPr>
          <w:p w14:paraId="4A67B83F"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24</w:t>
            </w:r>
          </w:p>
        </w:tc>
        <w:tc>
          <w:tcPr>
            <w:tcW w:w="3894" w:type="dxa"/>
          </w:tcPr>
          <w:p w14:paraId="08141983"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Microneedling helps boost the therapeutic response to topical treatment</w:t>
            </w:r>
          </w:p>
        </w:tc>
        <w:tc>
          <w:tcPr>
            <w:tcW w:w="803" w:type="dxa"/>
          </w:tcPr>
          <w:p w14:paraId="06237B2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936" w:type="dxa"/>
          </w:tcPr>
          <w:p w14:paraId="1A38425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7B56B04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47B6042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2CCA8DB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r w:rsidR="007F4018" w:rsidRPr="00F22B3E" w14:paraId="5C12457C" w14:textId="77777777" w:rsidTr="000C7C77">
        <w:trPr>
          <w:jc w:val="center"/>
        </w:trPr>
        <w:tc>
          <w:tcPr>
            <w:tcW w:w="1890" w:type="dxa"/>
            <w:vMerge/>
          </w:tcPr>
          <w:p w14:paraId="50C6571F" w14:textId="77777777" w:rsidR="007F4018" w:rsidRPr="00F22B3E" w:rsidRDefault="007F4018" w:rsidP="000C7C77">
            <w:pPr>
              <w:rPr>
                <w:rFonts w:asciiTheme="majorBidi" w:hAnsiTheme="majorBidi" w:cstheme="majorBidi"/>
                <w:sz w:val="24"/>
                <w:szCs w:val="24"/>
              </w:rPr>
            </w:pPr>
          </w:p>
        </w:tc>
        <w:tc>
          <w:tcPr>
            <w:tcW w:w="1260" w:type="dxa"/>
          </w:tcPr>
          <w:p w14:paraId="6409225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25</w:t>
            </w:r>
          </w:p>
        </w:tc>
        <w:tc>
          <w:tcPr>
            <w:tcW w:w="3894" w:type="dxa"/>
          </w:tcPr>
          <w:p w14:paraId="4D775AE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Combined therapies with topical minoxidil are recommended for AGA patients</w:t>
            </w:r>
          </w:p>
        </w:tc>
        <w:tc>
          <w:tcPr>
            <w:tcW w:w="803" w:type="dxa"/>
          </w:tcPr>
          <w:p w14:paraId="76E6BD42"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19</w:t>
            </w:r>
          </w:p>
        </w:tc>
        <w:tc>
          <w:tcPr>
            <w:tcW w:w="936" w:type="dxa"/>
          </w:tcPr>
          <w:p w14:paraId="0CF7846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w:t>
            </w:r>
          </w:p>
        </w:tc>
        <w:tc>
          <w:tcPr>
            <w:tcW w:w="1069" w:type="dxa"/>
          </w:tcPr>
          <w:p w14:paraId="0E9F9EA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1C96B68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5CE5198E"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95</w:t>
            </w:r>
          </w:p>
        </w:tc>
      </w:tr>
      <w:tr w:rsidR="007F4018" w:rsidRPr="00F22B3E" w14:paraId="64E2FF3C" w14:textId="77777777" w:rsidTr="000C7C77">
        <w:trPr>
          <w:jc w:val="center"/>
        </w:trPr>
        <w:tc>
          <w:tcPr>
            <w:tcW w:w="1890" w:type="dxa"/>
          </w:tcPr>
          <w:p w14:paraId="44008B4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Hair Transplantation</w:t>
            </w:r>
          </w:p>
        </w:tc>
        <w:tc>
          <w:tcPr>
            <w:tcW w:w="1260" w:type="dxa"/>
          </w:tcPr>
          <w:p w14:paraId="63EBE57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26</w:t>
            </w:r>
          </w:p>
        </w:tc>
        <w:tc>
          <w:tcPr>
            <w:tcW w:w="3894" w:type="dxa"/>
          </w:tcPr>
          <w:p w14:paraId="6BCF6C7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Hair transplantation is recommended if there is no perceptible improvement or stabilization after 12 months of continuous medical treatment</w:t>
            </w:r>
          </w:p>
        </w:tc>
        <w:tc>
          <w:tcPr>
            <w:tcW w:w="803" w:type="dxa"/>
          </w:tcPr>
          <w:p w14:paraId="0F81B1D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19</w:t>
            </w:r>
          </w:p>
        </w:tc>
        <w:tc>
          <w:tcPr>
            <w:tcW w:w="936" w:type="dxa"/>
          </w:tcPr>
          <w:p w14:paraId="7D90EC1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w:t>
            </w:r>
          </w:p>
        </w:tc>
        <w:tc>
          <w:tcPr>
            <w:tcW w:w="1069" w:type="dxa"/>
          </w:tcPr>
          <w:p w14:paraId="3BBEC7F0"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21090D0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73462414"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95</w:t>
            </w:r>
          </w:p>
        </w:tc>
      </w:tr>
      <w:tr w:rsidR="007F4018" w:rsidRPr="00F22B3E" w14:paraId="334153DC" w14:textId="77777777" w:rsidTr="000C7C77">
        <w:trPr>
          <w:jc w:val="center"/>
        </w:trPr>
        <w:tc>
          <w:tcPr>
            <w:tcW w:w="1890" w:type="dxa"/>
          </w:tcPr>
          <w:p w14:paraId="73669741"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Counseling/Hair Aids</w:t>
            </w:r>
          </w:p>
        </w:tc>
        <w:tc>
          <w:tcPr>
            <w:tcW w:w="1260" w:type="dxa"/>
          </w:tcPr>
          <w:p w14:paraId="41C59F7C"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27</w:t>
            </w:r>
          </w:p>
        </w:tc>
        <w:tc>
          <w:tcPr>
            <w:tcW w:w="3894" w:type="dxa"/>
          </w:tcPr>
          <w:p w14:paraId="55843016"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In patients with AGA, you may recommend counseling, non-medical aesthetic wigs, hair extensions, and topical powder makeup in late-stage patients or those who refuse any kind of treatment</w:t>
            </w:r>
          </w:p>
        </w:tc>
        <w:tc>
          <w:tcPr>
            <w:tcW w:w="803" w:type="dxa"/>
          </w:tcPr>
          <w:p w14:paraId="4B35A63D"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18</w:t>
            </w:r>
          </w:p>
        </w:tc>
        <w:tc>
          <w:tcPr>
            <w:tcW w:w="936" w:type="dxa"/>
          </w:tcPr>
          <w:p w14:paraId="643761B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w:t>
            </w:r>
          </w:p>
        </w:tc>
        <w:tc>
          <w:tcPr>
            <w:tcW w:w="1069" w:type="dxa"/>
          </w:tcPr>
          <w:p w14:paraId="3BAD082B"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0</w:t>
            </w:r>
          </w:p>
        </w:tc>
        <w:tc>
          <w:tcPr>
            <w:tcW w:w="723" w:type="dxa"/>
          </w:tcPr>
          <w:p w14:paraId="781F2D2A"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20</w:t>
            </w:r>
          </w:p>
        </w:tc>
        <w:tc>
          <w:tcPr>
            <w:tcW w:w="1348" w:type="dxa"/>
          </w:tcPr>
          <w:p w14:paraId="5F149267" w14:textId="77777777" w:rsidR="007F4018" w:rsidRPr="00F22B3E" w:rsidRDefault="007F4018" w:rsidP="000C7C77">
            <w:pPr>
              <w:rPr>
                <w:rFonts w:asciiTheme="majorBidi" w:hAnsiTheme="majorBidi" w:cstheme="majorBidi"/>
                <w:sz w:val="24"/>
                <w:szCs w:val="24"/>
              </w:rPr>
            </w:pPr>
            <w:r w:rsidRPr="00F22B3E">
              <w:rPr>
                <w:rFonts w:asciiTheme="majorBidi" w:hAnsiTheme="majorBidi" w:cstheme="majorBidi"/>
                <w:sz w:val="24"/>
                <w:szCs w:val="24"/>
              </w:rPr>
              <w:t>90</w:t>
            </w:r>
          </w:p>
        </w:tc>
      </w:tr>
    </w:tbl>
    <w:p w14:paraId="6C3ADB9D" w14:textId="77777777" w:rsidR="007F4018" w:rsidRPr="00F22B3E" w:rsidRDefault="007F4018" w:rsidP="007F4018">
      <w:pPr>
        <w:rPr>
          <w:rFonts w:asciiTheme="majorBidi" w:hAnsiTheme="majorBidi" w:cstheme="majorBidi"/>
          <w:sz w:val="24"/>
          <w:szCs w:val="24"/>
        </w:rPr>
      </w:pPr>
    </w:p>
    <w:p w14:paraId="73905071" w14:textId="77777777" w:rsidR="007F4018" w:rsidRDefault="007F4018">
      <w:pPr>
        <w:rPr>
          <w:rFonts w:asciiTheme="majorBidi" w:hAnsiTheme="majorBidi" w:cstheme="majorBidi"/>
          <w:sz w:val="24"/>
          <w:szCs w:val="24"/>
        </w:rPr>
      </w:pPr>
    </w:p>
    <w:p w14:paraId="5C03470D" w14:textId="77777777" w:rsidR="007F4018" w:rsidRDefault="007F4018">
      <w:pPr>
        <w:rPr>
          <w:rFonts w:asciiTheme="majorBidi" w:hAnsiTheme="majorBidi" w:cstheme="majorBidi"/>
          <w:sz w:val="24"/>
          <w:szCs w:val="24"/>
        </w:rPr>
      </w:pPr>
    </w:p>
    <w:p w14:paraId="46D66052" w14:textId="77777777" w:rsidR="007F4018" w:rsidRDefault="007F4018">
      <w:pPr>
        <w:rPr>
          <w:rFonts w:asciiTheme="majorBidi" w:hAnsiTheme="majorBidi" w:cstheme="majorBidi"/>
          <w:sz w:val="24"/>
          <w:szCs w:val="24"/>
        </w:rPr>
      </w:pPr>
    </w:p>
    <w:p w14:paraId="323402F4" w14:textId="77777777" w:rsidR="007F4018" w:rsidRDefault="007F4018">
      <w:pPr>
        <w:rPr>
          <w:rFonts w:asciiTheme="majorBidi" w:hAnsiTheme="majorBidi" w:cstheme="majorBidi"/>
          <w:sz w:val="24"/>
          <w:szCs w:val="24"/>
        </w:rPr>
      </w:pPr>
    </w:p>
    <w:p w14:paraId="1F271F7B" w14:textId="77777777" w:rsidR="007F4018" w:rsidRDefault="007F4018">
      <w:pPr>
        <w:rPr>
          <w:rFonts w:asciiTheme="majorBidi" w:hAnsiTheme="majorBidi" w:cstheme="majorBidi"/>
          <w:sz w:val="24"/>
          <w:szCs w:val="24"/>
        </w:rPr>
      </w:pPr>
    </w:p>
    <w:p w14:paraId="0E561891" w14:textId="77777777" w:rsidR="007F4018" w:rsidRDefault="007F4018">
      <w:pPr>
        <w:rPr>
          <w:rFonts w:asciiTheme="majorBidi" w:hAnsiTheme="majorBidi" w:cstheme="majorBidi"/>
          <w:sz w:val="24"/>
          <w:szCs w:val="24"/>
        </w:rPr>
      </w:pPr>
    </w:p>
    <w:p w14:paraId="4F4194EC" w14:textId="77777777" w:rsidR="007F4018" w:rsidRDefault="007F4018">
      <w:pPr>
        <w:rPr>
          <w:rFonts w:asciiTheme="majorBidi" w:hAnsiTheme="majorBidi" w:cstheme="majorBidi"/>
          <w:sz w:val="24"/>
          <w:szCs w:val="24"/>
        </w:rPr>
      </w:pPr>
    </w:p>
    <w:p w14:paraId="347B091C" w14:textId="77777777" w:rsidR="007F4018" w:rsidRPr="00194F06" w:rsidRDefault="007F4018">
      <w:pPr>
        <w:rPr>
          <w:rFonts w:asciiTheme="majorBidi" w:hAnsiTheme="majorBidi" w:cstheme="majorBidi"/>
          <w:sz w:val="24"/>
          <w:szCs w:val="24"/>
        </w:rPr>
      </w:pPr>
    </w:p>
    <w:sectPr w:rsidR="007F4018" w:rsidRPr="00194F06" w:rsidSect="00034616">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7B3C" w14:textId="77777777" w:rsidR="00D63B89" w:rsidRDefault="00D63B89" w:rsidP="00DE6D5C">
      <w:pPr>
        <w:spacing w:after="0" w:line="240" w:lineRule="auto"/>
      </w:pPr>
      <w:r>
        <w:separator/>
      </w:r>
    </w:p>
  </w:endnote>
  <w:endnote w:type="continuationSeparator" w:id="0">
    <w:p w14:paraId="2606D2F8" w14:textId="77777777" w:rsidR="00D63B89" w:rsidRDefault="00D63B89" w:rsidP="00DE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7353" w14:textId="65970737" w:rsidR="00DE6D5C" w:rsidRDefault="00DE6D5C">
    <w:pPr>
      <w:pStyle w:val="Footer"/>
    </w:pPr>
    <w:r>
      <w:rPr>
        <w:noProof/>
      </w:rPr>
      <mc:AlternateContent>
        <mc:Choice Requires="wps">
          <w:drawing>
            <wp:anchor distT="0" distB="0" distL="0" distR="0" simplePos="0" relativeHeight="251659264" behindDoc="0" locked="0" layoutInCell="1" allowOverlap="1" wp14:anchorId="6DFCA477" wp14:editId="74355F4E">
              <wp:simplePos x="635" y="635"/>
              <wp:positionH relativeFrom="page">
                <wp:align>left</wp:align>
              </wp:positionH>
              <wp:positionV relativeFrom="page">
                <wp:align>bottom</wp:align>
              </wp:positionV>
              <wp:extent cx="2085975" cy="344805"/>
              <wp:effectExtent l="0" t="0" r="9525" b="0"/>
              <wp:wrapNone/>
              <wp:docPr id="46717065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EF55E2A" w14:textId="162A3C44" w:rsidR="00DE6D5C" w:rsidRPr="00DE6D5C" w:rsidRDefault="00DE6D5C" w:rsidP="00DE6D5C">
                          <w:pPr>
                            <w:spacing w:after="0"/>
                            <w:rPr>
                              <w:rFonts w:ascii="Rockwell" w:eastAsia="Rockwell" w:hAnsi="Rockwell" w:cs="Rockwell"/>
                              <w:noProof/>
                              <w:color w:val="0078D7"/>
                              <w:sz w:val="18"/>
                              <w:szCs w:val="18"/>
                            </w:rPr>
                          </w:pPr>
                          <w:r w:rsidRPr="00DE6D5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CA47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textbox style="mso-fit-shape-to-text:t" inset="20pt,0,0,15pt">
                <w:txbxContent>
                  <w:p w14:paraId="2EF55E2A" w14:textId="162A3C44" w:rsidR="00DE6D5C" w:rsidRPr="00DE6D5C" w:rsidRDefault="00DE6D5C" w:rsidP="00DE6D5C">
                    <w:pPr>
                      <w:spacing w:after="0"/>
                      <w:rPr>
                        <w:rFonts w:ascii="Rockwell" w:eastAsia="Rockwell" w:hAnsi="Rockwell" w:cs="Rockwell"/>
                        <w:noProof/>
                        <w:color w:val="0078D7"/>
                        <w:sz w:val="18"/>
                        <w:szCs w:val="18"/>
                      </w:rPr>
                    </w:pPr>
                    <w:r w:rsidRPr="00DE6D5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5D2F" w14:textId="213E9E29" w:rsidR="00DE6D5C" w:rsidRDefault="00DE6D5C">
    <w:pPr>
      <w:pStyle w:val="Footer"/>
    </w:pPr>
    <w:r>
      <w:rPr>
        <w:noProof/>
      </w:rPr>
      <mc:AlternateContent>
        <mc:Choice Requires="wps">
          <w:drawing>
            <wp:anchor distT="0" distB="0" distL="0" distR="0" simplePos="0" relativeHeight="251660288" behindDoc="0" locked="0" layoutInCell="1" allowOverlap="1" wp14:anchorId="7A4651C6" wp14:editId="2E6EAC1D">
              <wp:simplePos x="1143000" y="9439275"/>
              <wp:positionH relativeFrom="page">
                <wp:align>left</wp:align>
              </wp:positionH>
              <wp:positionV relativeFrom="page">
                <wp:align>bottom</wp:align>
              </wp:positionV>
              <wp:extent cx="2085975" cy="344805"/>
              <wp:effectExtent l="0" t="0" r="9525" b="0"/>
              <wp:wrapNone/>
              <wp:docPr id="156013919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4CCBAFEB" w14:textId="3D28A197" w:rsidR="00DE6D5C" w:rsidRPr="00DE6D5C" w:rsidRDefault="00DE6D5C" w:rsidP="00DE6D5C">
                          <w:pPr>
                            <w:spacing w:after="0"/>
                            <w:rPr>
                              <w:rFonts w:ascii="Rockwell" w:eastAsia="Rockwell" w:hAnsi="Rockwell" w:cs="Rockwell"/>
                              <w:noProof/>
                              <w:color w:val="0078D7"/>
                              <w:sz w:val="18"/>
                              <w:szCs w:val="18"/>
                            </w:rPr>
                          </w:pPr>
                          <w:r w:rsidRPr="00DE6D5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4651C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textbox style="mso-fit-shape-to-text:t" inset="20pt,0,0,15pt">
                <w:txbxContent>
                  <w:p w14:paraId="4CCBAFEB" w14:textId="3D28A197" w:rsidR="00DE6D5C" w:rsidRPr="00DE6D5C" w:rsidRDefault="00DE6D5C" w:rsidP="00DE6D5C">
                    <w:pPr>
                      <w:spacing w:after="0"/>
                      <w:rPr>
                        <w:rFonts w:ascii="Rockwell" w:eastAsia="Rockwell" w:hAnsi="Rockwell" w:cs="Rockwell"/>
                        <w:noProof/>
                        <w:color w:val="0078D7"/>
                        <w:sz w:val="18"/>
                        <w:szCs w:val="18"/>
                      </w:rPr>
                    </w:pPr>
                    <w:r w:rsidRPr="00DE6D5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15ED" w14:textId="034C9255" w:rsidR="00DE6D5C" w:rsidRDefault="00DE6D5C">
    <w:pPr>
      <w:pStyle w:val="Footer"/>
    </w:pPr>
    <w:r>
      <w:rPr>
        <w:noProof/>
      </w:rPr>
      <mc:AlternateContent>
        <mc:Choice Requires="wps">
          <w:drawing>
            <wp:anchor distT="0" distB="0" distL="0" distR="0" simplePos="0" relativeHeight="251658240" behindDoc="0" locked="0" layoutInCell="1" allowOverlap="1" wp14:anchorId="2B968226" wp14:editId="6AD15779">
              <wp:simplePos x="635" y="635"/>
              <wp:positionH relativeFrom="page">
                <wp:align>left</wp:align>
              </wp:positionH>
              <wp:positionV relativeFrom="page">
                <wp:align>bottom</wp:align>
              </wp:positionV>
              <wp:extent cx="2085975" cy="344805"/>
              <wp:effectExtent l="0" t="0" r="9525" b="0"/>
              <wp:wrapNone/>
              <wp:docPr id="57719628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3728C4C3" w14:textId="32114ACD" w:rsidR="00DE6D5C" w:rsidRPr="00DE6D5C" w:rsidRDefault="00DE6D5C" w:rsidP="00DE6D5C">
                          <w:pPr>
                            <w:spacing w:after="0"/>
                            <w:rPr>
                              <w:rFonts w:ascii="Rockwell" w:eastAsia="Rockwell" w:hAnsi="Rockwell" w:cs="Rockwell"/>
                              <w:noProof/>
                              <w:color w:val="0078D7"/>
                              <w:sz w:val="18"/>
                              <w:szCs w:val="18"/>
                            </w:rPr>
                          </w:pPr>
                          <w:r w:rsidRPr="00DE6D5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96822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textbox style="mso-fit-shape-to-text:t" inset="20pt,0,0,15pt">
                <w:txbxContent>
                  <w:p w14:paraId="3728C4C3" w14:textId="32114ACD" w:rsidR="00DE6D5C" w:rsidRPr="00DE6D5C" w:rsidRDefault="00DE6D5C" w:rsidP="00DE6D5C">
                    <w:pPr>
                      <w:spacing w:after="0"/>
                      <w:rPr>
                        <w:rFonts w:ascii="Rockwell" w:eastAsia="Rockwell" w:hAnsi="Rockwell" w:cs="Rockwell"/>
                        <w:noProof/>
                        <w:color w:val="0078D7"/>
                        <w:sz w:val="18"/>
                        <w:szCs w:val="18"/>
                      </w:rPr>
                    </w:pPr>
                    <w:r w:rsidRPr="00DE6D5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C41B" w14:textId="77777777" w:rsidR="00D63B89" w:rsidRDefault="00D63B89" w:rsidP="00DE6D5C">
      <w:pPr>
        <w:spacing w:after="0" w:line="240" w:lineRule="auto"/>
      </w:pPr>
      <w:r>
        <w:separator/>
      </w:r>
    </w:p>
  </w:footnote>
  <w:footnote w:type="continuationSeparator" w:id="0">
    <w:p w14:paraId="5A38275D" w14:textId="77777777" w:rsidR="00D63B89" w:rsidRDefault="00D63B89" w:rsidP="00DE6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145602">
    <w:abstractNumId w:val="8"/>
  </w:num>
  <w:num w:numId="2" w16cid:durableId="53891367">
    <w:abstractNumId w:val="6"/>
  </w:num>
  <w:num w:numId="3" w16cid:durableId="749425252">
    <w:abstractNumId w:val="5"/>
  </w:num>
  <w:num w:numId="4" w16cid:durableId="122773174">
    <w:abstractNumId w:val="4"/>
  </w:num>
  <w:num w:numId="5" w16cid:durableId="1398167793">
    <w:abstractNumId w:val="7"/>
  </w:num>
  <w:num w:numId="6" w16cid:durableId="2043742752">
    <w:abstractNumId w:val="3"/>
  </w:num>
  <w:num w:numId="7" w16cid:durableId="790514885">
    <w:abstractNumId w:val="2"/>
  </w:num>
  <w:num w:numId="8" w16cid:durableId="365562289">
    <w:abstractNumId w:val="1"/>
  </w:num>
  <w:num w:numId="9" w16cid:durableId="1940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3EF"/>
    <w:rsid w:val="00034616"/>
    <w:rsid w:val="0006063C"/>
    <w:rsid w:val="00097E0C"/>
    <w:rsid w:val="0015074B"/>
    <w:rsid w:val="00194F06"/>
    <w:rsid w:val="00263CE5"/>
    <w:rsid w:val="0029639D"/>
    <w:rsid w:val="00326F90"/>
    <w:rsid w:val="003D4DEB"/>
    <w:rsid w:val="004C6D66"/>
    <w:rsid w:val="007F4018"/>
    <w:rsid w:val="008F7B81"/>
    <w:rsid w:val="00AA1D8D"/>
    <w:rsid w:val="00B2056B"/>
    <w:rsid w:val="00B47730"/>
    <w:rsid w:val="00CB0664"/>
    <w:rsid w:val="00D53BD3"/>
    <w:rsid w:val="00D63B89"/>
    <w:rsid w:val="00D73985"/>
    <w:rsid w:val="00D861CD"/>
    <w:rsid w:val="00DE6D5C"/>
    <w:rsid w:val="00E842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B5124"/>
  <w14:defaultImageDpi w14:val="300"/>
  <w15:docId w15:val="{CF9B251A-63D7-4ACE-953B-75CDDEC2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F4018"/>
    <w:pPr>
      <w:spacing w:after="0" w:line="240" w:lineRule="auto"/>
    </w:pPr>
  </w:style>
  <w:style w:type="character" w:styleId="CommentReference">
    <w:name w:val="annotation reference"/>
    <w:basedOn w:val="DefaultParagraphFont"/>
    <w:uiPriority w:val="99"/>
    <w:semiHidden/>
    <w:unhideWhenUsed/>
    <w:rsid w:val="007F4018"/>
    <w:rPr>
      <w:sz w:val="16"/>
      <w:szCs w:val="16"/>
    </w:rPr>
  </w:style>
  <w:style w:type="paragraph" w:styleId="CommentText">
    <w:name w:val="annotation text"/>
    <w:basedOn w:val="Normal"/>
    <w:link w:val="CommentTextChar"/>
    <w:uiPriority w:val="99"/>
    <w:unhideWhenUsed/>
    <w:rsid w:val="007F4018"/>
    <w:pPr>
      <w:spacing w:line="240" w:lineRule="auto"/>
    </w:pPr>
    <w:rPr>
      <w:sz w:val="20"/>
      <w:szCs w:val="20"/>
    </w:rPr>
  </w:style>
  <w:style w:type="character" w:customStyle="1" w:styleId="CommentTextChar">
    <w:name w:val="Comment Text Char"/>
    <w:basedOn w:val="DefaultParagraphFont"/>
    <w:link w:val="CommentText"/>
    <w:uiPriority w:val="99"/>
    <w:rsid w:val="007F4018"/>
    <w:rPr>
      <w:sz w:val="20"/>
      <w:szCs w:val="20"/>
    </w:rPr>
  </w:style>
  <w:style w:type="paragraph" w:styleId="CommentSubject">
    <w:name w:val="annotation subject"/>
    <w:basedOn w:val="CommentText"/>
    <w:next w:val="CommentText"/>
    <w:link w:val="CommentSubjectChar"/>
    <w:uiPriority w:val="99"/>
    <w:semiHidden/>
    <w:unhideWhenUsed/>
    <w:rsid w:val="007F4018"/>
    <w:rPr>
      <w:b/>
      <w:bCs/>
    </w:rPr>
  </w:style>
  <w:style w:type="character" w:customStyle="1" w:styleId="CommentSubjectChar">
    <w:name w:val="Comment Subject Char"/>
    <w:basedOn w:val="CommentTextChar"/>
    <w:link w:val="CommentSubject"/>
    <w:uiPriority w:val="99"/>
    <w:semiHidden/>
    <w:rsid w:val="007F4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Shaw, Grace</cp:lastModifiedBy>
  <cp:revision>4</cp:revision>
  <dcterms:created xsi:type="dcterms:W3CDTF">2025-10-02T20:44:00Z</dcterms:created>
  <dcterms:modified xsi:type="dcterms:W3CDTF">2025-10-02T20:44:00Z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226750fc,1bd8755e,5cfdd5b8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2025-09-24T03:34:56Z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f017d444-fee9-4115-843a-98535ff63884</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