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63E79">
      <w:pPr>
        <w:pStyle w:val="2"/>
        <w:keepLines w:val="0"/>
        <w:widowControl/>
        <w:spacing w:before="240" w:after="60" w:line="480" w:lineRule="auto"/>
        <w:jc w:val="left"/>
        <w:rPr>
          <w:rFonts w:hint="default" w:ascii="Arial" w:hAnsi="Arial" w:cs="Arial" w:eastAsiaTheme="minorEastAsia"/>
          <w:b/>
          <w:bCs/>
          <w:color w:val="auto"/>
          <w:kern w:val="32"/>
          <w:sz w:val="32"/>
          <w:szCs w:val="32"/>
          <w:lang w:eastAsia="en-US"/>
        </w:rPr>
      </w:pPr>
      <w:r>
        <w:rPr>
          <w:rFonts w:hint="default" w:ascii="Arial" w:hAnsi="Arial" w:cs="Arial" w:eastAsiaTheme="minorEastAsia"/>
          <w:b/>
          <w:bCs/>
          <w:color w:val="auto"/>
          <w:kern w:val="32"/>
          <w:sz w:val="32"/>
          <w:szCs w:val="32"/>
          <w:lang w:eastAsia="en-US"/>
        </w:rPr>
        <w:t>Supplementary Material</w:t>
      </w:r>
    </w:p>
    <w:p w14:paraId="47240492">
      <w:pPr>
        <w:pStyle w:val="3"/>
        <w:keepLines w:val="0"/>
        <w:widowControl/>
        <w:spacing w:before="240" w:after="60" w:line="480" w:lineRule="auto"/>
        <w:jc w:val="left"/>
        <w:rPr>
          <w:rFonts w:ascii="Arial" w:hAnsi="Arial" w:cs="Arial" w:eastAsiaTheme="minorEastAsia"/>
          <w:b/>
          <w:bCs/>
          <w:i/>
          <w:iCs/>
          <w:color w:val="auto"/>
          <w:kern w:val="0"/>
          <w:sz w:val="28"/>
          <w:szCs w:val="28"/>
          <w:lang w:eastAsia="en-US"/>
        </w:rPr>
      </w:pPr>
      <w:r>
        <w:rPr>
          <w:rFonts w:ascii="Arial" w:hAnsi="Arial" w:cs="Arial" w:eastAsiaTheme="minorEastAsia"/>
          <w:b/>
          <w:bCs/>
          <w:i/>
          <w:iCs/>
          <w:color w:val="auto"/>
          <w:kern w:val="0"/>
          <w:sz w:val="28"/>
          <w:szCs w:val="28"/>
          <w:lang w:eastAsia="en-US"/>
        </w:rPr>
        <w:t>Supplement 1. Complete List of Inclusion and Exclusion Criteria</w:t>
      </w:r>
    </w:p>
    <w:p w14:paraId="2EE32302">
      <w:pPr>
        <w:spacing w:line="480" w:lineRule="auto"/>
        <w:rPr>
          <w:rFonts w:ascii="Arial" w:hAnsi="Arial" w:cs="Arial"/>
          <w:b/>
          <w:sz w:val="20"/>
          <w:szCs w:val="20"/>
        </w:rPr>
      </w:pPr>
      <w:r>
        <w:rPr>
          <w:rFonts w:ascii="Arial" w:hAnsi="Arial" w:cs="Arial"/>
          <w:b/>
          <w:sz w:val="20"/>
          <w:szCs w:val="20"/>
        </w:rPr>
        <w:t>Inclusion criteria</w:t>
      </w:r>
    </w:p>
    <w:p w14:paraId="5AC2C896">
      <w:pPr>
        <w:spacing w:line="480" w:lineRule="auto"/>
        <w:rPr>
          <w:rFonts w:ascii="Arial" w:hAnsi="Arial" w:cs="Arial"/>
          <w:sz w:val="20"/>
          <w:szCs w:val="20"/>
        </w:rPr>
      </w:pPr>
      <w:r>
        <w:rPr>
          <w:rFonts w:ascii="Arial" w:hAnsi="Arial" w:cs="Arial"/>
          <w:sz w:val="20"/>
          <w:szCs w:val="20"/>
        </w:rPr>
        <w:t xml:space="preserve">Patients meeting </w:t>
      </w:r>
      <w:r>
        <w:rPr>
          <w:rFonts w:ascii="Arial" w:hAnsi="Arial" w:cs="Arial"/>
          <w:b/>
          <w:bCs/>
          <w:sz w:val="20"/>
          <w:szCs w:val="20"/>
        </w:rPr>
        <w:t>all</w:t>
      </w:r>
      <w:r>
        <w:rPr>
          <w:rFonts w:ascii="Arial" w:hAnsi="Arial" w:cs="Arial"/>
          <w:sz w:val="20"/>
          <w:szCs w:val="20"/>
        </w:rPr>
        <w:t xml:space="preserve"> of the following criteria are</w:t>
      </w:r>
      <w:bookmarkStart w:id="0" w:name="_GoBack"/>
      <w:bookmarkEnd w:id="0"/>
      <w:r>
        <w:rPr>
          <w:rFonts w:ascii="Arial" w:hAnsi="Arial" w:cs="Arial"/>
          <w:sz w:val="20"/>
          <w:szCs w:val="20"/>
        </w:rPr>
        <w:t xml:space="preserve"> eligible for the trial </w:t>
      </w:r>
    </w:p>
    <w:p w14:paraId="7D95F98E">
      <w:pPr>
        <w:pStyle w:val="32"/>
        <w:numPr>
          <w:ilvl w:val="0"/>
          <w:numId w:val="1"/>
        </w:numPr>
        <w:spacing w:line="480" w:lineRule="auto"/>
        <w:rPr>
          <w:rFonts w:ascii="Arial" w:hAnsi="Arial" w:cs="Arial"/>
          <w:sz w:val="20"/>
          <w:szCs w:val="20"/>
        </w:rPr>
      </w:pPr>
      <w:r>
        <w:rPr>
          <w:rFonts w:ascii="Arial" w:hAnsi="Arial" w:cs="Arial"/>
          <w:sz w:val="20"/>
          <w:szCs w:val="20"/>
        </w:rPr>
        <w:t>Scheduled for unilateral, primary TKA</w:t>
      </w:r>
    </w:p>
    <w:p w14:paraId="7D93BF55">
      <w:pPr>
        <w:pStyle w:val="32"/>
        <w:numPr>
          <w:ilvl w:val="0"/>
          <w:numId w:val="1"/>
        </w:numPr>
        <w:spacing w:line="480" w:lineRule="auto"/>
        <w:rPr>
          <w:rFonts w:ascii="Arial" w:hAnsi="Arial" w:cs="Arial"/>
          <w:sz w:val="20"/>
          <w:szCs w:val="20"/>
        </w:rPr>
      </w:pPr>
      <w:r>
        <w:rPr>
          <w:rFonts w:ascii="Arial" w:hAnsi="Arial" w:cs="Arial"/>
          <w:sz w:val="20"/>
          <w:szCs w:val="20"/>
        </w:rPr>
        <w:t>Age 40–85 years</w:t>
      </w:r>
    </w:p>
    <w:p w14:paraId="2E8808B0">
      <w:pPr>
        <w:pStyle w:val="32"/>
        <w:numPr>
          <w:ilvl w:val="0"/>
          <w:numId w:val="1"/>
        </w:numPr>
        <w:spacing w:line="480" w:lineRule="auto"/>
        <w:rPr>
          <w:rFonts w:ascii="Arial" w:hAnsi="Arial" w:cs="Arial"/>
          <w:sz w:val="20"/>
          <w:szCs w:val="20"/>
        </w:rPr>
      </w:pPr>
      <w:r>
        <w:rPr>
          <w:rFonts w:ascii="Arial" w:hAnsi="Arial" w:cs="Arial"/>
          <w:sz w:val="20"/>
          <w:szCs w:val="20"/>
        </w:rPr>
        <w:t>No gender restriction</w:t>
      </w:r>
    </w:p>
    <w:p w14:paraId="5A8E93E8">
      <w:pPr>
        <w:pStyle w:val="32"/>
        <w:numPr>
          <w:ilvl w:val="0"/>
          <w:numId w:val="1"/>
        </w:numPr>
        <w:spacing w:line="480" w:lineRule="auto"/>
        <w:rPr>
          <w:rFonts w:ascii="Arial" w:hAnsi="Arial" w:cs="Arial"/>
          <w:sz w:val="20"/>
          <w:szCs w:val="20"/>
        </w:rPr>
      </w:pPr>
      <w:r>
        <w:rPr>
          <w:rFonts w:ascii="Arial" w:hAnsi="Arial" w:cs="Arial"/>
          <w:sz w:val="20"/>
          <w:szCs w:val="20"/>
        </w:rPr>
        <w:t>BMI 18–40 kg/m²</w:t>
      </w:r>
    </w:p>
    <w:p w14:paraId="28201EBC">
      <w:pPr>
        <w:pStyle w:val="32"/>
        <w:numPr>
          <w:ilvl w:val="0"/>
          <w:numId w:val="1"/>
        </w:numPr>
        <w:spacing w:line="480" w:lineRule="auto"/>
        <w:rPr>
          <w:rFonts w:ascii="Arial" w:hAnsi="Arial" w:cs="Arial"/>
          <w:sz w:val="20"/>
          <w:szCs w:val="20"/>
        </w:rPr>
      </w:pPr>
      <w:r>
        <w:rPr>
          <w:rFonts w:ascii="Arial" w:hAnsi="Arial" w:cs="Arial"/>
          <w:sz w:val="20"/>
          <w:szCs w:val="20"/>
        </w:rPr>
        <w:t>ASA 1-3</w:t>
      </w:r>
    </w:p>
    <w:p w14:paraId="703E2075">
      <w:pPr>
        <w:pStyle w:val="32"/>
        <w:numPr>
          <w:ilvl w:val="0"/>
          <w:numId w:val="1"/>
        </w:numPr>
        <w:spacing w:line="480" w:lineRule="auto"/>
        <w:rPr>
          <w:rFonts w:ascii="Arial" w:hAnsi="Arial" w:cs="Arial"/>
          <w:sz w:val="20"/>
          <w:szCs w:val="20"/>
        </w:rPr>
      </w:pPr>
      <w:r>
        <w:rPr>
          <w:rFonts w:ascii="Arial" w:hAnsi="Arial" w:cs="Arial"/>
          <w:sz w:val="20"/>
          <w:szCs w:val="20"/>
        </w:rPr>
        <w:t>No chronic preoperative pain (defined as no regular analgesic use within 3 months prior to surgery)</w:t>
      </w:r>
    </w:p>
    <w:p w14:paraId="415DC7D0">
      <w:pPr>
        <w:pStyle w:val="32"/>
        <w:numPr>
          <w:ilvl w:val="0"/>
          <w:numId w:val="1"/>
        </w:numPr>
        <w:spacing w:line="480" w:lineRule="auto"/>
        <w:rPr>
          <w:rFonts w:ascii="Arial" w:hAnsi="Arial" w:cs="Arial"/>
          <w:sz w:val="20"/>
          <w:szCs w:val="20"/>
        </w:rPr>
      </w:pPr>
      <w:r>
        <w:rPr>
          <w:rFonts w:ascii="Arial" w:hAnsi="Arial" w:cs="Arial"/>
          <w:sz w:val="20"/>
          <w:szCs w:val="20"/>
        </w:rPr>
        <w:t>Comprehension of the VAS pain scale (≥80% accuracy in post-training test)</w:t>
      </w:r>
    </w:p>
    <w:p w14:paraId="0C1EFD2D">
      <w:pPr>
        <w:pStyle w:val="32"/>
        <w:numPr>
          <w:ilvl w:val="0"/>
          <w:numId w:val="1"/>
        </w:numPr>
        <w:spacing w:line="480" w:lineRule="auto"/>
        <w:rPr>
          <w:rFonts w:ascii="Arial" w:hAnsi="Arial" w:cs="Arial"/>
          <w:sz w:val="20"/>
          <w:szCs w:val="20"/>
        </w:rPr>
      </w:pPr>
      <w:r>
        <w:rPr>
          <w:rFonts w:ascii="Arial" w:hAnsi="Arial" w:cs="Arial"/>
          <w:sz w:val="20"/>
          <w:szCs w:val="20"/>
        </w:rPr>
        <w:t>Provision of written informed consent for trial participation after fully understanding the protocol requirements and restrictions.</w:t>
      </w:r>
    </w:p>
    <w:p w14:paraId="60941E67">
      <w:pPr>
        <w:spacing w:line="480" w:lineRule="auto"/>
        <w:rPr>
          <w:rFonts w:ascii="Arial" w:hAnsi="Arial" w:cs="Arial"/>
          <w:b/>
          <w:bCs/>
          <w:sz w:val="20"/>
          <w:szCs w:val="20"/>
        </w:rPr>
      </w:pPr>
      <w:r>
        <w:rPr>
          <w:rFonts w:ascii="Arial" w:hAnsi="Arial" w:cs="Arial"/>
          <w:b/>
          <w:bCs/>
          <w:sz w:val="20"/>
          <w:szCs w:val="20"/>
        </w:rPr>
        <w:t xml:space="preserve">Exclusion criteria </w:t>
      </w:r>
    </w:p>
    <w:p w14:paraId="3E949FBF">
      <w:pPr>
        <w:spacing w:line="480" w:lineRule="auto"/>
        <w:rPr>
          <w:rFonts w:ascii="Arial" w:hAnsi="Arial" w:cs="Arial"/>
          <w:sz w:val="20"/>
          <w:szCs w:val="20"/>
        </w:rPr>
      </w:pPr>
      <w:r>
        <w:rPr>
          <w:rFonts w:ascii="Arial" w:hAnsi="Arial" w:cs="Arial"/>
          <w:sz w:val="20"/>
          <w:szCs w:val="20"/>
        </w:rPr>
        <w:t xml:space="preserve">Patients meeting </w:t>
      </w:r>
      <w:r>
        <w:rPr>
          <w:rFonts w:ascii="Arial" w:hAnsi="Arial" w:cs="Arial"/>
          <w:b/>
          <w:bCs/>
          <w:sz w:val="20"/>
          <w:szCs w:val="20"/>
        </w:rPr>
        <w:t>any</w:t>
      </w:r>
      <w:r>
        <w:rPr>
          <w:rFonts w:ascii="Arial" w:hAnsi="Arial" w:cs="Arial"/>
          <w:sz w:val="20"/>
          <w:szCs w:val="20"/>
        </w:rPr>
        <w:t xml:space="preserve"> of the following criteria are excluded from the trial:</w:t>
      </w:r>
    </w:p>
    <w:p w14:paraId="38E0FA6C">
      <w:pPr>
        <w:pStyle w:val="32"/>
        <w:numPr>
          <w:ilvl w:val="0"/>
          <w:numId w:val="2"/>
        </w:numPr>
        <w:spacing w:line="480" w:lineRule="auto"/>
        <w:rPr>
          <w:rFonts w:ascii="Arial" w:hAnsi="Arial" w:cs="Arial"/>
          <w:sz w:val="20"/>
          <w:szCs w:val="20"/>
        </w:rPr>
      </w:pPr>
      <w:r>
        <w:rPr>
          <w:rFonts w:ascii="Arial" w:hAnsi="Arial" w:cs="Arial"/>
          <w:sz w:val="20"/>
          <w:szCs w:val="20"/>
        </w:rPr>
        <w:t>Patients who cannot cooperate with the trial</w:t>
      </w:r>
    </w:p>
    <w:p w14:paraId="29F3E1AB">
      <w:pPr>
        <w:pStyle w:val="32"/>
        <w:numPr>
          <w:ilvl w:val="0"/>
          <w:numId w:val="2"/>
        </w:numPr>
        <w:spacing w:line="480" w:lineRule="auto"/>
        <w:rPr>
          <w:rFonts w:ascii="Arial" w:hAnsi="Arial" w:cs="Arial"/>
          <w:sz w:val="20"/>
          <w:szCs w:val="20"/>
        </w:rPr>
      </w:pPr>
      <w:r>
        <w:rPr>
          <w:rFonts w:ascii="Arial" w:hAnsi="Arial" w:cs="Arial"/>
          <w:sz w:val="20"/>
          <w:szCs w:val="20"/>
        </w:rPr>
        <w:t>Concomitant participation in another trial</w:t>
      </w:r>
    </w:p>
    <w:p w14:paraId="63379701">
      <w:pPr>
        <w:pStyle w:val="32"/>
        <w:numPr>
          <w:ilvl w:val="0"/>
          <w:numId w:val="2"/>
        </w:numPr>
        <w:spacing w:line="480" w:lineRule="auto"/>
        <w:rPr>
          <w:rFonts w:ascii="Arial" w:hAnsi="Arial" w:cs="Arial"/>
          <w:sz w:val="20"/>
          <w:szCs w:val="20"/>
        </w:rPr>
      </w:pPr>
      <w:r>
        <w:rPr>
          <w:rFonts w:ascii="Arial" w:hAnsi="Arial" w:cs="Arial"/>
          <w:sz w:val="20"/>
          <w:szCs w:val="20"/>
        </w:rPr>
        <w:t>Neuropathic pain requiring anticonvulsant/antidepressant therapy or non-osteoarthritic pain sources (e.g., radiculopathy, CRPS).</w:t>
      </w:r>
    </w:p>
    <w:p w14:paraId="41FBECD1">
      <w:pPr>
        <w:pStyle w:val="32"/>
        <w:numPr>
          <w:ilvl w:val="0"/>
          <w:numId w:val="2"/>
        </w:numPr>
        <w:spacing w:line="480" w:lineRule="auto"/>
        <w:rPr>
          <w:rFonts w:ascii="Arial" w:hAnsi="Arial" w:cs="Arial"/>
          <w:sz w:val="20"/>
          <w:szCs w:val="20"/>
        </w:rPr>
      </w:pPr>
      <w:r>
        <w:rPr>
          <w:rFonts w:ascii="Arial" w:hAnsi="Arial" w:cs="Arial"/>
          <w:sz w:val="20"/>
          <w:szCs w:val="20"/>
        </w:rPr>
        <w:t>Patients with allergy to the medicines used in the trial.</w:t>
      </w:r>
    </w:p>
    <w:p w14:paraId="6610B95C">
      <w:pPr>
        <w:pStyle w:val="32"/>
        <w:numPr>
          <w:ilvl w:val="0"/>
          <w:numId w:val="2"/>
        </w:numPr>
        <w:spacing w:line="480" w:lineRule="auto"/>
        <w:ind w:left="442" w:hanging="442"/>
        <w:rPr>
          <w:rFonts w:ascii="Arial" w:hAnsi="Arial" w:cs="Arial"/>
          <w:sz w:val="20"/>
          <w:szCs w:val="20"/>
        </w:rPr>
      </w:pPr>
      <w:r>
        <w:rPr>
          <w:rFonts w:ascii="Arial" w:hAnsi="Arial" w:cs="Arial"/>
          <w:sz w:val="20"/>
          <w:szCs w:val="20"/>
        </w:rPr>
        <w:t>Contraindications against NSAID, ulinastatin or morphine, including: history of peptic ulcer, heart failure (NYHA class III–IV), liver failure (Child-Pugh B/C), or renal failure (eGRF &lt; 60 ml/kg/1.73m</w:t>
      </w:r>
      <w:r>
        <w:rPr>
          <w:rFonts w:ascii="Arial" w:hAnsi="Arial" w:cs="Arial"/>
          <w:sz w:val="20"/>
          <w:szCs w:val="20"/>
          <w:vertAlign w:val="superscript"/>
        </w:rPr>
        <w:t>2</w:t>
      </w:r>
      <w:r>
        <w:rPr>
          <w:rFonts w:ascii="Arial" w:hAnsi="Arial" w:cs="Arial"/>
          <w:sz w:val="20"/>
          <w:szCs w:val="20"/>
        </w:rPr>
        <w:t>), known thrombocytopenia (&lt; 100,000/μL)</w:t>
      </w:r>
    </w:p>
    <w:p w14:paraId="06428A45">
      <w:pPr>
        <w:pStyle w:val="32"/>
        <w:numPr>
          <w:ilvl w:val="0"/>
          <w:numId w:val="2"/>
        </w:numPr>
        <w:spacing w:line="480" w:lineRule="auto"/>
        <w:rPr>
          <w:rFonts w:ascii="Arial" w:hAnsi="Arial" w:cs="Arial"/>
          <w:sz w:val="20"/>
          <w:szCs w:val="20"/>
        </w:rPr>
      </w:pPr>
      <w:r>
        <w:rPr>
          <w:rFonts w:ascii="Arial" w:hAnsi="Arial" w:cs="Arial"/>
          <w:sz w:val="20"/>
          <w:szCs w:val="20"/>
        </w:rPr>
        <w:t>Uncontrolled major depression (PHQ-9 ≥20) or cognitive impairment (MMSE ≤24)</w:t>
      </w:r>
    </w:p>
    <w:p w14:paraId="494981F8">
      <w:pPr>
        <w:pStyle w:val="32"/>
        <w:numPr>
          <w:ilvl w:val="0"/>
          <w:numId w:val="2"/>
        </w:numPr>
        <w:spacing w:line="480" w:lineRule="auto"/>
        <w:rPr>
          <w:rFonts w:ascii="Arial" w:hAnsi="Arial" w:cs="Arial"/>
          <w:sz w:val="20"/>
          <w:szCs w:val="20"/>
        </w:rPr>
      </w:pPr>
      <w:r>
        <w:rPr>
          <w:rFonts w:ascii="Arial" w:hAnsi="Arial" w:cs="Arial"/>
          <w:sz w:val="20"/>
          <w:szCs w:val="20"/>
        </w:rPr>
        <w:t>Intraoperative hemorrhage &gt;1000 mL or requiring transfusion</w:t>
      </w:r>
    </w:p>
    <w:p w14:paraId="47BD8F2A">
      <w:pPr>
        <w:pStyle w:val="32"/>
        <w:numPr>
          <w:ilvl w:val="0"/>
          <w:numId w:val="2"/>
        </w:numPr>
        <w:spacing w:line="480" w:lineRule="auto"/>
        <w:rPr>
          <w:rFonts w:ascii="Arial" w:hAnsi="Arial" w:cs="Arial"/>
          <w:sz w:val="20"/>
          <w:szCs w:val="20"/>
        </w:rPr>
      </w:pPr>
      <w:r>
        <w:rPr>
          <w:rFonts w:ascii="Arial" w:hAnsi="Arial" w:cs="Arial"/>
          <w:sz w:val="20"/>
          <w:szCs w:val="20"/>
        </w:rPr>
        <w:t>Postoperative ICU admission</w:t>
      </w:r>
    </w:p>
    <w:p w14:paraId="6B60037C">
      <w:pPr>
        <w:pStyle w:val="32"/>
        <w:numPr>
          <w:ilvl w:val="0"/>
          <w:numId w:val="2"/>
        </w:numPr>
        <w:spacing w:line="480" w:lineRule="auto"/>
        <w:rPr>
          <w:rFonts w:ascii="Arial" w:hAnsi="Arial" w:cs="Arial"/>
          <w:sz w:val="20"/>
          <w:szCs w:val="20"/>
        </w:rPr>
      </w:pPr>
      <w:r>
        <w:rPr>
          <w:rFonts w:ascii="Arial" w:hAnsi="Arial" w:cs="Arial"/>
          <w:sz w:val="20"/>
          <w:szCs w:val="20"/>
          <w:shd w:val="clear" w:color="auto" w:fill="FFFFFF"/>
        </w:rPr>
        <w:t>Any other condition deemed by the investigator or attending physician as rendering the patient unsuitable for trial participation.</w:t>
      </w:r>
    </w:p>
    <w:p w14:paraId="102921E7">
      <w:pPr>
        <w:pStyle w:val="3"/>
        <w:keepLines w:val="0"/>
        <w:widowControl/>
        <w:spacing w:before="240" w:after="60" w:line="480" w:lineRule="auto"/>
        <w:jc w:val="left"/>
        <w:rPr>
          <w:rFonts w:hint="default" w:ascii="Arial" w:hAnsi="Arial" w:cs="Arial" w:eastAsiaTheme="minorEastAsia"/>
          <w:b/>
          <w:bCs/>
          <w:i/>
          <w:iCs/>
          <w:color w:val="auto"/>
          <w:kern w:val="0"/>
          <w:sz w:val="28"/>
          <w:szCs w:val="28"/>
          <w:lang w:val="en-US" w:eastAsia="zh-CN"/>
        </w:rPr>
      </w:pPr>
      <w:r>
        <w:rPr>
          <w:rFonts w:ascii="Arial" w:hAnsi="Arial" w:cs="Arial" w:eastAsiaTheme="minorEastAsia"/>
          <w:b/>
          <w:bCs/>
          <w:i/>
          <w:iCs/>
          <w:color w:val="auto"/>
          <w:kern w:val="0"/>
          <w:sz w:val="28"/>
          <w:szCs w:val="28"/>
          <w:lang w:eastAsia="en-US"/>
        </w:rPr>
        <w:t xml:space="preserve">Supplement </w:t>
      </w:r>
      <w:r>
        <w:rPr>
          <w:rFonts w:hint="eastAsia" w:ascii="Arial" w:hAnsi="Arial" w:cs="Arial" w:eastAsiaTheme="minorEastAsia"/>
          <w:b/>
          <w:bCs/>
          <w:i/>
          <w:iCs/>
          <w:color w:val="auto"/>
          <w:kern w:val="0"/>
          <w:sz w:val="28"/>
          <w:szCs w:val="28"/>
          <w:lang w:val="en-US" w:eastAsia="zh-CN"/>
        </w:rPr>
        <w:t>2</w:t>
      </w:r>
      <w:r>
        <w:rPr>
          <w:rFonts w:ascii="Arial" w:hAnsi="Arial" w:cs="Arial" w:eastAsiaTheme="minorEastAsia"/>
          <w:b/>
          <w:bCs/>
          <w:i/>
          <w:iCs/>
          <w:color w:val="auto"/>
          <w:kern w:val="0"/>
          <w:sz w:val="28"/>
          <w:szCs w:val="28"/>
          <w:lang w:eastAsia="en-US"/>
        </w:rPr>
        <w:t xml:space="preserve">. </w:t>
      </w:r>
      <w:r>
        <w:rPr>
          <w:rFonts w:hint="eastAsia" w:ascii="Arial" w:hAnsi="Arial" w:cs="Arial" w:eastAsiaTheme="minorEastAsia"/>
          <w:b/>
          <w:bCs/>
          <w:i/>
          <w:iCs/>
          <w:color w:val="auto"/>
          <w:kern w:val="0"/>
          <w:sz w:val="28"/>
          <w:szCs w:val="28"/>
          <w:lang w:val="en-US" w:eastAsia="zh-CN"/>
        </w:rPr>
        <w:t>Tables</w:t>
      </w:r>
    </w:p>
    <w:p w14:paraId="5EE1246D">
      <w:pPr>
        <w:widowControl/>
        <w:jc w:val="left"/>
        <w:rPr>
          <w:rFonts w:hint="default" w:ascii="Arial" w:hAnsi="Arial" w:eastAsia="等线" w:cs="Arial"/>
          <w:b/>
          <w:bCs/>
          <w:sz w:val="20"/>
          <w:szCs w:val="20"/>
        </w:rPr>
      </w:pPr>
      <w:r>
        <w:rPr>
          <w:rFonts w:hint="default" w:ascii="Arial" w:hAnsi="Arial" w:eastAsia="等线" w:cs="Arial"/>
          <w:b/>
          <w:bCs/>
          <w:sz w:val="20"/>
          <w:szCs w:val="20"/>
        </w:rPr>
        <w:t xml:space="preserve">Table S1. </w:t>
      </w:r>
      <w:r>
        <w:rPr>
          <w:rFonts w:hint="default" w:ascii="Arial" w:hAnsi="Arial" w:eastAsia="等线" w:cs="Arial"/>
          <w:b w:val="0"/>
          <w:bCs w:val="0"/>
          <w:sz w:val="20"/>
          <w:szCs w:val="20"/>
        </w:rPr>
        <w:t>Pain scores in 72h for each group</w:t>
      </w:r>
    </w:p>
    <w:p w14:paraId="482D6A7C">
      <w:pPr>
        <w:widowControl/>
        <w:jc w:val="left"/>
        <w:rPr>
          <w:rFonts w:hint="default" w:ascii="Arial" w:hAnsi="Arial" w:eastAsia="等线" w:cs="Arial"/>
          <w:b/>
          <w:bCs/>
          <w:sz w:val="20"/>
          <w:szCs w:val="20"/>
        </w:rPr>
      </w:pPr>
    </w:p>
    <w:tbl>
      <w:tblPr>
        <w:tblStyle w:val="41"/>
        <w:tblW w:w="5005" w:type="pct"/>
        <w:tblInd w:w="0" w:type="dxa"/>
        <w:tblLayout w:type="fixed"/>
        <w:tblCellMar>
          <w:top w:w="0" w:type="dxa"/>
          <w:left w:w="108" w:type="dxa"/>
          <w:bottom w:w="0" w:type="dxa"/>
          <w:right w:w="108" w:type="dxa"/>
        </w:tblCellMar>
      </w:tblPr>
      <w:tblGrid>
        <w:gridCol w:w="2835"/>
        <w:gridCol w:w="1587"/>
        <w:gridCol w:w="1587"/>
        <w:gridCol w:w="1587"/>
        <w:gridCol w:w="936"/>
      </w:tblGrid>
      <w:tr w14:paraId="286D4212">
        <w:tblPrEx>
          <w:tblCellMar>
            <w:top w:w="0" w:type="dxa"/>
            <w:left w:w="108" w:type="dxa"/>
            <w:bottom w:w="0" w:type="dxa"/>
            <w:right w:w="108" w:type="dxa"/>
          </w:tblCellMar>
        </w:tblPrEx>
        <w:tc>
          <w:tcPr>
            <w:tcW w:w="1661" w:type="pct"/>
            <w:tcBorders>
              <w:top w:val="single" w:color="000000" w:sz="12" w:space="0"/>
              <w:left w:val="nil"/>
              <w:bottom w:val="single" w:color="000000" w:sz="4" w:space="0"/>
              <w:right w:val="nil"/>
              <w:tl2br w:val="nil"/>
            </w:tcBorders>
            <w:shd w:val="clear" w:color="auto" w:fill="FFFFFF"/>
            <w:noWrap/>
          </w:tcPr>
          <w:p w14:paraId="7E3F4A1A">
            <w:pPr>
              <w:keepNext w:val="0"/>
              <w:keepLines w:val="0"/>
              <w:widowControl/>
              <w:suppressLineNumbers w:val="0"/>
              <w:spacing w:before="0" w:beforeAutospacing="0" w:after="0" w:afterAutospacing="0"/>
              <w:ind w:left="0" w:right="0"/>
              <w:jc w:val="left"/>
              <w:rPr>
                <w:rFonts w:hint="default" w:ascii="Arial" w:hAnsi="Arial" w:eastAsia="等线" w:cs="Arial"/>
                <w:b/>
                <w:bCs/>
                <w:color w:val="000000"/>
                <w:kern w:val="0"/>
                <w:sz w:val="20"/>
                <w:szCs w:val="20"/>
              </w:rPr>
            </w:pPr>
          </w:p>
        </w:tc>
        <w:tc>
          <w:tcPr>
            <w:tcW w:w="930" w:type="pct"/>
            <w:tcBorders>
              <w:top w:val="single" w:color="000000" w:sz="12" w:space="0"/>
              <w:left w:val="nil"/>
              <w:bottom w:val="single" w:color="000000" w:sz="4" w:space="0"/>
              <w:right w:val="nil"/>
            </w:tcBorders>
            <w:shd w:val="clear" w:color="auto" w:fill="FFFFFF"/>
            <w:noWrap/>
          </w:tcPr>
          <w:p w14:paraId="4C2FC612">
            <w:pPr>
              <w:keepNext w:val="0"/>
              <w:keepLines w:val="0"/>
              <w:widowControl/>
              <w:suppressLineNumbers w:val="0"/>
              <w:spacing w:before="0" w:beforeAutospacing="0" w:after="0" w:afterAutospacing="0"/>
              <w:ind w:left="0" w:right="0"/>
              <w:jc w:val="left"/>
              <w:rPr>
                <w:rFonts w:hint="default" w:ascii="Arial" w:hAnsi="Arial" w:eastAsia="等线" w:cs="Arial"/>
                <w:b w:val="0"/>
                <w:bCs w:val="0"/>
                <w:color w:val="000000"/>
                <w:kern w:val="0"/>
                <w:sz w:val="20"/>
                <w:szCs w:val="20"/>
              </w:rPr>
            </w:pPr>
            <w:r>
              <w:rPr>
                <w:rFonts w:hint="default" w:ascii="Arial" w:hAnsi="Arial" w:eastAsia="等线" w:cs="Arial"/>
                <w:b/>
                <w:bCs/>
                <w:color w:val="000000"/>
                <w:kern w:val="0"/>
                <w:sz w:val="20"/>
                <w:szCs w:val="20"/>
              </w:rPr>
              <w:t xml:space="preserve">UTI Group </w:t>
            </w:r>
          </w:p>
          <w:p w14:paraId="5D0AC5D9">
            <w:pPr>
              <w:keepNext w:val="0"/>
              <w:keepLines w:val="0"/>
              <w:widowControl/>
              <w:suppressLineNumbers w:val="0"/>
              <w:spacing w:before="0" w:beforeAutospacing="0" w:after="0" w:afterAutospacing="0"/>
              <w:ind w:left="0" w:right="0"/>
              <w:jc w:val="left"/>
              <w:rPr>
                <w:rFonts w:hint="default" w:ascii="Arial" w:hAnsi="Arial" w:eastAsia="等线" w:cs="Arial"/>
                <w:b/>
                <w:bCs/>
                <w:color w:val="000000"/>
                <w:kern w:val="0"/>
                <w:sz w:val="20"/>
                <w:szCs w:val="20"/>
              </w:rPr>
            </w:pPr>
            <w:r>
              <w:rPr>
                <w:rFonts w:hint="default" w:ascii="Arial" w:hAnsi="Arial" w:eastAsia="等线" w:cs="Arial"/>
                <w:b/>
                <w:bCs/>
                <w:color w:val="000000"/>
                <w:kern w:val="0"/>
                <w:sz w:val="20"/>
                <w:szCs w:val="20"/>
              </w:rPr>
              <w:t>(n = 49)</w:t>
            </w:r>
          </w:p>
        </w:tc>
        <w:tc>
          <w:tcPr>
            <w:tcW w:w="930" w:type="pct"/>
            <w:tcBorders>
              <w:top w:val="single" w:color="000000" w:sz="12" w:space="0"/>
              <w:left w:val="nil"/>
              <w:bottom w:val="single" w:color="000000" w:sz="4" w:space="0"/>
              <w:right w:val="nil"/>
            </w:tcBorders>
            <w:shd w:val="clear" w:color="auto" w:fill="FFFFFF"/>
            <w:noWrap/>
          </w:tcPr>
          <w:p w14:paraId="33DFDC96">
            <w:pPr>
              <w:keepNext w:val="0"/>
              <w:keepLines w:val="0"/>
              <w:widowControl/>
              <w:suppressLineNumbers w:val="0"/>
              <w:spacing w:before="0" w:beforeAutospacing="0" w:after="0" w:afterAutospacing="0"/>
              <w:ind w:left="0" w:right="0"/>
              <w:jc w:val="left"/>
              <w:rPr>
                <w:rFonts w:hint="default" w:ascii="Arial" w:hAnsi="Arial" w:eastAsia="等线" w:cs="Arial"/>
                <w:b w:val="0"/>
                <w:bCs w:val="0"/>
                <w:color w:val="000000"/>
                <w:kern w:val="0"/>
                <w:sz w:val="20"/>
                <w:szCs w:val="20"/>
              </w:rPr>
            </w:pPr>
            <w:r>
              <w:rPr>
                <w:rFonts w:hint="default" w:ascii="Arial" w:hAnsi="Arial" w:eastAsia="等线" w:cs="Arial"/>
                <w:b/>
                <w:bCs/>
                <w:color w:val="000000"/>
                <w:kern w:val="0"/>
                <w:sz w:val="20"/>
                <w:szCs w:val="20"/>
              </w:rPr>
              <w:t xml:space="preserve">FA Group </w:t>
            </w:r>
          </w:p>
          <w:p w14:paraId="01550029">
            <w:pPr>
              <w:keepNext w:val="0"/>
              <w:keepLines w:val="0"/>
              <w:widowControl/>
              <w:suppressLineNumbers w:val="0"/>
              <w:spacing w:before="0" w:beforeAutospacing="0" w:after="0" w:afterAutospacing="0"/>
              <w:ind w:left="0" w:right="0"/>
              <w:jc w:val="left"/>
              <w:rPr>
                <w:rFonts w:hint="default" w:ascii="Arial" w:hAnsi="Arial" w:eastAsia="等线" w:cs="Arial"/>
                <w:b/>
                <w:bCs/>
                <w:color w:val="000000"/>
                <w:kern w:val="0"/>
                <w:sz w:val="20"/>
                <w:szCs w:val="20"/>
              </w:rPr>
            </w:pPr>
            <w:r>
              <w:rPr>
                <w:rFonts w:hint="default" w:ascii="Arial" w:hAnsi="Arial" w:eastAsia="等线" w:cs="Arial"/>
                <w:b/>
                <w:bCs/>
                <w:color w:val="000000"/>
                <w:kern w:val="0"/>
                <w:sz w:val="20"/>
                <w:szCs w:val="20"/>
              </w:rPr>
              <w:t>(n = 50)</w:t>
            </w:r>
          </w:p>
        </w:tc>
        <w:tc>
          <w:tcPr>
            <w:tcW w:w="930" w:type="pct"/>
            <w:tcBorders>
              <w:top w:val="single" w:color="000000" w:sz="12" w:space="0"/>
              <w:left w:val="nil"/>
              <w:bottom w:val="single" w:color="000000" w:sz="4" w:space="0"/>
              <w:right w:val="nil"/>
            </w:tcBorders>
            <w:shd w:val="clear" w:color="auto" w:fill="FFFFFF"/>
            <w:noWrap/>
          </w:tcPr>
          <w:p w14:paraId="68EF4C5E">
            <w:pPr>
              <w:keepNext w:val="0"/>
              <w:keepLines w:val="0"/>
              <w:widowControl/>
              <w:suppressLineNumbers w:val="0"/>
              <w:spacing w:before="0" w:beforeAutospacing="0" w:after="0" w:afterAutospacing="0"/>
              <w:ind w:left="0" w:right="0"/>
              <w:jc w:val="left"/>
              <w:rPr>
                <w:rFonts w:hint="default" w:ascii="Arial" w:hAnsi="Arial" w:eastAsia="等线" w:cs="Arial"/>
                <w:b w:val="0"/>
                <w:bCs w:val="0"/>
                <w:color w:val="000000"/>
                <w:kern w:val="0"/>
                <w:sz w:val="20"/>
                <w:szCs w:val="20"/>
              </w:rPr>
            </w:pPr>
            <w:r>
              <w:rPr>
                <w:rFonts w:hint="default" w:ascii="Arial" w:hAnsi="Arial" w:eastAsia="等线" w:cs="Arial"/>
                <w:b/>
                <w:bCs/>
                <w:color w:val="000000"/>
                <w:kern w:val="0"/>
                <w:sz w:val="20"/>
                <w:szCs w:val="20"/>
              </w:rPr>
              <w:t xml:space="preserve">Control Group </w:t>
            </w:r>
          </w:p>
          <w:p w14:paraId="34F3CEB5">
            <w:pPr>
              <w:keepNext w:val="0"/>
              <w:keepLines w:val="0"/>
              <w:widowControl/>
              <w:suppressLineNumbers w:val="0"/>
              <w:spacing w:before="0" w:beforeAutospacing="0" w:after="0" w:afterAutospacing="0"/>
              <w:ind w:left="0" w:right="0"/>
              <w:jc w:val="left"/>
              <w:rPr>
                <w:rFonts w:hint="default" w:ascii="Arial" w:hAnsi="Arial" w:eastAsia="等线" w:cs="Arial"/>
                <w:b/>
                <w:bCs/>
                <w:color w:val="000000"/>
                <w:kern w:val="0"/>
                <w:sz w:val="20"/>
                <w:szCs w:val="20"/>
              </w:rPr>
            </w:pPr>
            <w:r>
              <w:rPr>
                <w:rFonts w:hint="default" w:ascii="Arial" w:hAnsi="Arial" w:eastAsia="等线" w:cs="Arial"/>
                <w:b/>
                <w:bCs/>
                <w:color w:val="000000"/>
                <w:kern w:val="0"/>
                <w:sz w:val="20"/>
                <w:szCs w:val="20"/>
              </w:rPr>
              <w:t>(n = 50)</w:t>
            </w:r>
          </w:p>
        </w:tc>
        <w:tc>
          <w:tcPr>
            <w:tcW w:w="548" w:type="pct"/>
            <w:tcBorders>
              <w:top w:val="single" w:color="000000" w:sz="12" w:space="0"/>
              <w:left w:val="nil"/>
              <w:bottom w:val="single" w:color="000000" w:sz="4" w:space="0"/>
              <w:right w:val="nil"/>
            </w:tcBorders>
            <w:shd w:val="clear" w:color="auto" w:fill="FFFFFF"/>
            <w:noWrap/>
          </w:tcPr>
          <w:p w14:paraId="084DB6DF">
            <w:pPr>
              <w:keepNext w:val="0"/>
              <w:keepLines w:val="0"/>
              <w:widowControl/>
              <w:suppressLineNumbers w:val="0"/>
              <w:spacing w:before="0" w:beforeAutospacing="0" w:after="0" w:afterAutospacing="0"/>
              <w:ind w:left="0" w:right="0"/>
              <w:jc w:val="left"/>
              <w:rPr>
                <w:rFonts w:hint="default" w:ascii="Arial" w:hAnsi="Arial" w:eastAsia="等线" w:cs="Arial"/>
                <w:b/>
                <w:bCs/>
                <w:color w:val="000000"/>
                <w:kern w:val="0"/>
                <w:sz w:val="20"/>
                <w:szCs w:val="20"/>
              </w:rPr>
            </w:pPr>
            <w:r>
              <w:rPr>
                <w:rFonts w:hint="default" w:ascii="Arial" w:hAnsi="Arial" w:eastAsia="等线" w:cs="Arial"/>
                <w:b/>
                <w:bCs/>
                <w:i/>
                <w:iCs/>
                <w:color w:val="000000"/>
                <w:kern w:val="0"/>
                <w:sz w:val="20"/>
                <w:szCs w:val="20"/>
              </w:rPr>
              <w:t>P</w:t>
            </w:r>
            <w:r>
              <w:rPr>
                <w:rFonts w:hint="default" w:ascii="Arial" w:hAnsi="Arial" w:eastAsia="等线" w:cs="Arial"/>
                <w:b/>
                <w:bCs/>
                <w:color w:val="000000"/>
                <w:kern w:val="0"/>
                <w:sz w:val="20"/>
                <w:szCs w:val="20"/>
              </w:rPr>
              <w:t>-value</w:t>
            </w:r>
          </w:p>
        </w:tc>
      </w:tr>
      <w:tr w14:paraId="416C3373">
        <w:tblPrEx>
          <w:tblCellMar>
            <w:top w:w="0" w:type="dxa"/>
            <w:left w:w="108" w:type="dxa"/>
            <w:bottom w:w="0" w:type="dxa"/>
            <w:right w:w="108" w:type="dxa"/>
          </w:tblCellMar>
        </w:tblPrEx>
        <w:tc>
          <w:tcPr>
            <w:tcW w:w="1661" w:type="pct"/>
            <w:tcBorders>
              <w:top w:val="single" w:color="000000" w:sz="4" w:space="0"/>
              <w:left w:val="nil"/>
              <w:bottom w:val="nil"/>
              <w:right w:val="nil"/>
            </w:tcBorders>
            <w:shd w:val="clear" w:color="auto" w:fill="FFFFFF"/>
            <w:noWrap/>
          </w:tcPr>
          <w:p w14:paraId="028C7F74">
            <w:pPr>
              <w:keepNext w:val="0"/>
              <w:keepLines w:val="0"/>
              <w:widowControl/>
              <w:suppressLineNumbers w:val="0"/>
              <w:spacing w:before="0" w:beforeAutospacing="0" w:after="0" w:afterAutospacing="0"/>
              <w:ind w:left="0" w:right="0"/>
              <w:jc w:val="left"/>
              <w:rPr>
                <w:rFonts w:hint="default" w:ascii="Arial" w:hAnsi="Arial" w:eastAsia="等线" w:cs="Arial"/>
                <w:b/>
                <w:bCs/>
                <w:color w:val="000000"/>
                <w:kern w:val="0"/>
                <w:sz w:val="20"/>
                <w:szCs w:val="20"/>
              </w:rPr>
            </w:pPr>
            <w:r>
              <w:rPr>
                <w:rFonts w:hint="default" w:ascii="Arial" w:hAnsi="Arial" w:eastAsia="等线" w:cs="Arial"/>
                <w:b w:val="0"/>
                <w:bCs w:val="0"/>
                <w:color w:val="000000"/>
                <w:kern w:val="0"/>
                <w:sz w:val="20"/>
                <w:szCs w:val="20"/>
              </w:rPr>
              <w:t>Pain at rest at 24 h postoperatively, VAS (mm)</w:t>
            </w:r>
          </w:p>
        </w:tc>
        <w:tc>
          <w:tcPr>
            <w:tcW w:w="930" w:type="pct"/>
            <w:tcBorders>
              <w:top w:val="single" w:color="000000" w:sz="4" w:space="0"/>
              <w:left w:val="nil"/>
              <w:bottom w:val="nil"/>
              <w:right w:val="nil"/>
            </w:tcBorders>
            <w:shd w:val="clear" w:color="auto" w:fill="FFFFFF"/>
            <w:noWrap/>
          </w:tcPr>
          <w:p w14:paraId="630224DF">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20 (1</w:t>
            </w:r>
            <w:r>
              <w:rPr>
                <w:rFonts w:hint="eastAsia" w:ascii="Arial" w:hAnsi="Arial" w:eastAsia="等线" w:cs="Arial"/>
                <w:color w:val="000000"/>
                <w:kern w:val="0"/>
                <w:sz w:val="20"/>
                <w:szCs w:val="20"/>
                <w:lang w:val="en-US" w:eastAsia="zh-CN"/>
              </w:rPr>
              <w:t>9</w:t>
            </w:r>
            <w:r>
              <w:rPr>
                <w:rFonts w:hint="default" w:ascii="Arial" w:hAnsi="Arial" w:eastAsia="等线" w:cs="Arial"/>
                <w:color w:val="000000"/>
                <w:kern w:val="0"/>
                <w:sz w:val="20"/>
                <w:szCs w:val="20"/>
              </w:rPr>
              <w:t>, 25)</w:t>
            </w:r>
          </w:p>
        </w:tc>
        <w:tc>
          <w:tcPr>
            <w:tcW w:w="930" w:type="pct"/>
            <w:tcBorders>
              <w:top w:val="single" w:color="000000" w:sz="4" w:space="0"/>
              <w:left w:val="nil"/>
              <w:bottom w:val="nil"/>
              <w:right w:val="nil"/>
            </w:tcBorders>
            <w:shd w:val="clear" w:color="auto" w:fill="FFFFFF"/>
            <w:noWrap/>
          </w:tcPr>
          <w:p w14:paraId="644D6926">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20 (15, 25)</w:t>
            </w:r>
          </w:p>
        </w:tc>
        <w:tc>
          <w:tcPr>
            <w:tcW w:w="930" w:type="pct"/>
            <w:tcBorders>
              <w:top w:val="single" w:color="000000" w:sz="4" w:space="0"/>
              <w:left w:val="nil"/>
              <w:bottom w:val="nil"/>
              <w:right w:val="nil"/>
            </w:tcBorders>
            <w:shd w:val="clear" w:color="auto" w:fill="FFFFFF"/>
            <w:noWrap/>
          </w:tcPr>
          <w:p w14:paraId="08C7BFB5">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20 (20, 30)</w:t>
            </w:r>
          </w:p>
        </w:tc>
        <w:tc>
          <w:tcPr>
            <w:tcW w:w="548" w:type="pct"/>
            <w:tcBorders>
              <w:top w:val="single" w:color="000000" w:sz="4" w:space="0"/>
              <w:left w:val="nil"/>
              <w:bottom w:val="nil"/>
              <w:right w:val="nil"/>
            </w:tcBorders>
            <w:shd w:val="clear" w:color="auto" w:fill="FFFFFF"/>
            <w:noWrap/>
          </w:tcPr>
          <w:p w14:paraId="7212419E">
            <w:pPr>
              <w:keepNext w:val="0"/>
              <w:keepLines w:val="0"/>
              <w:widowControl/>
              <w:suppressLineNumbers w:val="0"/>
              <w:spacing w:before="0" w:beforeAutospacing="0" w:after="0" w:afterAutospacing="0"/>
              <w:ind w:left="0" w:right="0"/>
              <w:jc w:val="left"/>
              <w:rPr>
                <w:rFonts w:hint="default" w:ascii="Arial" w:hAnsi="Arial" w:eastAsia="等线" w:cs="Arial"/>
                <w:i/>
                <w:iCs/>
                <w:color w:val="000000"/>
                <w:kern w:val="0"/>
                <w:sz w:val="20"/>
                <w:szCs w:val="20"/>
              </w:rPr>
            </w:pPr>
            <w:r>
              <w:rPr>
                <w:rFonts w:hint="default" w:ascii="Arial" w:hAnsi="Arial" w:eastAsia="等线" w:cs="Arial"/>
                <w:i/>
                <w:iCs/>
                <w:color w:val="000000"/>
                <w:kern w:val="0"/>
                <w:sz w:val="20"/>
                <w:szCs w:val="20"/>
              </w:rPr>
              <w:t>.211</w:t>
            </w:r>
          </w:p>
        </w:tc>
      </w:tr>
      <w:tr w14:paraId="0D5EA7C7">
        <w:tblPrEx>
          <w:tblCellMar>
            <w:top w:w="0" w:type="dxa"/>
            <w:left w:w="108" w:type="dxa"/>
            <w:bottom w:w="0" w:type="dxa"/>
            <w:right w:w="108" w:type="dxa"/>
          </w:tblCellMar>
        </w:tblPrEx>
        <w:tc>
          <w:tcPr>
            <w:tcW w:w="1661" w:type="pct"/>
            <w:tcBorders>
              <w:top w:val="nil"/>
              <w:left w:val="nil"/>
              <w:bottom w:val="nil"/>
              <w:right w:val="nil"/>
            </w:tcBorders>
            <w:shd w:val="clear" w:color="auto" w:fill="FFFFFF"/>
            <w:noWrap/>
          </w:tcPr>
          <w:p w14:paraId="6EFE8FBA">
            <w:pPr>
              <w:keepNext w:val="0"/>
              <w:keepLines w:val="0"/>
              <w:widowControl/>
              <w:suppressLineNumbers w:val="0"/>
              <w:spacing w:before="0" w:beforeAutospacing="0" w:after="0" w:afterAutospacing="0"/>
              <w:ind w:left="0" w:right="0"/>
              <w:jc w:val="left"/>
              <w:rPr>
                <w:rFonts w:hint="default" w:ascii="Arial" w:hAnsi="Arial" w:eastAsia="等线" w:cs="Arial"/>
                <w:b/>
                <w:bCs/>
                <w:color w:val="000000"/>
                <w:kern w:val="0"/>
                <w:sz w:val="20"/>
                <w:szCs w:val="20"/>
              </w:rPr>
            </w:pPr>
            <w:r>
              <w:rPr>
                <w:rFonts w:hint="default" w:ascii="Arial" w:hAnsi="Arial" w:eastAsia="等线" w:cs="Arial"/>
                <w:b w:val="0"/>
                <w:bCs w:val="0"/>
                <w:color w:val="000000"/>
                <w:kern w:val="0"/>
                <w:sz w:val="20"/>
                <w:szCs w:val="20"/>
              </w:rPr>
              <w:t>Pain at rest at 48 h postoperatively, VAS (mm)</w:t>
            </w:r>
          </w:p>
        </w:tc>
        <w:tc>
          <w:tcPr>
            <w:tcW w:w="930" w:type="pct"/>
            <w:tcBorders>
              <w:top w:val="nil"/>
              <w:left w:val="nil"/>
              <w:bottom w:val="nil"/>
              <w:right w:val="nil"/>
            </w:tcBorders>
            <w:shd w:val="clear" w:color="auto" w:fill="FFFFFF"/>
            <w:noWrap/>
          </w:tcPr>
          <w:p w14:paraId="36DCC151">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2</w:t>
            </w:r>
            <w:r>
              <w:rPr>
                <w:rFonts w:hint="eastAsia" w:ascii="Arial" w:hAnsi="Arial" w:eastAsia="等线" w:cs="Arial"/>
                <w:color w:val="000000"/>
                <w:kern w:val="0"/>
                <w:sz w:val="20"/>
                <w:szCs w:val="20"/>
                <w:lang w:val="en-US" w:eastAsia="zh-CN"/>
              </w:rPr>
              <w:t xml:space="preserve">0 </w:t>
            </w:r>
            <w:r>
              <w:rPr>
                <w:rFonts w:hint="default" w:ascii="Arial" w:hAnsi="Arial" w:eastAsia="等线" w:cs="Arial"/>
                <w:color w:val="000000"/>
                <w:kern w:val="0"/>
                <w:sz w:val="20"/>
                <w:szCs w:val="20"/>
              </w:rPr>
              <w:t>(10, 20)</w:t>
            </w:r>
          </w:p>
        </w:tc>
        <w:tc>
          <w:tcPr>
            <w:tcW w:w="930" w:type="pct"/>
            <w:tcBorders>
              <w:top w:val="nil"/>
              <w:left w:val="nil"/>
              <w:bottom w:val="nil"/>
              <w:right w:val="nil"/>
            </w:tcBorders>
            <w:shd w:val="clear" w:color="auto" w:fill="FFFFFF"/>
            <w:noWrap/>
          </w:tcPr>
          <w:p w14:paraId="4DF105E2">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20 (10, 20)</w:t>
            </w:r>
          </w:p>
        </w:tc>
        <w:tc>
          <w:tcPr>
            <w:tcW w:w="930" w:type="pct"/>
            <w:tcBorders>
              <w:top w:val="nil"/>
              <w:left w:val="nil"/>
              <w:bottom w:val="nil"/>
              <w:right w:val="nil"/>
            </w:tcBorders>
            <w:shd w:val="clear" w:color="auto" w:fill="FFFFFF"/>
            <w:noWrap/>
          </w:tcPr>
          <w:p w14:paraId="327B978E">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20 (15, 25)</w:t>
            </w:r>
          </w:p>
        </w:tc>
        <w:tc>
          <w:tcPr>
            <w:tcW w:w="548" w:type="pct"/>
            <w:tcBorders>
              <w:top w:val="nil"/>
              <w:left w:val="nil"/>
              <w:bottom w:val="nil"/>
              <w:right w:val="nil"/>
            </w:tcBorders>
            <w:shd w:val="clear" w:color="auto" w:fill="FFFFFF"/>
            <w:noWrap/>
          </w:tcPr>
          <w:p w14:paraId="4A71DE01">
            <w:pPr>
              <w:keepNext w:val="0"/>
              <w:keepLines w:val="0"/>
              <w:widowControl/>
              <w:suppressLineNumbers w:val="0"/>
              <w:spacing w:before="0" w:beforeAutospacing="0" w:after="0" w:afterAutospacing="0"/>
              <w:ind w:left="0" w:right="0"/>
              <w:jc w:val="left"/>
              <w:rPr>
                <w:rFonts w:hint="default" w:ascii="Arial" w:hAnsi="Arial" w:eastAsia="等线" w:cs="Arial"/>
                <w:i/>
                <w:iCs/>
                <w:color w:val="000000"/>
                <w:kern w:val="0"/>
                <w:sz w:val="20"/>
                <w:szCs w:val="20"/>
              </w:rPr>
            </w:pPr>
            <w:r>
              <w:rPr>
                <w:rFonts w:hint="default" w:ascii="Arial" w:hAnsi="Arial" w:eastAsia="等线" w:cs="Arial"/>
                <w:i/>
                <w:iCs/>
                <w:color w:val="000000"/>
                <w:kern w:val="0"/>
                <w:sz w:val="20"/>
                <w:szCs w:val="20"/>
              </w:rPr>
              <w:t>.158</w:t>
            </w:r>
          </w:p>
        </w:tc>
      </w:tr>
      <w:tr w14:paraId="42D346A4">
        <w:tblPrEx>
          <w:tblCellMar>
            <w:top w:w="0" w:type="dxa"/>
            <w:left w:w="108" w:type="dxa"/>
            <w:bottom w:w="0" w:type="dxa"/>
            <w:right w:w="108" w:type="dxa"/>
          </w:tblCellMar>
        </w:tblPrEx>
        <w:tc>
          <w:tcPr>
            <w:tcW w:w="1661" w:type="pct"/>
            <w:tcBorders>
              <w:top w:val="nil"/>
              <w:left w:val="nil"/>
              <w:bottom w:val="nil"/>
              <w:right w:val="nil"/>
            </w:tcBorders>
            <w:shd w:val="clear" w:color="auto" w:fill="FFFFFF"/>
            <w:noWrap/>
          </w:tcPr>
          <w:p w14:paraId="035747DA">
            <w:pPr>
              <w:keepNext w:val="0"/>
              <w:keepLines w:val="0"/>
              <w:widowControl/>
              <w:suppressLineNumbers w:val="0"/>
              <w:spacing w:before="0" w:beforeAutospacing="0" w:after="0" w:afterAutospacing="0"/>
              <w:ind w:left="0" w:right="0"/>
              <w:jc w:val="left"/>
              <w:rPr>
                <w:rFonts w:hint="default" w:ascii="Arial" w:hAnsi="Arial" w:eastAsia="等线" w:cs="Arial"/>
                <w:b/>
                <w:bCs/>
                <w:color w:val="000000"/>
                <w:kern w:val="0"/>
                <w:sz w:val="20"/>
                <w:szCs w:val="20"/>
              </w:rPr>
            </w:pPr>
            <w:r>
              <w:rPr>
                <w:rFonts w:hint="default" w:ascii="Arial" w:hAnsi="Arial" w:eastAsia="等线" w:cs="Arial"/>
                <w:b w:val="0"/>
                <w:bCs w:val="0"/>
                <w:color w:val="000000"/>
                <w:kern w:val="0"/>
                <w:sz w:val="20"/>
                <w:szCs w:val="20"/>
              </w:rPr>
              <w:t>Pain at rest at 72 h postoperatively, VAS (mm)</w:t>
            </w:r>
          </w:p>
        </w:tc>
        <w:tc>
          <w:tcPr>
            <w:tcW w:w="930" w:type="pct"/>
            <w:tcBorders>
              <w:top w:val="nil"/>
              <w:left w:val="nil"/>
              <w:bottom w:val="nil"/>
              <w:right w:val="nil"/>
            </w:tcBorders>
            <w:shd w:val="clear" w:color="auto" w:fill="FFFFFF"/>
            <w:noWrap/>
          </w:tcPr>
          <w:p w14:paraId="466C1F68">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20 (1</w:t>
            </w:r>
            <w:r>
              <w:rPr>
                <w:rFonts w:hint="eastAsia" w:ascii="Arial" w:hAnsi="Arial" w:eastAsia="等线" w:cs="Arial"/>
                <w:color w:val="000000"/>
                <w:kern w:val="0"/>
                <w:sz w:val="20"/>
                <w:szCs w:val="20"/>
                <w:lang w:val="en-US" w:eastAsia="zh-CN"/>
              </w:rPr>
              <w:t>3</w:t>
            </w:r>
            <w:r>
              <w:rPr>
                <w:rFonts w:hint="default" w:ascii="Arial" w:hAnsi="Arial" w:eastAsia="等线" w:cs="Arial"/>
                <w:color w:val="000000"/>
                <w:kern w:val="0"/>
                <w:sz w:val="20"/>
                <w:szCs w:val="20"/>
              </w:rPr>
              <w:t>, 20)</w:t>
            </w:r>
          </w:p>
        </w:tc>
        <w:tc>
          <w:tcPr>
            <w:tcW w:w="930" w:type="pct"/>
            <w:tcBorders>
              <w:top w:val="nil"/>
              <w:left w:val="nil"/>
              <w:bottom w:val="nil"/>
              <w:right w:val="nil"/>
            </w:tcBorders>
            <w:shd w:val="clear" w:color="auto" w:fill="FFFFFF"/>
            <w:noWrap/>
          </w:tcPr>
          <w:p w14:paraId="3CFDAEE0">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15 (</w:t>
            </w:r>
            <w:r>
              <w:rPr>
                <w:rFonts w:hint="eastAsia" w:ascii="Arial" w:hAnsi="Arial" w:eastAsia="等线" w:cs="Arial"/>
                <w:color w:val="000000"/>
                <w:kern w:val="0"/>
                <w:sz w:val="20"/>
                <w:szCs w:val="20"/>
                <w:lang w:val="en-US" w:eastAsia="zh-CN"/>
              </w:rPr>
              <w:t>10</w:t>
            </w:r>
            <w:r>
              <w:rPr>
                <w:rFonts w:hint="default" w:ascii="Arial" w:hAnsi="Arial" w:eastAsia="等线" w:cs="Arial"/>
                <w:color w:val="000000"/>
                <w:kern w:val="0"/>
                <w:sz w:val="20"/>
                <w:szCs w:val="20"/>
              </w:rPr>
              <w:t>, 20)</w:t>
            </w:r>
          </w:p>
        </w:tc>
        <w:tc>
          <w:tcPr>
            <w:tcW w:w="930" w:type="pct"/>
            <w:tcBorders>
              <w:top w:val="nil"/>
              <w:left w:val="nil"/>
              <w:bottom w:val="nil"/>
              <w:right w:val="nil"/>
            </w:tcBorders>
            <w:shd w:val="clear" w:color="auto" w:fill="FFFFFF"/>
            <w:noWrap/>
          </w:tcPr>
          <w:p w14:paraId="6B2A95E6">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19 (10, 20)</w:t>
            </w:r>
          </w:p>
        </w:tc>
        <w:tc>
          <w:tcPr>
            <w:tcW w:w="548" w:type="pct"/>
            <w:tcBorders>
              <w:top w:val="nil"/>
              <w:left w:val="nil"/>
              <w:bottom w:val="nil"/>
              <w:right w:val="nil"/>
            </w:tcBorders>
            <w:shd w:val="clear" w:color="auto" w:fill="FFFFFF"/>
            <w:noWrap/>
          </w:tcPr>
          <w:p w14:paraId="5BC5802E">
            <w:pPr>
              <w:keepNext w:val="0"/>
              <w:keepLines w:val="0"/>
              <w:widowControl/>
              <w:suppressLineNumbers w:val="0"/>
              <w:spacing w:before="0" w:beforeAutospacing="0" w:after="0" w:afterAutospacing="0"/>
              <w:ind w:left="0" w:right="0"/>
              <w:jc w:val="left"/>
              <w:rPr>
                <w:rFonts w:hint="default" w:ascii="Arial" w:hAnsi="Arial" w:eastAsia="等线" w:cs="Arial"/>
                <w:i/>
                <w:iCs/>
                <w:color w:val="000000"/>
                <w:kern w:val="0"/>
                <w:sz w:val="20"/>
                <w:szCs w:val="20"/>
              </w:rPr>
            </w:pPr>
            <w:r>
              <w:rPr>
                <w:rFonts w:hint="default" w:ascii="Arial" w:hAnsi="Arial" w:eastAsia="等线" w:cs="Arial"/>
                <w:i/>
                <w:iCs/>
                <w:color w:val="000000"/>
                <w:kern w:val="0"/>
                <w:sz w:val="20"/>
                <w:szCs w:val="20"/>
              </w:rPr>
              <w:t>.180</w:t>
            </w:r>
          </w:p>
        </w:tc>
      </w:tr>
      <w:tr w14:paraId="1D48C4B3">
        <w:tblPrEx>
          <w:tblCellMar>
            <w:top w:w="0" w:type="dxa"/>
            <w:left w:w="108" w:type="dxa"/>
            <w:bottom w:w="0" w:type="dxa"/>
            <w:right w:w="108" w:type="dxa"/>
          </w:tblCellMar>
        </w:tblPrEx>
        <w:tc>
          <w:tcPr>
            <w:tcW w:w="1661" w:type="pct"/>
            <w:tcBorders>
              <w:top w:val="nil"/>
              <w:left w:val="nil"/>
              <w:bottom w:val="single" w:color="000000" w:sz="12" w:space="0"/>
              <w:right w:val="nil"/>
            </w:tcBorders>
            <w:shd w:val="clear" w:color="auto" w:fill="FFFFFF"/>
            <w:noWrap/>
          </w:tcPr>
          <w:p w14:paraId="3E49EAED">
            <w:pPr>
              <w:keepNext w:val="0"/>
              <w:keepLines w:val="0"/>
              <w:widowControl/>
              <w:suppressLineNumbers w:val="0"/>
              <w:spacing w:before="0" w:beforeAutospacing="0" w:after="0" w:afterAutospacing="0"/>
              <w:ind w:left="0" w:right="0"/>
              <w:jc w:val="left"/>
              <w:rPr>
                <w:rFonts w:hint="default" w:ascii="Arial" w:hAnsi="Arial" w:eastAsia="等线" w:cs="Arial"/>
                <w:b/>
                <w:bCs/>
                <w:color w:val="000000"/>
                <w:kern w:val="0"/>
                <w:sz w:val="20"/>
                <w:szCs w:val="20"/>
              </w:rPr>
            </w:pPr>
            <w:r>
              <w:rPr>
                <w:rFonts w:hint="default" w:ascii="Arial" w:hAnsi="Arial" w:eastAsia="等线" w:cs="Arial"/>
                <w:b w:val="0"/>
                <w:bCs w:val="0"/>
                <w:color w:val="000000"/>
                <w:kern w:val="0"/>
                <w:sz w:val="20"/>
                <w:szCs w:val="20"/>
              </w:rPr>
              <w:t>Pain during mobilization at 72 h postoperatively, VAS (mm)</w:t>
            </w:r>
          </w:p>
        </w:tc>
        <w:tc>
          <w:tcPr>
            <w:tcW w:w="930" w:type="pct"/>
            <w:tcBorders>
              <w:top w:val="nil"/>
              <w:left w:val="nil"/>
              <w:bottom w:val="single" w:color="000000" w:sz="12" w:space="0"/>
              <w:right w:val="nil"/>
            </w:tcBorders>
            <w:shd w:val="clear" w:color="auto" w:fill="FFFFFF"/>
            <w:noWrap/>
          </w:tcPr>
          <w:p w14:paraId="34C66EC6">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40 (30, 40)</w:t>
            </w:r>
          </w:p>
        </w:tc>
        <w:tc>
          <w:tcPr>
            <w:tcW w:w="930" w:type="pct"/>
            <w:tcBorders>
              <w:top w:val="nil"/>
              <w:left w:val="nil"/>
              <w:bottom w:val="single" w:color="000000" w:sz="12" w:space="0"/>
              <w:right w:val="nil"/>
            </w:tcBorders>
            <w:shd w:val="clear" w:color="auto" w:fill="FFFFFF"/>
            <w:noWrap/>
          </w:tcPr>
          <w:p w14:paraId="3B947241">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35 (30, 40)</w:t>
            </w:r>
          </w:p>
        </w:tc>
        <w:tc>
          <w:tcPr>
            <w:tcW w:w="930" w:type="pct"/>
            <w:tcBorders>
              <w:top w:val="nil"/>
              <w:left w:val="nil"/>
              <w:bottom w:val="single" w:color="000000" w:sz="12" w:space="0"/>
              <w:right w:val="nil"/>
            </w:tcBorders>
            <w:shd w:val="clear" w:color="auto" w:fill="FFFFFF"/>
            <w:noWrap/>
          </w:tcPr>
          <w:p w14:paraId="48EFF6AA">
            <w:pPr>
              <w:keepNext w:val="0"/>
              <w:keepLines w:val="0"/>
              <w:widowControl/>
              <w:suppressLineNumbers w:val="0"/>
              <w:spacing w:before="0" w:beforeAutospacing="0" w:after="0" w:afterAutospacing="0"/>
              <w:ind w:left="0" w:right="0"/>
              <w:jc w:val="left"/>
              <w:rPr>
                <w:rFonts w:hint="default" w:ascii="Arial" w:hAnsi="Arial" w:eastAsia="等线" w:cs="Arial"/>
                <w:color w:val="000000"/>
                <w:kern w:val="0"/>
                <w:sz w:val="20"/>
                <w:szCs w:val="20"/>
              </w:rPr>
            </w:pPr>
            <w:r>
              <w:rPr>
                <w:rFonts w:hint="default" w:ascii="Arial" w:hAnsi="Arial" w:eastAsia="等线" w:cs="Arial"/>
                <w:color w:val="000000"/>
                <w:kern w:val="0"/>
                <w:sz w:val="20"/>
                <w:szCs w:val="20"/>
              </w:rPr>
              <w:t>40 (30, 45)</w:t>
            </w:r>
          </w:p>
        </w:tc>
        <w:tc>
          <w:tcPr>
            <w:tcW w:w="548" w:type="pct"/>
            <w:tcBorders>
              <w:top w:val="nil"/>
              <w:left w:val="nil"/>
              <w:bottom w:val="single" w:color="000000" w:sz="12" w:space="0"/>
              <w:right w:val="nil"/>
            </w:tcBorders>
            <w:shd w:val="clear" w:color="auto" w:fill="FFFFFF"/>
            <w:noWrap/>
          </w:tcPr>
          <w:p w14:paraId="38D6A370">
            <w:pPr>
              <w:keepNext w:val="0"/>
              <w:keepLines w:val="0"/>
              <w:widowControl/>
              <w:suppressLineNumbers w:val="0"/>
              <w:spacing w:before="0" w:beforeAutospacing="0" w:after="0" w:afterAutospacing="0"/>
              <w:ind w:left="0" w:right="0"/>
              <w:jc w:val="left"/>
              <w:rPr>
                <w:rFonts w:hint="default" w:ascii="Arial" w:hAnsi="Arial" w:eastAsia="等线" w:cs="Arial"/>
                <w:i/>
                <w:iCs/>
                <w:color w:val="000000"/>
                <w:kern w:val="0"/>
                <w:sz w:val="20"/>
                <w:szCs w:val="20"/>
              </w:rPr>
            </w:pPr>
            <w:r>
              <w:rPr>
                <w:rFonts w:hint="default" w:ascii="Arial" w:hAnsi="Arial" w:eastAsia="等线" w:cs="Arial"/>
                <w:i/>
                <w:iCs/>
                <w:color w:val="000000"/>
                <w:kern w:val="0"/>
                <w:sz w:val="20"/>
                <w:szCs w:val="20"/>
              </w:rPr>
              <w:t>.246</w:t>
            </w:r>
          </w:p>
        </w:tc>
      </w:tr>
    </w:tbl>
    <w:p w14:paraId="153085D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Arial" w:hAnsi="Arial" w:eastAsia="等线" w:cs="Arial"/>
          <w:sz w:val="20"/>
          <w:szCs w:val="20"/>
        </w:rPr>
      </w:pPr>
      <w:r>
        <w:rPr>
          <w:rFonts w:hint="default" w:ascii="Arial" w:hAnsi="Arial" w:eastAsia="等线" w:cs="Arial"/>
          <w:b/>
          <w:sz w:val="20"/>
          <w:szCs w:val="20"/>
          <w:lang w:eastAsia="en-US"/>
        </w:rPr>
        <w:t xml:space="preserve">Abbreviations: </w:t>
      </w:r>
      <w:r>
        <w:rPr>
          <w:rFonts w:hint="default" w:ascii="Arial" w:hAnsi="Arial" w:eastAsia="等线" w:cs="Arial"/>
          <w:sz w:val="20"/>
          <w:szCs w:val="20"/>
        </w:rPr>
        <w:t>VAS, Visual Analogue Scale (0-100 mm). Data are median (IQR), and intergroup comparisons are performed using the Kruskal-Wallis test (P&lt; 0.05 considered significant).</w:t>
      </w:r>
    </w:p>
    <w:p w14:paraId="4DE200EA">
      <w:pPr>
        <w:widowControl/>
        <w:jc w:val="left"/>
        <w:rPr>
          <w:rFonts w:hint="default" w:ascii="Arial" w:hAnsi="Arial" w:eastAsia="等线" w:cs="Arial"/>
          <w:b/>
          <w:bCs/>
          <w:sz w:val="20"/>
          <w:szCs w:val="20"/>
        </w:rPr>
      </w:pPr>
    </w:p>
    <w:p w14:paraId="7524F4EB">
      <w:pPr>
        <w:widowControl/>
        <w:jc w:val="left"/>
        <w:rPr>
          <w:rFonts w:hint="default" w:ascii="Arial" w:hAnsi="Arial" w:eastAsia="等线" w:cs="Arial"/>
          <w:b/>
          <w:bCs/>
          <w:sz w:val="20"/>
          <w:szCs w:val="20"/>
        </w:rPr>
      </w:pPr>
    </w:p>
    <w:p w14:paraId="574C46F3">
      <w:pPr>
        <w:widowControl/>
        <w:jc w:val="left"/>
        <w:rPr>
          <w:rFonts w:hint="default" w:ascii="Arial" w:hAnsi="Arial" w:eastAsia="等线" w:cs="Arial"/>
          <w:b/>
          <w:bCs/>
          <w:sz w:val="20"/>
          <w:szCs w:val="20"/>
        </w:rPr>
      </w:pPr>
    </w:p>
    <w:p w14:paraId="1FF45FBE">
      <w:pPr>
        <w:widowControl/>
        <w:jc w:val="left"/>
        <w:rPr>
          <w:rFonts w:hint="default" w:ascii="Arial" w:hAnsi="Arial" w:eastAsia="等线" w:cs="Arial"/>
          <w:b/>
          <w:bCs/>
          <w:sz w:val="20"/>
          <w:szCs w:val="20"/>
        </w:rPr>
      </w:pPr>
    </w:p>
    <w:p w14:paraId="530E6064">
      <w:pPr>
        <w:pStyle w:val="3"/>
        <w:keepLines w:val="0"/>
        <w:widowControl/>
        <w:spacing w:before="240" w:after="60" w:line="480" w:lineRule="auto"/>
        <w:jc w:val="left"/>
        <w:rPr>
          <w:rFonts w:hint="eastAsia" w:ascii="Arial" w:hAnsi="Arial" w:cs="Arial" w:eastAsiaTheme="minorEastAsia"/>
          <w:b/>
          <w:bCs/>
          <w:i/>
          <w:iCs/>
          <w:color w:val="auto"/>
          <w:kern w:val="0"/>
          <w:sz w:val="28"/>
          <w:szCs w:val="28"/>
          <w:lang w:val="en-US" w:eastAsia="zh-CN"/>
        </w:rPr>
      </w:pPr>
      <w:r>
        <w:rPr>
          <w:rFonts w:ascii="Arial" w:hAnsi="Arial" w:cs="Arial" w:eastAsiaTheme="minorEastAsia"/>
          <w:b/>
          <w:bCs/>
          <w:i/>
          <w:iCs/>
          <w:color w:val="auto"/>
          <w:kern w:val="0"/>
          <w:sz w:val="28"/>
          <w:szCs w:val="28"/>
          <w:lang w:eastAsia="en-US"/>
        </w:rPr>
        <w:t xml:space="preserve">Supplement </w:t>
      </w:r>
      <w:r>
        <w:rPr>
          <w:rFonts w:hint="eastAsia" w:ascii="Arial" w:hAnsi="Arial" w:cs="Arial" w:eastAsiaTheme="minorEastAsia"/>
          <w:b/>
          <w:bCs/>
          <w:i/>
          <w:iCs/>
          <w:color w:val="auto"/>
          <w:kern w:val="0"/>
          <w:sz w:val="28"/>
          <w:szCs w:val="28"/>
          <w:lang w:val="en-US" w:eastAsia="zh-CN"/>
        </w:rPr>
        <w:t>3</w:t>
      </w:r>
      <w:r>
        <w:rPr>
          <w:rFonts w:ascii="Arial" w:hAnsi="Arial" w:cs="Arial" w:eastAsiaTheme="minorEastAsia"/>
          <w:b/>
          <w:bCs/>
          <w:i/>
          <w:iCs/>
          <w:color w:val="auto"/>
          <w:kern w:val="0"/>
          <w:sz w:val="28"/>
          <w:szCs w:val="28"/>
          <w:lang w:eastAsia="en-US"/>
        </w:rPr>
        <w:t xml:space="preserve">. </w:t>
      </w:r>
      <w:r>
        <w:rPr>
          <w:rFonts w:hint="eastAsia" w:ascii="Arial" w:hAnsi="Arial" w:cs="Arial" w:eastAsiaTheme="minorEastAsia"/>
          <w:b/>
          <w:bCs/>
          <w:i/>
          <w:iCs/>
          <w:color w:val="auto"/>
          <w:kern w:val="0"/>
          <w:sz w:val="28"/>
          <w:szCs w:val="28"/>
          <w:lang w:val="en-US" w:eastAsia="zh-CN"/>
        </w:rPr>
        <w:t>Figure</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31F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05788988">
            <w:pPr>
              <w:tabs>
                <w:tab w:val="left" w:pos="3266"/>
              </w:tabs>
              <w:jc w:val="center"/>
              <w:rPr>
                <w:rFonts w:hint="default"/>
                <w:vertAlign w:val="baseline"/>
                <w:lang w:val="en-US" w:eastAsia="zh-CN"/>
              </w:rPr>
            </w:pPr>
            <w:r>
              <w:rPr>
                <w:rFonts w:hint="default"/>
                <w:vertAlign w:val="baseline"/>
                <w:lang w:val="en-US" w:eastAsia="zh-CN"/>
              </w:rPr>
              <w:object>
                <v:shape id="_x0000_i1025" o:spt="75" type="#_x0000_t75" style="height:212.65pt;width:361.1pt;" o:ole="t" filled="f" o:preferrelative="t" stroked="f" coordsize="21600,21600">
                  <v:path/>
                  <v:fill on="f" focussize="0,0"/>
                  <v:stroke on="f"/>
                  <v:imagedata r:id="rId5" o:title=""/>
                  <o:lock v:ext="edit" aspectratio="f"/>
                  <w10:wrap type="none"/>
                  <w10:anchorlock/>
                </v:shape>
                <o:OLEObject Type="Embed" ProgID="Prism9.Document" ShapeID="_x0000_i1025" DrawAspect="Content" ObjectID="_1468075725" r:id="rId4">
                  <o:LockedField>false</o:LockedField>
                </o:OLEObject>
              </w:object>
            </w:r>
          </w:p>
        </w:tc>
      </w:tr>
      <w:tr w14:paraId="5F6A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F077CF0">
            <w:pPr>
              <w:rPr>
                <w:rFonts w:hint="eastAsia" w:ascii="Arial" w:hAnsi="Arial" w:cs="Arial"/>
                <w:sz w:val="20"/>
                <w:szCs w:val="20"/>
                <w:lang w:val="en-US" w:eastAsia="zh-CN"/>
              </w:rPr>
            </w:pPr>
            <w:r>
              <w:rPr>
                <w:rFonts w:ascii="Arial" w:hAnsi="Arial" w:cs="Arial"/>
                <w:b/>
                <w:bCs/>
                <w:sz w:val="20"/>
                <w:szCs w:val="20"/>
              </w:rPr>
              <w:t>Fig</w:t>
            </w:r>
            <w:r>
              <w:rPr>
                <w:rFonts w:hint="eastAsia" w:ascii="Arial" w:hAnsi="Arial" w:cs="Arial"/>
                <w:b/>
                <w:bCs/>
                <w:sz w:val="20"/>
                <w:szCs w:val="20"/>
              </w:rPr>
              <w:t>ure</w:t>
            </w:r>
            <w:r>
              <w:rPr>
                <w:rFonts w:ascii="Arial" w:hAnsi="Arial" w:cs="Arial"/>
                <w:b/>
                <w:bCs/>
                <w:sz w:val="20"/>
                <w:szCs w:val="20"/>
              </w:rPr>
              <w:t xml:space="preserve"> </w:t>
            </w:r>
            <w:r>
              <w:rPr>
                <w:rFonts w:hint="eastAsia" w:ascii="Arial" w:hAnsi="Arial" w:cs="Arial"/>
                <w:b/>
                <w:bCs/>
                <w:sz w:val="20"/>
                <w:szCs w:val="20"/>
                <w:lang w:val="en-US" w:eastAsia="zh-CN"/>
              </w:rPr>
              <w:t>S</w:t>
            </w:r>
            <w:r>
              <w:rPr>
                <w:rFonts w:ascii="Arial" w:hAnsi="Arial" w:cs="Arial"/>
                <w:b/>
                <w:bCs/>
                <w:sz w:val="20"/>
                <w:szCs w:val="20"/>
              </w:rPr>
              <w:t>1</w:t>
            </w:r>
            <w:r>
              <w:rPr>
                <w:rFonts w:ascii="Arial" w:hAnsi="Arial" w:cs="Arial"/>
                <w:sz w:val="20"/>
                <w:szCs w:val="20"/>
              </w:rPr>
              <w:t>.</w:t>
            </w:r>
            <w:r>
              <w:rPr>
                <w:rFonts w:hint="eastAsia" w:ascii="Arial" w:hAnsi="Arial" w:cs="Arial"/>
                <w:sz w:val="20"/>
                <w:szCs w:val="20"/>
                <w:lang w:val="en-US" w:eastAsia="zh-CN"/>
              </w:rPr>
              <w:t xml:space="preserve"> Postoperative morphine consumption at each independent time period.</w:t>
            </w:r>
          </w:p>
          <w:p w14:paraId="3F80836D">
            <w:pPr>
              <w:rPr>
                <w:rFonts w:hint="default"/>
                <w:vertAlign w:val="baseline"/>
                <w:lang w:val="en-US" w:eastAsia="zh-CN"/>
              </w:rPr>
            </w:pPr>
            <w:r>
              <w:rPr>
                <w:rFonts w:hint="eastAsia" w:ascii="Arial" w:hAnsi="Arial" w:cs="Arial"/>
                <w:sz w:val="20"/>
                <w:szCs w:val="20"/>
                <w:lang w:val="en-US" w:eastAsia="zh-CN"/>
              </w:rPr>
              <w:t>Bar chart illustrating the mean and standard deviation (SD) of morphine consumption across time periods by different groups. Group assignments are represented by the ICONS shown in the legend. Horizontal brackets above the bars represent statistically significant pairwise comparisons between groups, with corresponding P-values displayed above each bracket. All displayed P-values are statistically significant.</w:t>
            </w:r>
          </w:p>
        </w:tc>
      </w:tr>
    </w:tbl>
    <w:p w14:paraId="3A184EAD">
      <w:pPr>
        <w:rPr>
          <w:rFonts w:hint="default"/>
          <w:lang w:val="en-US" w:eastAsia="zh-CN"/>
        </w:rPr>
      </w:pPr>
    </w:p>
    <w:p w14:paraId="6E0412B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Arial" w:hAnsi="Arial" w:eastAsia="等线" w:cs="Arial"/>
          <w:sz w:val="20"/>
          <w:szCs w:val="20"/>
          <w:lang w:val="en-US" w:eastAsia="zh-CN"/>
        </w:rPr>
      </w:pPr>
    </w:p>
    <w:p w14:paraId="64B6252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Arial" w:hAnsi="Arial" w:eastAsia="等线" w:cs="Arial"/>
          <w:sz w:val="20"/>
          <w:szCs w:val="20"/>
        </w:rPr>
      </w:pPr>
    </w:p>
    <w:p w14:paraId="5FBEE066">
      <w:pPr>
        <w:pStyle w:val="32"/>
        <w:widowControl w:val="0"/>
        <w:numPr>
          <w:ilvl w:val="0"/>
          <w:numId w:val="0"/>
        </w:numPr>
        <w:spacing w:line="480" w:lineRule="auto"/>
        <w:contextualSpacing/>
        <w:jc w:val="both"/>
        <w:rPr>
          <w:rFonts w:ascii="Arial" w:hAnsi="Arial" w:cs="Arial"/>
          <w:sz w:val="20"/>
          <w:szCs w:val="2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52F27"/>
    <w:multiLevelType w:val="multilevel"/>
    <w:tmpl w:val="0B752F27"/>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68787F42"/>
    <w:multiLevelType w:val="multilevel"/>
    <w:tmpl w:val="68787F42"/>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cwMTQxszC3NLUwNTdW0lEKTi0uzszPAykwqgUAhNOfzCwAAAA="/>
  </w:docVars>
  <w:rsids>
    <w:rsidRoot w:val="00254802"/>
    <w:rsid w:val="000947DA"/>
    <w:rsid w:val="000B232B"/>
    <w:rsid w:val="00254802"/>
    <w:rsid w:val="003764C8"/>
    <w:rsid w:val="004C6890"/>
    <w:rsid w:val="005013F0"/>
    <w:rsid w:val="00630002"/>
    <w:rsid w:val="0068753E"/>
    <w:rsid w:val="007F640D"/>
    <w:rsid w:val="008E71EA"/>
    <w:rsid w:val="00AB10D9"/>
    <w:rsid w:val="00CA3AEA"/>
    <w:rsid w:val="00CC3210"/>
    <w:rsid w:val="00E03097"/>
    <w:rsid w:val="00FB226F"/>
    <w:rsid w:val="1CBB457D"/>
    <w:rsid w:val="233B65CE"/>
    <w:rsid w:val="2CD07D87"/>
    <w:rsid w:val="38926838"/>
    <w:rsid w:val="47B53DFC"/>
    <w:rsid w:val="4CC27454"/>
    <w:rsid w:val="5EC92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character" w:customStyle="1" w:styleId="39">
    <w:name w:val="15"/>
    <w:basedOn w:val="17"/>
    <w:qFormat/>
    <w:uiPriority w:val="0"/>
    <w:rPr>
      <w:rFonts w:hint="default" w:ascii="Times New Roman" w:hAnsi="Times New Roman" w:cs="Times New Roman"/>
      <w:i/>
    </w:rPr>
  </w:style>
  <w:style w:type="character" w:customStyle="1" w:styleId="40">
    <w:name w:val="16"/>
    <w:basedOn w:val="17"/>
    <w:qFormat/>
    <w:uiPriority w:val="0"/>
    <w:rPr>
      <w:rFonts w:hint="default" w:ascii="Times New Roman" w:hAnsi="Times New Roman" w:cs="Times New Roman"/>
      <w:b/>
    </w:rPr>
  </w:style>
  <w:style w:type="table" w:customStyle="1" w:styleId="41">
    <w:name w:val="无格式表格 41"/>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396</Words>
  <Characters>2290</Characters>
  <Lines>29</Lines>
  <Paragraphs>28</Paragraphs>
  <TotalTime>8</TotalTime>
  <ScaleCrop>false</ScaleCrop>
  <LinksUpToDate>false</LinksUpToDate>
  <CharactersWithSpaces>2635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2025-07-24T14:37:00Z</dcterms:created>
  <dc:creator>2508016048@qq.com</dc:creator>
  <cp:lastModifiedBy>苝荻</cp:lastModifiedBy>
  <dcterms:modified xsi:type="dcterms:W3CDTF">2025-10-18T21:30:47Z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eyJoZGlkIjoiYWFjMDcwN2Y2MGY0NDgxNTYwZTM4YzkwZGZiOGI1ZjAiLCJ1c2VySWQiOiI1NjM0NTQ5MjYifQ==</vt:lpwstr>
  </property>
  <property fmtid="{D5CDD505-2E9C-101B-9397-08002B2CF9AE}" pid="3" name="KSOProductBuildVer">
    <vt:lpwstr>2052-12.1.0.22529</vt:lpwstr>
  </property>
  <property fmtid="{D5CDD505-2E9C-101B-9397-08002B2CF9AE}" pid="4" name="ICV">
    <vt:lpwstr>7AC9DDF4397E4715917A5CCB59842DBF_13</vt:lpwstr>
  </property>
</Properties>
</file>