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A03D" w14:textId="77777777" w:rsidR="00BC5A72" w:rsidRPr="00BC5A72" w:rsidRDefault="00BC5A72" w:rsidP="00BC5A72">
      <w:pPr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</w:pPr>
      <w:r w:rsidRPr="00BC5A72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Supplementary Table 1</w:t>
      </w:r>
      <w:r w:rsidRPr="00BC5A72">
        <w:rPr>
          <w:rFonts w:ascii="Arial" w:hAnsi="Arial" w:cs="Arial" w:hint="eastAsia"/>
          <w:b/>
          <w:bCs/>
          <w:kern w:val="0"/>
          <w:sz w:val="20"/>
          <w:lang w:eastAsia="en-US"/>
          <w14:ligatures w14:val="none"/>
        </w:rPr>
        <w:t xml:space="preserve"> </w:t>
      </w:r>
      <w:r w:rsidRPr="00BC5A72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Comparison of VTE Risk Assessments by Automated vs. Manual Review</w:t>
      </w:r>
    </w:p>
    <w:tbl>
      <w:tblPr>
        <w:tblStyle w:val="TableGrid"/>
        <w:tblW w:w="84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728"/>
        <w:gridCol w:w="1861"/>
        <w:gridCol w:w="2107"/>
      </w:tblGrid>
      <w:tr w:rsidR="00BC5A72" w14:paraId="146B4935" w14:textId="77777777" w:rsidTr="00BC5A72">
        <w:trPr>
          <w:trHeight w:val="670"/>
        </w:trPr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90C6" w14:textId="77777777" w:rsidR="00BC5A72" w:rsidRDefault="00BC5A72" w:rsidP="00BC5A72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6E4D4" w14:textId="50A6B318" w:rsidR="00BC5A72" w:rsidRDefault="00BC5A72" w:rsidP="00BC5A72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b/>
                <w:bCs/>
                <w:kern w:val="0"/>
                <w:sz w:val="20"/>
                <w:lang w:eastAsia="en-US"/>
                <w14:ligatures w14:val="none"/>
              </w:rPr>
              <w:t>Pre-program group (n=322)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57E3F" w14:textId="26317849" w:rsidR="00BC5A72" w:rsidRDefault="00BC5A72" w:rsidP="00BC5A72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b/>
                <w:bCs/>
                <w:kern w:val="0"/>
                <w:sz w:val="20"/>
                <w:lang w:eastAsia="en-US"/>
                <w14:ligatures w14:val="none"/>
              </w:rPr>
              <w:t>Post-program group (n=329)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F992" w14:textId="6C2982F6" w:rsidR="00BC5A72" w:rsidRDefault="00BC5A72" w:rsidP="00BC5A72">
            <w:pPr>
              <w:jc w:val="both"/>
              <w:rPr>
                <w:rFonts w:ascii="Arial" w:hAnsi="Arial" w:cs="Arial"/>
                <w:b/>
                <w:bCs/>
                <w:kern w:val="0"/>
                <w:sz w:val="20"/>
                <w:lang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  <w14:ligatures w14:val="none"/>
              </w:rPr>
              <w:t>p</w:t>
            </w:r>
          </w:p>
        </w:tc>
      </w:tr>
      <w:tr w:rsidR="00BC5A72" w14:paraId="4553B20D" w14:textId="77777777" w:rsidTr="00BC5A72">
        <w:trPr>
          <w:trHeight w:val="435"/>
        </w:trPr>
        <w:tc>
          <w:tcPr>
            <w:tcW w:w="2732" w:type="dxa"/>
            <w:tcBorders>
              <w:top w:val="single" w:sz="4" w:space="0" w:color="auto"/>
            </w:tcBorders>
            <w:vAlign w:val="center"/>
          </w:tcPr>
          <w:p w14:paraId="72E430C5" w14:textId="01C271E7" w:rsidR="00BC5A72" w:rsidRPr="00BC5A72" w:rsidRDefault="00BC5A72" w:rsidP="00BC5A72">
            <w:pPr>
              <w:jc w:val="both"/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  <w:t>High-VTE risk, n (%)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372FF073" w14:textId="4ACB7719" w:rsidR="00BC5A72" w:rsidRPr="00BC5A72" w:rsidRDefault="00BC5A72" w:rsidP="00BC5A72">
            <w:pPr>
              <w:jc w:val="both"/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  <w:t>245(76.1%)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4528416C" w14:textId="25CB0861" w:rsidR="00BC5A72" w:rsidRPr="00BC5A72" w:rsidRDefault="00BC5A72" w:rsidP="00BC5A72">
            <w:pPr>
              <w:jc w:val="both"/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  <w:t>190(57.8%)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14:paraId="34629750" w14:textId="53888C6C" w:rsidR="00BC5A72" w:rsidRPr="00BC5A72" w:rsidRDefault="00BC5A72" w:rsidP="00BC5A72">
            <w:pPr>
              <w:jc w:val="both"/>
            </w:pPr>
            <w:r w:rsidRPr="00BC5A72">
              <w:rPr>
                <w:rFonts w:ascii="Arial" w:hAnsi="Arial" w:cs="Arial" w:hint="eastAsia"/>
                <w:kern w:val="0"/>
                <w:sz w:val="20"/>
                <w:lang w:eastAsia="en-US"/>
                <w14:ligatures w14:val="none"/>
              </w:rPr>
              <w:t>&lt;0.001</w:t>
            </w:r>
          </w:p>
        </w:tc>
      </w:tr>
      <w:tr w:rsidR="00BC5A72" w14:paraId="254BD1AD" w14:textId="77777777" w:rsidTr="00BC5A72">
        <w:trPr>
          <w:trHeight w:val="435"/>
        </w:trPr>
        <w:tc>
          <w:tcPr>
            <w:tcW w:w="2732" w:type="dxa"/>
            <w:vAlign w:val="center"/>
          </w:tcPr>
          <w:p w14:paraId="36E27C55" w14:textId="64713E1D" w:rsidR="00BC5A72" w:rsidRPr="00BC5A72" w:rsidRDefault="00BC5A72" w:rsidP="00BC5A72">
            <w:pPr>
              <w:jc w:val="both"/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  <w:t>Moderate-VTE risk, n (%)</w:t>
            </w:r>
          </w:p>
        </w:tc>
        <w:tc>
          <w:tcPr>
            <w:tcW w:w="1728" w:type="dxa"/>
            <w:vAlign w:val="center"/>
          </w:tcPr>
          <w:p w14:paraId="29C89A07" w14:textId="28BD3FB5" w:rsidR="00BC5A72" w:rsidRPr="00BC5A72" w:rsidRDefault="00BC5A72" w:rsidP="00BC5A72">
            <w:pPr>
              <w:jc w:val="both"/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  <w:t>77(23.9%)</w:t>
            </w:r>
          </w:p>
        </w:tc>
        <w:tc>
          <w:tcPr>
            <w:tcW w:w="1861" w:type="dxa"/>
            <w:vAlign w:val="center"/>
          </w:tcPr>
          <w:p w14:paraId="0FC9CD85" w14:textId="07589F9A" w:rsidR="00BC5A72" w:rsidRPr="00BC5A72" w:rsidRDefault="00BC5A72" w:rsidP="00BC5A72">
            <w:pPr>
              <w:jc w:val="both"/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  <w:t>139(42.2%)</w:t>
            </w:r>
          </w:p>
        </w:tc>
        <w:tc>
          <w:tcPr>
            <w:tcW w:w="2107" w:type="dxa"/>
            <w:vAlign w:val="center"/>
          </w:tcPr>
          <w:p w14:paraId="4BDE2C06" w14:textId="41BF8A4D" w:rsidR="00BC5A72" w:rsidRPr="00BC5A72" w:rsidRDefault="00BC5A72" w:rsidP="00BC5A72">
            <w:pPr>
              <w:jc w:val="both"/>
              <w:rPr>
                <w:rFonts w:ascii="Arial" w:hAnsi="Arial" w:cs="Arial"/>
                <w:kern w:val="0"/>
                <w:sz w:val="20"/>
                <w:lang w:eastAsia="en-US"/>
                <w14:ligatures w14:val="none"/>
              </w:rPr>
            </w:pPr>
            <w:r w:rsidRPr="00BC5A72">
              <w:rPr>
                <w:rFonts w:ascii="Arial" w:hAnsi="Arial" w:cs="Arial" w:hint="eastAsia"/>
                <w:kern w:val="0"/>
                <w:sz w:val="20"/>
                <w:lang w:eastAsia="en-US"/>
                <w14:ligatures w14:val="none"/>
              </w:rPr>
              <w:t>&lt;0.001</w:t>
            </w:r>
          </w:p>
        </w:tc>
      </w:tr>
    </w:tbl>
    <w:p w14:paraId="25C87951" w14:textId="58F96E13" w:rsidR="00BC5A72" w:rsidRDefault="00BC5A72" w:rsidP="00BC5A72">
      <w:pPr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</w:pPr>
      <w:r w:rsidRPr="00BC5A72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Abbreviations:</w:t>
      </w:r>
      <w:r w:rsidRPr="00BC5A72">
        <w:rPr>
          <w:rFonts w:ascii="Arial" w:hAnsi="Arial" w:cs="Arial"/>
          <w:kern w:val="0"/>
          <w:sz w:val="20"/>
          <w:lang w:eastAsia="en-US"/>
          <w14:ligatures w14:val="none"/>
        </w:rPr>
        <w:t xml:space="preserve"> VTE: venous thromboembolism.</w:t>
      </w:r>
    </w:p>
    <w:p w14:paraId="77EEA647" w14:textId="5DDEDC17" w:rsidR="00091427" w:rsidRPr="00D92D36" w:rsidRDefault="003C3423">
      <w:pPr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</w:pPr>
      <w:bookmarkStart w:id="0" w:name="OLE_LINK74"/>
      <w:bookmarkStart w:id="1" w:name="OLE_LINK73"/>
      <w:r w:rsidRPr="00D92D36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S</w:t>
      </w:r>
      <w:r w:rsidRPr="00D92D36">
        <w:rPr>
          <w:rFonts w:ascii="Arial" w:hAnsi="Arial" w:cs="Arial" w:hint="eastAsia"/>
          <w:b/>
          <w:bCs/>
          <w:kern w:val="0"/>
          <w:sz w:val="20"/>
          <w:lang w:eastAsia="en-US"/>
          <w14:ligatures w14:val="none"/>
        </w:rPr>
        <w:t xml:space="preserve">upplemental </w:t>
      </w:r>
      <w:r w:rsidRPr="00D92D36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T</w:t>
      </w:r>
      <w:r w:rsidRPr="00D92D36">
        <w:rPr>
          <w:rFonts w:ascii="Arial" w:hAnsi="Arial" w:cs="Arial" w:hint="eastAsia"/>
          <w:b/>
          <w:bCs/>
          <w:kern w:val="0"/>
          <w:sz w:val="20"/>
          <w:lang w:eastAsia="en-US"/>
          <w14:ligatures w14:val="none"/>
        </w:rPr>
        <w:t>able</w:t>
      </w:r>
      <w:r w:rsidR="00901FC1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 xml:space="preserve"> </w:t>
      </w:r>
      <w:r w:rsidR="00313C32">
        <w:rPr>
          <w:rFonts w:ascii="Arial" w:hAnsi="Arial" w:cs="Arial" w:hint="eastAsia"/>
          <w:b/>
          <w:bCs/>
          <w:kern w:val="0"/>
          <w:sz w:val="20"/>
          <w14:ligatures w14:val="none"/>
        </w:rPr>
        <w:t>2</w:t>
      </w:r>
      <w:bookmarkEnd w:id="0"/>
      <w:r w:rsidR="00313C32">
        <w:rPr>
          <w:rFonts w:ascii="Arial" w:hAnsi="Arial" w:cs="Arial" w:hint="eastAsia"/>
          <w:b/>
          <w:bCs/>
          <w:kern w:val="0"/>
          <w:sz w:val="20"/>
          <w14:ligatures w14:val="none"/>
        </w:rPr>
        <w:t xml:space="preserve"> </w:t>
      </w:r>
      <w:bookmarkEnd w:id="1"/>
      <w:r w:rsidR="00803E6E" w:rsidRPr="00D92D36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 xml:space="preserve">Summary of Clinical Pharmacist Workload </w:t>
      </w:r>
      <w:r w:rsidR="00803E6E" w:rsidRPr="00D92D36">
        <w:rPr>
          <w:rFonts w:ascii="Arial" w:hAnsi="Arial" w:cs="Arial" w:hint="eastAsia"/>
          <w:b/>
          <w:bCs/>
          <w:kern w:val="0"/>
          <w:sz w:val="20"/>
          <w:lang w:eastAsia="en-US"/>
          <w14:ligatures w14:val="none"/>
        </w:rPr>
        <w:t>in</w:t>
      </w:r>
      <w:r w:rsidR="00CE73E4" w:rsidRPr="00D92D36">
        <w:rPr>
          <w:rFonts w:ascii="Arial" w:hAnsi="Arial" w:cs="Arial" w:hint="eastAsia"/>
          <w:b/>
          <w:bCs/>
          <w:kern w:val="0"/>
          <w:sz w:val="20"/>
          <w:lang w:eastAsia="en-US"/>
          <w14:ligatures w14:val="none"/>
        </w:rPr>
        <w:t xml:space="preserve"> </w:t>
      </w:r>
      <w:r w:rsidR="00803E6E" w:rsidRPr="00D92D36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PL-VTEMP</w:t>
      </w:r>
      <w:r w:rsidR="00D92D36" w:rsidRPr="00D92D36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 xml:space="preserve"> </w:t>
      </w:r>
      <w:r w:rsidR="00CE73E4" w:rsidRPr="00D92D36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(Total Patients Served, N=329)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1134"/>
        <w:gridCol w:w="1084"/>
        <w:gridCol w:w="2548"/>
      </w:tblGrid>
      <w:tr w:rsidR="00806D2C" w:rsidRPr="00D92D36" w14:paraId="706428CA" w14:textId="1867DA20" w:rsidTr="002B508B"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916A" w14:textId="3C618AAA" w:rsidR="00806D2C" w:rsidRPr="00D92D36" w:rsidRDefault="00806D2C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Pharmaceutical Care Activity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7E54" w14:textId="24F2C99F" w:rsidR="00806D2C" w:rsidRPr="00D92D36" w:rsidRDefault="00CC69FB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Patients Reached (n)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EC3BD" w14:textId="1D3AB308" w:rsidR="00806D2C" w:rsidRPr="00D92D36" w:rsidRDefault="00CC69FB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Service Coverage (%)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7B8BE" w14:textId="076F171B" w:rsidR="00806D2C" w:rsidRPr="00D92D36" w:rsidRDefault="00CC69FB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Data Source</w:t>
            </w:r>
          </w:p>
        </w:tc>
      </w:tr>
      <w:tr w:rsidR="002B508B" w:rsidRPr="00D92D36" w14:paraId="73717017" w14:textId="05E736EE" w:rsidTr="002B508B">
        <w:tc>
          <w:tcPr>
            <w:tcW w:w="3540" w:type="dxa"/>
            <w:tcBorders>
              <w:top w:val="single" w:sz="4" w:space="0" w:color="auto"/>
            </w:tcBorders>
            <w:vAlign w:val="center"/>
          </w:tcPr>
          <w:p w14:paraId="6DC08B2F" w14:textId="20357C79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10117824"/>
            <w:r w:rsidRPr="00D92D36">
              <w:rPr>
                <w:rFonts w:ascii="Arial" w:hAnsi="Arial" w:cs="Arial"/>
                <w:sz w:val="20"/>
                <w:szCs w:val="20"/>
              </w:rPr>
              <w:t>Pharmacist-led Ward Rounds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A88E8D" w14:textId="0B3D5562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33453213" w14:textId="26A03C57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69.00%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1232FD23" w14:textId="0146E221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PIP PASS Pharm Care</w:t>
            </w:r>
          </w:p>
        </w:tc>
      </w:tr>
      <w:tr w:rsidR="002B508B" w:rsidRPr="00D92D36" w14:paraId="56F70267" w14:textId="4925F5CA" w:rsidTr="002B508B">
        <w:tc>
          <w:tcPr>
            <w:tcW w:w="3540" w:type="dxa"/>
            <w:vAlign w:val="center"/>
          </w:tcPr>
          <w:p w14:paraId="5402428B" w14:textId="72077814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Medication Review</w:t>
            </w:r>
          </w:p>
        </w:tc>
        <w:tc>
          <w:tcPr>
            <w:tcW w:w="1134" w:type="dxa"/>
            <w:vAlign w:val="center"/>
          </w:tcPr>
          <w:p w14:paraId="75BFB7B1" w14:textId="70F83A91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084" w:type="dxa"/>
            <w:vAlign w:val="center"/>
          </w:tcPr>
          <w:p w14:paraId="65B022EC" w14:textId="6C3796A4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2548" w:type="dxa"/>
            <w:vAlign w:val="center"/>
          </w:tcPr>
          <w:p w14:paraId="50532A90" w14:textId="5FFAD5A8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PIP PASS Pharm Care</w:t>
            </w:r>
          </w:p>
        </w:tc>
      </w:tr>
      <w:tr w:rsidR="002B508B" w:rsidRPr="00D92D36" w14:paraId="5D0DD8A5" w14:textId="2194AA89" w:rsidTr="002B508B">
        <w:tc>
          <w:tcPr>
            <w:tcW w:w="3540" w:type="dxa"/>
            <w:vAlign w:val="center"/>
          </w:tcPr>
          <w:p w14:paraId="496FCEB8" w14:textId="69FAA789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VTE Monitoring Plan</w:t>
            </w:r>
          </w:p>
        </w:tc>
        <w:tc>
          <w:tcPr>
            <w:tcW w:w="1134" w:type="dxa"/>
            <w:vAlign w:val="center"/>
          </w:tcPr>
          <w:p w14:paraId="615A3771" w14:textId="6419AC58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084" w:type="dxa"/>
            <w:vAlign w:val="center"/>
          </w:tcPr>
          <w:p w14:paraId="6662E16D" w14:textId="2B9B04E5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51.06%</w:t>
            </w:r>
          </w:p>
        </w:tc>
        <w:tc>
          <w:tcPr>
            <w:tcW w:w="2548" w:type="dxa"/>
            <w:vAlign w:val="center"/>
          </w:tcPr>
          <w:p w14:paraId="5F5F038A" w14:textId="4F9E79B6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PIP PASS Pharm Care</w:t>
            </w:r>
          </w:p>
        </w:tc>
      </w:tr>
      <w:tr w:rsidR="002B508B" w:rsidRPr="00D92D36" w14:paraId="1CEB0121" w14:textId="5B17A0B2" w:rsidTr="002B508B">
        <w:tc>
          <w:tcPr>
            <w:tcW w:w="3540" w:type="dxa"/>
            <w:vAlign w:val="center"/>
          </w:tcPr>
          <w:p w14:paraId="7C8F429A" w14:textId="1EB4A5BA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Therapy Recommendations</w:t>
            </w:r>
          </w:p>
        </w:tc>
        <w:tc>
          <w:tcPr>
            <w:tcW w:w="1134" w:type="dxa"/>
            <w:vAlign w:val="center"/>
          </w:tcPr>
          <w:p w14:paraId="1EFAF739" w14:textId="095013F1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84" w:type="dxa"/>
            <w:vAlign w:val="center"/>
          </w:tcPr>
          <w:p w14:paraId="1125C02D" w14:textId="75178DA5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22.80%</w:t>
            </w:r>
          </w:p>
        </w:tc>
        <w:tc>
          <w:tcPr>
            <w:tcW w:w="2548" w:type="dxa"/>
            <w:vAlign w:val="center"/>
          </w:tcPr>
          <w:p w14:paraId="347CA528" w14:textId="75C22BB9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PIP PASS Pharm Care</w:t>
            </w:r>
          </w:p>
        </w:tc>
      </w:tr>
      <w:tr w:rsidR="002B508B" w:rsidRPr="00D92D36" w14:paraId="4D2B0A43" w14:textId="77777777" w:rsidTr="002B508B">
        <w:tc>
          <w:tcPr>
            <w:tcW w:w="3540" w:type="dxa"/>
            <w:vAlign w:val="center"/>
          </w:tcPr>
          <w:p w14:paraId="54DAAEAA" w14:textId="2FFF722D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Medication Counselling to physician</w:t>
            </w:r>
            <w:r w:rsidR="002B508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1134" w:type="dxa"/>
            <w:vAlign w:val="center"/>
          </w:tcPr>
          <w:p w14:paraId="646B8626" w14:textId="1C859658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84" w:type="dxa"/>
            <w:vAlign w:val="center"/>
          </w:tcPr>
          <w:p w14:paraId="0C064A35" w14:textId="23A1E595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11.55%</w:t>
            </w:r>
          </w:p>
        </w:tc>
        <w:tc>
          <w:tcPr>
            <w:tcW w:w="2548" w:type="dxa"/>
            <w:vAlign w:val="center"/>
          </w:tcPr>
          <w:p w14:paraId="68598408" w14:textId="011ED317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PIP PASS Pharm Care</w:t>
            </w:r>
          </w:p>
        </w:tc>
      </w:tr>
      <w:tr w:rsidR="002B508B" w:rsidRPr="00D92D36" w14:paraId="4A74B06D" w14:textId="77777777" w:rsidTr="002B508B">
        <w:tc>
          <w:tcPr>
            <w:tcW w:w="3540" w:type="dxa"/>
            <w:vAlign w:val="center"/>
          </w:tcPr>
          <w:p w14:paraId="7CB2D30B" w14:textId="00E2B79C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Medication education</w:t>
            </w:r>
            <w:r w:rsidR="002B508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2B508B">
              <w:rPr>
                <w:rFonts w:ascii="Arial" w:hAnsi="Arial" w:cs="Arial"/>
                <w:sz w:val="20"/>
                <w:szCs w:val="20"/>
              </w:rPr>
              <w:t>to patients</w:t>
            </w:r>
          </w:p>
        </w:tc>
        <w:tc>
          <w:tcPr>
            <w:tcW w:w="1134" w:type="dxa"/>
            <w:vAlign w:val="center"/>
          </w:tcPr>
          <w:p w14:paraId="735747A7" w14:textId="703B3E02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84" w:type="dxa"/>
            <w:vAlign w:val="center"/>
          </w:tcPr>
          <w:p w14:paraId="7664B8D7" w14:textId="14F15B86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10.64%</w:t>
            </w:r>
          </w:p>
        </w:tc>
        <w:tc>
          <w:tcPr>
            <w:tcW w:w="2548" w:type="dxa"/>
            <w:vAlign w:val="center"/>
          </w:tcPr>
          <w:p w14:paraId="111414F5" w14:textId="1694CA23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PIP PASS Pharm Care</w:t>
            </w:r>
          </w:p>
        </w:tc>
      </w:tr>
      <w:tr w:rsidR="002B508B" w:rsidRPr="00D92D36" w14:paraId="53EE8C38" w14:textId="77777777" w:rsidTr="002B508B">
        <w:tc>
          <w:tcPr>
            <w:tcW w:w="3540" w:type="dxa"/>
            <w:vAlign w:val="center"/>
          </w:tcPr>
          <w:p w14:paraId="3BDCE4D4" w14:textId="7BDB8A93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Pharmaceutical Active Consultation</w:t>
            </w:r>
          </w:p>
        </w:tc>
        <w:tc>
          <w:tcPr>
            <w:tcW w:w="1134" w:type="dxa"/>
            <w:vAlign w:val="center"/>
          </w:tcPr>
          <w:p w14:paraId="244376AE" w14:textId="3EC91B6D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084" w:type="dxa"/>
            <w:vAlign w:val="center"/>
          </w:tcPr>
          <w:p w14:paraId="4B2CA6A2" w14:textId="0A50E7B8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29.48%</w:t>
            </w:r>
          </w:p>
        </w:tc>
        <w:tc>
          <w:tcPr>
            <w:tcW w:w="2548" w:type="dxa"/>
            <w:vAlign w:val="center"/>
          </w:tcPr>
          <w:p w14:paraId="0B018240" w14:textId="505847A8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HIS (Consultation System)</w:t>
            </w:r>
          </w:p>
        </w:tc>
      </w:tr>
      <w:tr w:rsidR="002B508B" w:rsidRPr="00D92D36" w14:paraId="4EA566C0" w14:textId="77777777" w:rsidTr="002B508B">
        <w:tc>
          <w:tcPr>
            <w:tcW w:w="3540" w:type="dxa"/>
            <w:vAlign w:val="center"/>
          </w:tcPr>
          <w:p w14:paraId="74BCCC07" w14:textId="7DC63873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Pharmaceutical Consultations</w:t>
            </w:r>
          </w:p>
        </w:tc>
        <w:tc>
          <w:tcPr>
            <w:tcW w:w="1134" w:type="dxa"/>
            <w:vAlign w:val="center"/>
          </w:tcPr>
          <w:p w14:paraId="09EC1C03" w14:textId="7EFE504D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84" w:type="dxa"/>
            <w:vAlign w:val="center"/>
          </w:tcPr>
          <w:p w14:paraId="41FB4F1E" w14:textId="5CD62E9F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D36">
              <w:rPr>
                <w:rFonts w:ascii="Arial" w:hAnsi="Arial" w:cs="Arial"/>
                <w:color w:val="000000"/>
                <w:sz w:val="20"/>
                <w:szCs w:val="20"/>
              </w:rPr>
              <w:t>22.49%</w:t>
            </w:r>
          </w:p>
        </w:tc>
        <w:tc>
          <w:tcPr>
            <w:tcW w:w="2548" w:type="dxa"/>
            <w:vAlign w:val="center"/>
          </w:tcPr>
          <w:p w14:paraId="61171C4B" w14:textId="527FFBFE" w:rsidR="00D92D36" w:rsidRPr="00D92D36" w:rsidRDefault="00D92D36" w:rsidP="00D92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OLE_LINK2"/>
            <w:r w:rsidRPr="00D92D3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HIS (Consultation System)</w:t>
            </w:r>
            <w:bookmarkEnd w:id="3"/>
          </w:p>
        </w:tc>
      </w:tr>
    </w:tbl>
    <w:bookmarkEnd w:id="2"/>
    <w:p w14:paraId="51082EDE" w14:textId="29E147AA" w:rsidR="002B508B" w:rsidRPr="00BC5A72" w:rsidRDefault="002B508B" w:rsidP="00D92D36">
      <w:pPr>
        <w:rPr>
          <w:rFonts w:ascii="Arial" w:hAnsi="Arial" w:cs="Arial"/>
          <w:kern w:val="0"/>
          <w:sz w:val="20"/>
          <w:lang w:eastAsia="en-US"/>
          <w14:ligatures w14:val="none"/>
        </w:rPr>
      </w:pPr>
      <w:r w:rsidRPr="00BC5A72">
        <w:rPr>
          <w:rFonts w:ascii="Arial" w:hAnsi="Arial" w:cs="Arial"/>
          <w:b/>
          <w:bCs/>
          <w:kern w:val="0"/>
          <w:sz w:val="20"/>
          <w:lang w:eastAsia="en-US"/>
          <w14:ligatures w14:val="none"/>
        </w:rPr>
        <w:t>Abbreviations:</w:t>
      </w:r>
      <w:r w:rsidRPr="00BC5A72">
        <w:rPr>
          <w:rFonts w:ascii="Arial" w:hAnsi="Arial" w:cs="Arial"/>
          <w:kern w:val="0"/>
          <w:sz w:val="20"/>
          <w:lang w:eastAsia="en-US"/>
          <w14:ligatures w14:val="none"/>
        </w:rPr>
        <w:t xml:space="preserve"> VTE, venous thromboembolism; HIS, Hospital Information System.</w:t>
      </w:r>
    </w:p>
    <w:p w14:paraId="6C8A0BFC" w14:textId="0DC29F4C" w:rsidR="002B508B" w:rsidRDefault="00653132" w:rsidP="00D92D36">
      <w:pPr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/>
          <w:kern w:val="0"/>
          <w:sz w:val="20"/>
          <w:szCs w:val="20"/>
          <w:lang w:eastAsia="en-US"/>
          <w14:ligatures w14:val="none"/>
        </w:rPr>
        <w:t>Table Footnotes:</w:t>
      </w:r>
    </w:p>
    <w:p w14:paraId="4D9D6AFA" w14:textId="5F8894B6" w:rsidR="00653132" w:rsidRP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a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Pharmacist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-led Ward Rounds: Number of patients with structured clinical notes from pharmacist-led ward rounds. </w:t>
      </w:r>
    </w:p>
    <w:p w14:paraId="2B1DE791" w14:textId="15BDE5AF" w:rsidR="00653132" w:rsidRP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b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Medication Review: Comprehensive review of all inpatient medication orders for safety and appropriateness. </w:t>
      </w:r>
    </w:p>
    <w:p w14:paraId="35496AFC" w14:textId="1845EDAC" w:rsidR="00653132" w:rsidRP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c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VTE Monitoring Plan: Active monitoring for thrombotic symptoms and adverse effects of anticoagulants. </w:t>
      </w:r>
    </w:p>
    <w:p w14:paraId="5C9A200F" w14:textId="4DBB9EB9" w:rsidR="00653132" w:rsidRP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d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Therapy Recommendations: Formal, documented recommendations to physicians for therapy modification. </w:t>
      </w:r>
    </w:p>
    <w:p w14:paraId="1FCCC97A" w14:textId="31C504BC" w:rsidR="00653132" w:rsidRP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e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Medication Counselling (to 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p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hysicians): Responses to drug information inquiries initiated by physicians or nurses. </w:t>
      </w:r>
    </w:p>
    <w:p w14:paraId="0E5A01A0" w14:textId="6E537EDB" w:rsidR="00653132" w:rsidRP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f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Medication Education (to patients): Direct patient education, primarily on the use of discharge medications like oral anticoagulants. </w:t>
      </w:r>
    </w:p>
    <w:p w14:paraId="2DFD025C" w14:textId="14367A3E" w:rsidR="00653132" w:rsidRP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g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Pharmaceutical Active Consultation: Proactive, unsolicited recommendations provided by pharmacists during patient care. </w:t>
      </w:r>
    </w:p>
    <w:p w14:paraId="5609E6A8" w14:textId="08FC588B" w:rsidR="00653132" w:rsidRDefault="00653132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>h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.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Pharmaceutical Consultations: Formal consultations conducted in response to a </w:t>
      </w:r>
      <w:r w:rsidRPr="00653132">
        <w:rPr>
          <w:rFonts w:ascii="Arial" w:hAnsi="Arial" w:cs="Arial"/>
          <w:bCs/>
          <w:kern w:val="0"/>
          <w:sz w:val="20"/>
          <w:szCs w:val="20"/>
          <w14:ligatures w14:val="none"/>
        </w:rPr>
        <w:lastRenderedPageBreak/>
        <w:t>physician's request.</w:t>
      </w:r>
    </w:p>
    <w:p w14:paraId="67BCBF83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1A51BABB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4F025CF7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4F38A7AD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577E9498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53FCB191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291B06D9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698EFBEA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50618ECB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7B56D1D9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1C424435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5B69A206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1E29F48C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2A38BF2D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61BE66DF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4791D0CF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05A31E9E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1B5EFFB8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57619925" w14:textId="77777777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7E4317D7" w14:textId="314F2892" w:rsidR="00595D27" w:rsidRDefault="00595D27" w:rsidP="00653132">
      <w:pPr>
        <w:spacing w:after="0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Cs/>
          <w:noProof/>
          <w:kern w:val="0"/>
          <w:sz w:val="20"/>
          <w:szCs w:val="20"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 wp14:anchorId="058C43F7" wp14:editId="28BFD749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5267325" cy="5476875"/>
            <wp:effectExtent l="0" t="0" r="9525" b="9525"/>
            <wp:wrapSquare wrapText="bothSides"/>
            <wp:docPr id="364233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CF4B6" w14:textId="309B27DA" w:rsidR="00751CEE" w:rsidRDefault="00751CEE" w:rsidP="00653132">
      <w:pPr>
        <w:spacing w:after="0"/>
        <w:rPr>
          <w:rFonts w:ascii="Arial" w:hAnsi="Arial" w:cs="Arial"/>
          <w:kern w:val="0"/>
          <w:sz w:val="20"/>
          <w14:ligatures w14:val="none"/>
        </w:rPr>
      </w:pPr>
      <w:r w:rsidRPr="00751CEE">
        <w:rPr>
          <w:rFonts w:ascii="Arial" w:hAnsi="Arial" w:cs="Arial"/>
          <w:b/>
          <w:bCs/>
          <w:kern w:val="0"/>
          <w:sz w:val="20"/>
          <w14:ligatures w14:val="none"/>
        </w:rPr>
        <w:t xml:space="preserve">Supplementary Figure 1 </w:t>
      </w:r>
      <w:r w:rsidRPr="00751CEE">
        <w:rPr>
          <w:rFonts w:ascii="Arial" w:hAnsi="Arial" w:cs="Arial"/>
          <w:kern w:val="0"/>
          <w:sz w:val="20"/>
          <w14:ligatures w14:val="none"/>
        </w:rPr>
        <w:t xml:space="preserve">Members, Responsibilities, and Workflow Diagram of the VTEMP. The flowchart depicts the patient management protocol following an automated VTE risk assessment. </w:t>
      </w:r>
      <w:r w:rsidR="00B9017D" w:rsidRPr="00B9017D">
        <w:rPr>
          <w:rFonts w:ascii="Arial" w:hAnsi="Arial" w:cs="Arial"/>
          <w:kern w:val="0"/>
          <w:sz w:val="20"/>
          <w14:ligatures w14:val="none"/>
        </w:rPr>
        <w:t>Color-coding defines departmental responsibilities</w:t>
      </w:r>
      <w:r w:rsidRPr="00751CEE">
        <w:rPr>
          <w:rFonts w:ascii="Arial" w:hAnsi="Arial" w:cs="Arial"/>
          <w:kern w:val="0"/>
          <w:sz w:val="20"/>
          <w14:ligatures w14:val="none"/>
        </w:rPr>
        <w:t xml:space="preserve">: </w:t>
      </w:r>
      <w:r w:rsidR="00B9017D" w:rsidRPr="00B9017D">
        <w:rPr>
          <w:rFonts w:ascii="Arial" w:hAnsi="Arial" w:cs="Arial"/>
          <w:kern w:val="0"/>
          <w:sz w:val="20"/>
          <w14:ligatures w14:val="none"/>
        </w:rPr>
        <w:t>green pathway indicates Rehabilitation Department involvement for physical prophylaxis guidance; blue pathway represents Vascular Surgery intervention for pharmacological prevention decisions in moderate/high-risk patients with bleeding risks; red pathway signifies Pharmacy Department support for pharmacological prevention decisions; yellow zones designate shared monitoring areas where interventions may occur independently.</w:t>
      </w:r>
    </w:p>
    <w:p w14:paraId="6A55B33A" w14:textId="6600761B" w:rsidR="00661573" w:rsidRPr="00751CEE" w:rsidRDefault="00751CEE" w:rsidP="00653132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  <w:r w:rsidRPr="00751CEE">
        <w:rPr>
          <w:rFonts w:ascii="Arial" w:hAnsi="Arial" w:cs="Arial"/>
          <w:b/>
          <w:bCs/>
          <w:kern w:val="0"/>
          <w:sz w:val="20"/>
          <w14:ligatures w14:val="none"/>
        </w:rPr>
        <w:t xml:space="preserve">Abbreviations: </w:t>
      </w:r>
      <w:r w:rsidRPr="00751CEE">
        <w:rPr>
          <w:rFonts w:ascii="Arial" w:hAnsi="Arial" w:cs="Arial"/>
          <w:kern w:val="0"/>
          <w:sz w:val="20"/>
          <w14:ligatures w14:val="none"/>
        </w:rPr>
        <w:t>VTE</w:t>
      </w:r>
      <w:r>
        <w:rPr>
          <w:rFonts w:ascii="Arial" w:hAnsi="Arial" w:cs="Arial"/>
          <w:kern w:val="0"/>
          <w:sz w:val="20"/>
          <w14:ligatures w14:val="none"/>
        </w:rPr>
        <w:t xml:space="preserve">, </w:t>
      </w:r>
      <w:r w:rsidRPr="00751CEE">
        <w:rPr>
          <w:rFonts w:ascii="Arial" w:hAnsi="Arial" w:cs="Arial"/>
          <w:kern w:val="0"/>
          <w:sz w:val="20"/>
          <w14:ligatures w14:val="none"/>
        </w:rPr>
        <w:t>venous thromboembolism; VTEMP</w:t>
      </w:r>
      <w:r>
        <w:rPr>
          <w:rFonts w:ascii="Arial" w:hAnsi="Arial" w:cs="Arial"/>
          <w:kern w:val="0"/>
          <w:sz w:val="20"/>
          <w14:ligatures w14:val="none"/>
        </w:rPr>
        <w:t>,</w:t>
      </w:r>
      <w:r w:rsidRPr="00751CEE">
        <w:rPr>
          <w:rFonts w:ascii="Arial" w:hAnsi="Arial" w:cs="Arial"/>
          <w:kern w:val="0"/>
          <w:sz w:val="20"/>
          <w14:ligatures w14:val="none"/>
        </w:rPr>
        <w:t xml:space="preserve"> VTE management program; MDT</w:t>
      </w:r>
      <w:r>
        <w:rPr>
          <w:rFonts w:ascii="Arial" w:hAnsi="Arial" w:cs="Arial"/>
          <w:kern w:val="0"/>
          <w:sz w:val="20"/>
          <w14:ligatures w14:val="none"/>
        </w:rPr>
        <w:t>,</w:t>
      </w:r>
      <w:r w:rsidRPr="00751CEE">
        <w:rPr>
          <w:rFonts w:ascii="Arial" w:hAnsi="Arial" w:cs="Arial"/>
          <w:kern w:val="0"/>
          <w:sz w:val="20"/>
          <w14:ligatures w14:val="none"/>
        </w:rPr>
        <w:t xml:space="preserve"> Multidisciplinary Team.</w:t>
      </w:r>
    </w:p>
    <w:sectPr w:rsidR="00661573" w:rsidRPr="00751CE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6029" w14:textId="77777777" w:rsidR="007A7013" w:rsidRDefault="007A7013" w:rsidP="00595D27">
      <w:pPr>
        <w:spacing w:after="0" w:line="240" w:lineRule="auto"/>
      </w:pPr>
      <w:r>
        <w:separator/>
      </w:r>
    </w:p>
  </w:endnote>
  <w:endnote w:type="continuationSeparator" w:id="0">
    <w:p w14:paraId="27095A67" w14:textId="77777777" w:rsidR="007A7013" w:rsidRDefault="007A7013" w:rsidP="0059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6343" w14:textId="45EBAEB6" w:rsidR="00595D27" w:rsidRDefault="00595D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9A62C4" wp14:editId="463F0F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4794068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3C3ED" w14:textId="50C054B5" w:rsidR="00595D27" w:rsidRPr="00595D27" w:rsidRDefault="00595D27" w:rsidP="00595D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5D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A6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643C3ED" w14:textId="50C054B5" w:rsidR="00595D27" w:rsidRPr="00595D27" w:rsidRDefault="00595D27" w:rsidP="00595D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5D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00EF" w14:textId="757CFE02" w:rsidR="00595D27" w:rsidRDefault="00595D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98225" wp14:editId="5F85BD66">
              <wp:simplePos x="1143000" y="98774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7233621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146DE" w14:textId="5EB8A24A" w:rsidR="00595D27" w:rsidRPr="00595D27" w:rsidRDefault="00595D27" w:rsidP="00595D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5D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982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7146DE" w14:textId="5EB8A24A" w:rsidR="00595D27" w:rsidRPr="00595D27" w:rsidRDefault="00595D27" w:rsidP="00595D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5D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8C02" w14:textId="20AD8FA9" w:rsidR="00595D27" w:rsidRDefault="00595D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CFB85" wp14:editId="26A26A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672371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0396A" w14:textId="440788E0" w:rsidR="00595D27" w:rsidRPr="00595D27" w:rsidRDefault="00595D27" w:rsidP="00595D2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5D2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CFB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E0396A" w14:textId="440788E0" w:rsidR="00595D27" w:rsidRPr="00595D27" w:rsidRDefault="00595D27" w:rsidP="00595D2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5D2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DB28" w14:textId="77777777" w:rsidR="007A7013" w:rsidRDefault="007A7013" w:rsidP="00595D27">
      <w:pPr>
        <w:spacing w:after="0" w:line="240" w:lineRule="auto"/>
      </w:pPr>
      <w:r>
        <w:separator/>
      </w:r>
    </w:p>
  </w:footnote>
  <w:footnote w:type="continuationSeparator" w:id="0">
    <w:p w14:paraId="4A5BB445" w14:textId="77777777" w:rsidR="007A7013" w:rsidRDefault="007A7013" w:rsidP="00595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23"/>
    <w:rsid w:val="00053966"/>
    <w:rsid w:val="00056984"/>
    <w:rsid w:val="00091427"/>
    <w:rsid w:val="0009160B"/>
    <w:rsid w:val="000B64C3"/>
    <w:rsid w:val="000D4003"/>
    <w:rsid w:val="00110096"/>
    <w:rsid w:val="00136F8C"/>
    <w:rsid w:val="001A19AF"/>
    <w:rsid w:val="001A3D3F"/>
    <w:rsid w:val="002B508B"/>
    <w:rsid w:val="002C2482"/>
    <w:rsid w:val="00313C32"/>
    <w:rsid w:val="00316FFF"/>
    <w:rsid w:val="003307AC"/>
    <w:rsid w:val="0037721D"/>
    <w:rsid w:val="003804E2"/>
    <w:rsid w:val="00380FE0"/>
    <w:rsid w:val="00394775"/>
    <w:rsid w:val="003C3423"/>
    <w:rsid w:val="003E79B6"/>
    <w:rsid w:val="003F03B9"/>
    <w:rsid w:val="00412B25"/>
    <w:rsid w:val="00444EBB"/>
    <w:rsid w:val="00487C06"/>
    <w:rsid w:val="004A0206"/>
    <w:rsid w:val="004B1550"/>
    <w:rsid w:val="004B5F92"/>
    <w:rsid w:val="004B702D"/>
    <w:rsid w:val="004C7CC7"/>
    <w:rsid w:val="00516AFB"/>
    <w:rsid w:val="00546DA2"/>
    <w:rsid w:val="00580368"/>
    <w:rsid w:val="00595D27"/>
    <w:rsid w:val="005B7E67"/>
    <w:rsid w:val="005C55B4"/>
    <w:rsid w:val="005F12BE"/>
    <w:rsid w:val="006331AE"/>
    <w:rsid w:val="006401B7"/>
    <w:rsid w:val="00653132"/>
    <w:rsid w:val="00661573"/>
    <w:rsid w:val="00680139"/>
    <w:rsid w:val="00683D3B"/>
    <w:rsid w:val="00704009"/>
    <w:rsid w:val="00727690"/>
    <w:rsid w:val="0073566F"/>
    <w:rsid w:val="00751CEE"/>
    <w:rsid w:val="007A7013"/>
    <w:rsid w:val="007E57E9"/>
    <w:rsid w:val="007F7CDB"/>
    <w:rsid w:val="00803E6E"/>
    <w:rsid w:val="00806D2C"/>
    <w:rsid w:val="00812E4A"/>
    <w:rsid w:val="008154B1"/>
    <w:rsid w:val="00835B45"/>
    <w:rsid w:val="00840DC1"/>
    <w:rsid w:val="00862C4D"/>
    <w:rsid w:val="00870AA6"/>
    <w:rsid w:val="00890C25"/>
    <w:rsid w:val="008A52B9"/>
    <w:rsid w:val="008C1ADE"/>
    <w:rsid w:val="008D0F73"/>
    <w:rsid w:val="008E55DD"/>
    <w:rsid w:val="008F7F01"/>
    <w:rsid w:val="00901FC1"/>
    <w:rsid w:val="00936D33"/>
    <w:rsid w:val="00943EE9"/>
    <w:rsid w:val="00946A5A"/>
    <w:rsid w:val="00954FFC"/>
    <w:rsid w:val="00970699"/>
    <w:rsid w:val="009A1CF2"/>
    <w:rsid w:val="009F1D27"/>
    <w:rsid w:val="00A31DC1"/>
    <w:rsid w:val="00A43CFA"/>
    <w:rsid w:val="00AB1940"/>
    <w:rsid w:val="00AB56C1"/>
    <w:rsid w:val="00AE13DF"/>
    <w:rsid w:val="00AF6A75"/>
    <w:rsid w:val="00B115A8"/>
    <w:rsid w:val="00B12C79"/>
    <w:rsid w:val="00B1586C"/>
    <w:rsid w:val="00B36ECE"/>
    <w:rsid w:val="00B5184A"/>
    <w:rsid w:val="00B6656B"/>
    <w:rsid w:val="00B74062"/>
    <w:rsid w:val="00B7498A"/>
    <w:rsid w:val="00B809F5"/>
    <w:rsid w:val="00B9017D"/>
    <w:rsid w:val="00BC5A72"/>
    <w:rsid w:val="00BC67E2"/>
    <w:rsid w:val="00BE3778"/>
    <w:rsid w:val="00C22260"/>
    <w:rsid w:val="00C90CF2"/>
    <w:rsid w:val="00C931F4"/>
    <w:rsid w:val="00CA7440"/>
    <w:rsid w:val="00CB48EA"/>
    <w:rsid w:val="00CC69FB"/>
    <w:rsid w:val="00CD71D4"/>
    <w:rsid w:val="00CE73E4"/>
    <w:rsid w:val="00D1621A"/>
    <w:rsid w:val="00D6183D"/>
    <w:rsid w:val="00D92D36"/>
    <w:rsid w:val="00DA7497"/>
    <w:rsid w:val="00DB4382"/>
    <w:rsid w:val="00DB4DDD"/>
    <w:rsid w:val="00DC35CC"/>
    <w:rsid w:val="00DD08BE"/>
    <w:rsid w:val="00DF11E4"/>
    <w:rsid w:val="00E14AD6"/>
    <w:rsid w:val="00E1521D"/>
    <w:rsid w:val="00E20B52"/>
    <w:rsid w:val="00E77A14"/>
    <w:rsid w:val="00E86447"/>
    <w:rsid w:val="00E92CBF"/>
    <w:rsid w:val="00E95929"/>
    <w:rsid w:val="00EA1B74"/>
    <w:rsid w:val="00EA57EA"/>
    <w:rsid w:val="00EB6AFA"/>
    <w:rsid w:val="00ED614F"/>
    <w:rsid w:val="00EE602C"/>
    <w:rsid w:val="00F02CE8"/>
    <w:rsid w:val="00F11694"/>
    <w:rsid w:val="00F20F88"/>
    <w:rsid w:val="00F232C8"/>
    <w:rsid w:val="00F2576B"/>
    <w:rsid w:val="00F33894"/>
    <w:rsid w:val="00F56C14"/>
    <w:rsid w:val="00FA2DFC"/>
    <w:rsid w:val="00FC07F7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0A75"/>
  <w15:chartTrackingRefBased/>
  <w15:docId w15:val="{2410FF2F-824B-394E-BC3B-1ED415F4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3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2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2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2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2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2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2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2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C3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5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董</dc:creator>
  <cp:keywords/>
  <dc:description/>
  <cp:lastModifiedBy>Murphy, Alexandra</cp:lastModifiedBy>
  <cp:revision>15</cp:revision>
  <dcterms:created xsi:type="dcterms:W3CDTF">2025-09-29T15:21:00Z</dcterms:created>
  <dcterms:modified xsi:type="dcterms:W3CDTF">2025-10-06T00:56:00Z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5d6a240d,1c932b00,8c69b55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2025-10-06T00:56:12Z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52739749-c6fd-4581-b4c8-9177010c08af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