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E1FA" w14:textId="77777777" w:rsidR="00A51206" w:rsidRPr="005F6BDF" w:rsidRDefault="00A51206" w:rsidP="009E284D">
      <w:pPr>
        <w:spacing w:before="100" w:beforeAutospacing="1" w:after="100" w:afterAutospacing="1"/>
        <w:rPr>
          <w:lang w:val="en-US"/>
        </w:rPr>
      </w:pPr>
      <w:r w:rsidRPr="005F6BDF">
        <w:rPr>
          <w:b/>
          <w:bCs/>
          <w:lang w:val="en-US"/>
        </w:rPr>
        <w:t>Supplementary Table 1.</w:t>
      </w:r>
      <w:r w:rsidRPr="005F6BDF">
        <w:rPr>
          <w:lang w:val="en-US"/>
        </w:rPr>
        <w:t xml:space="preserve"> </w:t>
      </w:r>
      <w:r w:rsidRPr="005F6BDF">
        <w:rPr>
          <w:b/>
          <w:bCs/>
          <w:lang w:val="en-US"/>
        </w:rPr>
        <w:t xml:space="preserve">Subgroup analysis of median </w:t>
      </w:r>
      <w:r>
        <w:rPr>
          <w:b/>
          <w:bCs/>
          <w:lang w:val="en-US"/>
        </w:rPr>
        <w:t>t</w:t>
      </w:r>
      <w:r w:rsidRPr="005F6BDF">
        <w:rPr>
          <w:b/>
          <w:bCs/>
          <w:lang w:val="en-US"/>
        </w:rPr>
        <w:t xml:space="preserve">ime </w:t>
      </w:r>
      <w:r>
        <w:rPr>
          <w:b/>
          <w:bCs/>
          <w:lang w:val="en-US"/>
        </w:rPr>
        <w:t>o</w:t>
      </w:r>
      <w:r w:rsidRPr="005F6BDF">
        <w:rPr>
          <w:b/>
          <w:bCs/>
          <w:lang w:val="en-US"/>
        </w:rPr>
        <w:t xml:space="preserve">n </w:t>
      </w:r>
      <w:r>
        <w:rPr>
          <w:b/>
          <w:bCs/>
          <w:lang w:val="en-US"/>
        </w:rPr>
        <w:t>t</w:t>
      </w:r>
      <w:r w:rsidRPr="005F6BDF">
        <w:rPr>
          <w:b/>
          <w:bCs/>
          <w:lang w:val="en-US"/>
        </w:rPr>
        <w:t>reatment (TOT) (N = 72)</w:t>
      </w:r>
    </w:p>
    <w:tbl>
      <w:tblPr>
        <w:tblW w:w="951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898"/>
        <w:gridCol w:w="3544"/>
      </w:tblGrid>
      <w:tr w:rsidR="00A51206" w:rsidRPr="005F6BDF" w14:paraId="517BDCDC" w14:textId="77777777" w:rsidTr="00AD2BE6">
        <w:trPr>
          <w:trHeight w:val="253"/>
        </w:trPr>
        <w:tc>
          <w:tcPr>
            <w:tcW w:w="4077" w:type="dxa"/>
          </w:tcPr>
          <w:p w14:paraId="356FEC04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b/>
                <w:bCs/>
                <w:lang w:val="en-US"/>
              </w:rPr>
              <w:t>Subgroup</w:t>
            </w:r>
          </w:p>
        </w:tc>
        <w:tc>
          <w:tcPr>
            <w:tcW w:w="1898" w:type="dxa"/>
          </w:tcPr>
          <w:p w14:paraId="21BE3823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b/>
                <w:bCs/>
                <w:lang w:val="en-US"/>
              </w:rPr>
              <w:t>Patients, n (%)</w:t>
            </w:r>
          </w:p>
        </w:tc>
        <w:tc>
          <w:tcPr>
            <w:tcW w:w="3544" w:type="dxa"/>
          </w:tcPr>
          <w:p w14:paraId="197C52A9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b/>
                <w:bCs/>
                <w:lang w:val="en-US"/>
              </w:rPr>
              <w:t>Median TOT (90% CI), months</w:t>
            </w:r>
          </w:p>
        </w:tc>
      </w:tr>
      <w:tr w:rsidR="00A51206" w:rsidRPr="005F6BDF" w14:paraId="56A35D78" w14:textId="77777777" w:rsidTr="00AD2BE6">
        <w:trPr>
          <w:trHeight w:val="134"/>
        </w:trPr>
        <w:tc>
          <w:tcPr>
            <w:tcW w:w="9519" w:type="dxa"/>
            <w:gridSpan w:val="3"/>
          </w:tcPr>
          <w:p w14:paraId="17D4B7F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Baseline age</w:t>
            </w:r>
          </w:p>
        </w:tc>
      </w:tr>
      <w:tr w:rsidR="00A51206" w:rsidRPr="005F6BDF" w14:paraId="5F72B6BC" w14:textId="77777777" w:rsidTr="00AD2BE6">
        <w:trPr>
          <w:trHeight w:val="134"/>
        </w:trPr>
        <w:tc>
          <w:tcPr>
            <w:tcW w:w="4077" w:type="dxa"/>
          </w:tcPr>
          <w:p w14:paraId="5445A866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&lt;65 years (n = 39)</w:t>
            </w:r>
          </w:p>
        </w:tc>
        <w:tc>
          <w:tcPr>
            <w:tcW w:w="1898" w:type="dxa"/>
          </w:tcPr>
          <w:p w14:paraId="0F5A28C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35 (89.7)</w:t>
            </w:r>
          </w:p>
        </w:tc>
        <w:tc>
          <w:tcPr>
            <w:tcW w:w="3544" w:type="dxa"/>
          </w:tcPr>
          <w:p w14:paraId="10DBE87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15.9 (12.85–20.99)</w:t>
            </w:r>
          </w:p>
        </w:tc>
      </w:tr>
      <w:tr w:rsidR="00A51206" w:rsidRPr="005F6BDF" w14:paraId="3D2F446F" w14:textId="77777777" w:rsidTr="00AD2BE6">
        <w:trPr>
          <w:trHeight w:val="134"/>
        </w:trPr>
        <w:tc>
          <w:tcPr>
            <w:tcW w:w="4077" w:type="dxa"/>
          </w:tcPr>
          <w:p w14:paraId="4ED93465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≥65 years (n = 33)</w:t>
            </w:r>
          </w:p>
        </w:tc>
        <w:tc>
          <w:tcPr>
            <w:tcW w:w="1898" w:type="dxa"/>
          </w:tcPr>
          <w:p w14:paraId="7DBBE852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29 (87.9)</w:t>
            </w:r>
          </w:p>
        </w:tc>
        <w:tc>
          <w:tcPr>
            <w:tcW w:w="3544" w:type="dxa"/>
          </w:tcPr>
          <w:p w14:paraId="2CCC85A1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11.8 (3.61–19.15)</w:t>
            </w:r>
          </w:p>
        </w:tc>
      </w:tr>
      <w:tr w:rsidR="00A51206" w:rsidRPr="005F6BDF" w14:paraId="00F1A7E4" w14:textId="77777777" w:rsidTr="00AD2BE6">
        <w:trPr>
          <w:trHeight w:val="249"/>
        </w:trPr>
        <w:tc>
          <w:tcPr>
            <w:tcW w:w="9519" w:type="dxa"/>
            <w:gridSpan w:val="3"/>
          </w:tcPr>
          <w:p w14:paraId="5961331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Baseline ECOG status</w:t>
            </w:r>
          </w:p>
        </w:tc>
      </w:tr>
      <w:tr w:rsidR="00A51206" w:rsidRPr="005F6BDF" w14:paraId="6B8C6173" w14:textId="77777777" w:rsidTr="00AD2BE6">
        <w:trPr>
          <w:trHeight w:val="249"/>
        </w:trPr>
        <w:tc>
          <w:tcPr>
            <w:tcW w:w="4077" w:type="dxa"/>
          </w:tcPr>
          <w:p w14:paraId="51C28196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≤1 (n = 66)</w:t>
            </w:r>
          </w:p>
        </w:tc>
        <w:tc>
          <w:tcPr>
            <w:tcW w:w="1898" w:type="dxa"/>
          </w:tcPr>
          <w:p w14:paraId="2DF23455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58 (87.9)</w:t>
            </w:r>
          </w:p>
        </w:tc>
        <w:tc>
          <w:tcPr>
            <w:tcW w:w="3544" w:type="dxa"/>
          </w:tcPr>
          <w:p w14:paraId="3FCE61D8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14.9 (10.18–18.63)</w:t>
            </w:r>
          </w:p>
        </w:tc>
      </w:tr>
      <w:tr w:rsidR="00A51206" w:rsidRPr="005F6BDF" w14:paraId="63C55DF3" w14:textId="77777777" w:rsidTr="00AD2BE6">
        <w:trPr>
          <w:trHeight w:val="249"/>
        </w:trPr>
        <w:tc>
          <w:tcPr>
            <w:tcW w:w="9519" w:type="dxa"/>
            <w:gridSpan w:val="3"/>
          </w:tcPr>
          <w:p w14:paraId="03836BA5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 xml:space="preserve">Baseline </w:t>
            </w:r>
            <w:r w:rsidRPr="005F6BDF">
              <w:rPr>
                <w:i/>
                <w:iCs/>
                <w:lang w:val="en-US"/>
              </w:rPr>
              <w:t xml:space="preserve">EGFR </w:t>
            </w:r>
            <w:r w:rsidRPr="005F6BDF">
              <w:rPr>
                <w:lang w:val="en-US"/>
              </w:rPr>
              <w:t>mutation type</w:t>
            </w:r>
          </w:p>
        </w:tc>
      </w:tr>
      <w:tr w:rsidR="00A51206" w:rsidRPr="005F6BDF" w14:paraId="500B9B66" w14:textId="77777777" w:rsidTr="00AD2BE6">
        <w:trPr>
          <w:trHeight w:val="249"/>
        </w:trPr>
        <w:tc>
          <w:tcPr>
            <w:tcW w:w="4077" w:type="dxa"/>
          </w:tcPr>
          <w:p w14:paraId="25B21848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Common </w:t>
            </w:r>
            <w:r w:rsidRPr="005F6BDF">
              <w:rPr>
                <w:i/>
                <w:iCs/>
                <w:lang w:val="en-US"/>
              </w:rPr>
              <w:t>EGFR</w:t>
            </w:r>
            <w:r w:rsidRPr="005F6BDF">
              <w:rPr>
                <w:lang w:val="en-US"/>
              </w:rPr>
              <w:t xml:space="preserve"> mutations (exon 19 and/or L858R) (n = 59)</w:t>
            </w:r>
          </w:p>
        </w:tc>
        <w:tc>
          <w:tcPr>
            <w:tcW w:w="1898" w:type="dxa"/>
          </w:tcPr>
          <w:p w14:paraId="3C5A564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51 (86.4)</w:t>
            </w:r>
          </w:p>
        </w:tc>
        <w:tc>
          <w:tcPr>
            <w:tcW w:w="3544" w:type="dxa"/>
          </w:tcPr>
          <w:p w14:paraId="70ADA122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14.9 (11.99–19.15)</w:t>
            </w:r>
          </w:p>
        </w:tc>
      </w:tr>
      <w:tr w:rsidR="00A51206" w:rsidRPr="005F6BDF" w14:paraId="7403789C" w14:textId="77777777" w:rsidTr="00AD2BE6">
        <w:trPr>
          <w:trHeight w:val="249"/>
        </w:trPr>
        <w:tc>
          <w:tcPr>
            <w:tcW w:w="4077" w:type="dxa"/>
          </w:tcPr>
          <w:p w14:paraId="6855703E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Uncommon: excluding common </w:t>
            </w:r>
            <w:r w:rsidRPr="005F6BDF">
              <w:rPr>
                <w:i/>
                <w:iCs/>
                <w:lang w:val="en-US"/>
              </w:rPr>
              <w:t>EGFR</w:t>
            </w:r>
            <w:r w:rsidRPr="005F6BDF">
              <w:rPr>
                <w:lang w:val="en-US"/>
              </w:rPr>
              <w:t xml:space="preserve"> mutations (exon 19 and/or L858R) (n = 13)</w:t>
            </w:r>
          </w:p>
        </w:tc>
        <w:tc>
          <w:tcPr>
            <w:tcW w:w="1898" w:type="dxa"/>
          </w:tcPr>
          <w:p w14:paraId="30BFF2B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13 (100.0)</w:t>
            </w:r>
          </w:p>
        </w:tc>
        <w:tc>
          <w:tcPr>
            <w:tcW w:w="3544" w:type="dxa"/>
          </w:tcPr>
          <w:p w14:paraId="4ECEF114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7.5 (1.94–16.82)</w:t>
            </w:r>
          </w:p>
        </w:tc>
      </w:tr>
      <w:tr w:rsidR="00A51206" w:rsidRPr="005F6BDF" w14:paraId="6185BDC6" w14:textId="77777777" w:rsidTr="00AD2BE6">
        <w:trPr>
          <w:trHeight w:val="249"/>
        </w:trPr>
        <w:tc>
          <w:tcPr>
            <w:tcW w:w="4077" w:type="dxa"/>
          </w:tcPr>
          <w:p w14:paraId="4436EB89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Uncommon: </w:t>
            </w:r>
            <w:r>
              <w:rPr>
                <w:lang w:val="en-US"/>
              </w:rPr>
              <w:t>e</w:t>
            </w:r>
            <w:r w:rsidRPr="005F6BDF">
              <w:rPr>
                <w:lang w:val="en-US"/>
              </w:rPr>
              <w:t xml:space="preserve">xcluding </w:t>
            </w:r>
            <w:r>
              <w:rPr>
                <w:rFonts w:hint="eastAsia"/>
                <w:lang w:val="en-US" w:eastAsia="zh-CN"/>
              </w:rPr>
              <w:t xml:space="preserve">common </w:t>
            </w:r>
            <w:r w:rsidRPr="002331B9">
              <w:rPr>
                <w:rFonts w:hint="eastAsia"/>
                <w:i/>
                <w:iCs/>
                <w:lang w:val="en-US" w:eastAsia="zh-CN"/>
              </w:rPr>
              <w:t>EGFR</w:t>
            </w:r>
            <w:r>
              <w:rPr>
                <w:rFonts w:hint="eastAsia"/>
                <w:lang w:val="en-US" w:eastAsia="zh-CN"/>
              </w:rPr>
              <w:t xml:space="preserve"> mutation</w:t>
            </w:r>
            <w:r>
              <w:rPr>
                <w:lang w:val="en-US"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 xml:space="preserve">(exon 19 and/or L858R), </w:t>
            </w:r>
            <w:r w:rsidRPr="005F6BDF">
              <w:rPr>
                <w:i/>
                <w:iCs/>
                <w:lang w:val="en-US"/>
              </w:rPr>
              <w:t xml:space="preserve">EGFR </w:t>
            </w:r>
            <w:r w:rsidRPr="005F6BDF">
              <w:rPr>
                <w:lang w:val="en-US"/>
              </w:rPr>
              <w:t>exon 20 insertions and T790M mutations (n = 10)</w:t>
            </w:r>
          </w:p>
        </w:tc>
        <w:tc>
          <w:tcPr>
            <w:tcW w:w="1898" w:type="dxa"/>
          </w:tcPr>
          <w:p w14:paraId="09F6D225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10 (100.0)</w:t>
            </w:r>
          </w:p>
        </w:tc>
        <w:tc>
          <w:tcPr>
            <w:tcW w:w="3544" w:type="dxa"/>
          </w:tcPr>
          <w:p w14:paraId="5CE89414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10.7 (0.99–25.13)</w:t>
            </w:r>
          </w:p>
        </w:tc>
      </w:tr>
      <w:tr w:rsidR="00A51206" w:rsidRPr="005F6BDF" w14:paraId="1ACB2E68" w14:textId="77777777" w:rsidTr="00AD2BE6">
        <w:trPr>
          <w:trHeight w:val="249"/>
        </w:trPr>
        <w:tc>
          <w:tcPr>
            <w:tcW w:w="9519" w:type="dxa"/>
            <w:gridSpan w:val="3"/>
          </w:tcPr>
          <w:p w14:paraId="62CE2E18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Baseline starting dose</w:t>
            </w:r>
          </w:p>
        </w:tc>
      </w:tr>
      <w:tr w:rsidR="00A51206" w:rsidRPr="005F6BDF" w14:paraId="03E6731A" w14:textId="77777777" w:rsidTr="00AD2BE6">
        <w:trPr>
          <w:trHeight w:val="249"/>
        </w:trPr>
        <w:tc>
          <w:tcPr>
            <w:tcW w:w="4077" w:type="dxa"/>
          </w:tcPr>
          <w:p w14:paraId="7FBFFD88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 30 mg (n = 27)</w:t>
            </w:r>
          </w:p>
        </w:tc>
        <w:tc>
          <w:tcPr>
            <w:tcW w:w="1898" w:type="dxa"/>
          </w:tcPr>
          <w:p w14:paraId="036E3BA0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24 (88.9)</w:t>
            </w:r>
          </w:p>
        </w:tc>
        <w:tc>
          <w:tcPr>
            <w:tcW w:w="3544" w:type="dxa"/>
          </w:tcPr>
          <w:p w14:paraId="36F22E49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10.2 (4.86–20.99)</w:t>
            </w:r>
          </w:p>
        </w:tc>
      </w:tr>
      <w:tr w:rsidR="00A51206" w:rsidRPr="005F6BDF" w14:paraId="5173357F" w14:textId="77777777" w:rsidTr="00AD2BE6">
        <w:trPr>
          <w:trHeight w:val="249"/>
        </w:trPr>
        <w:tc>
          <w:tcPr>
            <w:tcW w:w="4077" w:type="dxa"/>
          </w:tcPr>
          <w:p w14:paraId="3ADA51FC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 40 mg (n = 45)</w:t>
            </w:r>
          </w:p>
        </w:tc>
        <w:tc>
          <w:tcPr>
            <w:tcW w:w="1898" w:type="dxa"/>
          </w:tcPr>
          <w:p w14:paraId="64880A75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40 (88.9)</w:t>
            </w:r>
          </w:p>
        </w:tc>
        <w:tc>
          <w:tcPr>
            <w:tcW w:w="3544" w:type="dxa"/>
          </w:tcPr>
          <w:p w14:paraId="52062982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15.9 (13.31–19.15)</w:t>
            </w:r>
          </w:p>
        </w:tc>
      </w:tr>
      <w:tr w:rsidR="00A51206" w:rsidRPr="005F6BDF" w14:paraId="3C1375E4" w14:textId="77777777" w:rsidTr="00AD2BE6">
        <w:trPr>
          <w:trHeight w:val="249"/>
        </w:trPr>
        <w:tc>
          <w:tcPr>
            <w:tcW w:w="9519" w:type="dxa"/>
            <w:gridSpan w:val="3"/>
          </w:tcPr>
          <w:p w14:paraId="4BD817BC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Brain metastasis</w:t>
            </w:r>
          </w:p>
        </w:tc>
      </w:tr>
      <w:tr w:rsidR="00A51206" w:rsidRPr="005F6BDF" w14:paraId="2224BA7C" w14:textId="77777777" w:rsidTr="00AD2BE6">
        <w:trPr>
          <w:trHeight w:val="249"/>
        </w:trPr>
        <w:tc>
          <w:tcPr>
            <w:tcW w:w="4077" w:type="dxa"/>
          </w:tcPr>
          <w:p w14:paraId="519E8990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 w:rsidRPr="005F6BDF">
              <w:rPr>
                <w:lang w:val="en-US"/>
              </w:rPr>
              <w:t xml:space="preserve">    With brain metastasis (n = 12)</w:t>
            </w:r>
          </w:p>
        </w:tc>
        <w:tc>
          <w:tcPr>
            <w:tcW w:w="1898" w:type="dxa"/>
          </w:tcPr>
          <w:p w14:paraId="4A103C11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12 (100.0)</w:t>
            </w:r>
          </w:p>
        </w:tc>
        <w:tc>
          <w:tcPr>
            <w:tcW w:w="3544" w:type="dxa"/>
          </w:tcPr>
          <w:p w14:paraId="6BDD4173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14.7 (4.86–20.99)</w:t>
            </w:r>
          </w:p>
        </w:tc>
      </w:tr>
      <w:tr w:rsidR="00A51206" w:rsidRPr="005F6BDF" w14:paraId="6EE5C92C" w14:textId="77777777" w:rsidTr="00AD2BE6">
        <w:trPr>
          <w:trHeight w:val="249"/>
        </w:trPr>
        <w:tc>
          <w:tcPr>
            <w:tcW w:w="4077" w:type="dxa"/>
          </w:tcPr>
          <w:p w14:paraId="7612FB7D" w14:textId="77777777" w:rsidR="00A51206" w:rsidRPr="005F6BDF" w:rsidRDefault="00A51206" w:rsidP="009E284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Pr="005F6BDF">
              <w:rPr>
                <w:lang w:val="en-US"/>
              </w:rPr>
              <w:t>With</w:t>
            </w:r>
            <w:r>
              <w:rPr>
                <w:lang w:val="en-US"/>
              </w:rPr>
              <w:t>out</w:t>
            </w:r>
            <w:r w:rsidRPr="005F6BDF">
              <w:rPr>
                <w:lang w:val="en-US"/>
              </w:rPr>
              <w:t xml:space="preserve"> brain metastasis </w:t>
            </w:r>
            <w:r>
              <w:rPr>
                <w:lang w:val="en-US"/>
              </w:rPr>
              <w:t>(n = 60)</w:t>
            </w:r>
          </w:p>
        </w:tc>
        <w:tc>
          <w:tcPr>
            <w:tcW w:w="1898" w:type="dxa"/>
          </w:tcPr>
          <w:p w14:paraId="5146DF73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lang w:val="en-US"/>
              </w:rPr>
              <w:t>52 (86.7)</w:t>
            </w:r>
          </w:p>
        </w:tc>
        <w:tc>
          <w:tcPr>
            <w:tcW w:w="3544" w:type="dxa"/>
          </w:tcPr>
          <w:p w14:paraId="26F70E21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610DD8">
              <w:rPr>
                <w:lang w:val="en-US"/>
              </w:rPr>
              <w:t>14.4 (11.27</w:t>
            </w:r>
            <w:r w:rsidRPr="005F6BDF">
              <w:rPr>
                <w:lang w:val="en-US"/>
              </w:rPr>
              <w:t>–</w:t>
            </w:r>
            <w:r w:rsidRPr="00610DD8">
              <w:rPr>
                <w:lang w:val="en-US"/>
              </w:rPr>
              <w:t>18.63)</w:t>
            </w:r>
          </w:p>
        </w:tc>
      </w:tr>
    </w:tbl>
    <w:p w14:paraId="00639E3D" w14:textId="77777777" w:rsidR="00A51206" w:rsidRPr="005F6BDF" w:rsidRDefault="00A51206" w:rsidP="009E284D">
      <w:pPr>
        <w:spacing w:before="100" w:beforeAutospacing="1" w:after="100" w:afterAutospacing="1"/>
        <w:rPr>
          <w:lang w:val="en-US"/>
        </w:rPr>
      </w:pPr>
      <w:r w:rsidRPr="005F6BDF">
        <w:rPr>
          <w:lang w:val="en-US"/>
        </w:rPr>
        <w:t>CI, confidence interval</w:t>
      </w:r>
      <w:r>
        <w:rPr>
          <w:lang w:val="en-US"/>
        </w:rPr>
        <w:t xml:space="preserve">, ECOG, </w:t>
      </w:r>
      <w:r w:rsidRPr="00C26E43">
        <w:rPr>
          <w:lang w:val="en-US"/>
        </w:rPr>
        <w:t>Eastern Cooperative Oncology Group</w:t>
      </w:r>
      <w:r>
        <w:rPr>
          <w:lang w:val="en-US"/>
        </w:rPr>
        <w:t xml:space="preserve">; </w:t>
      </w:r>
      <w:r w:rsidRPr="005F6BDF">
        <w:rPr>
          <w:lang w:val="en-US"/>
        </w:rPr>
        <w:t>EGFR, epidermal growth factor receptor</w:t>
      </w:r>
      <w:r>
        <w:rPr>
          <w:lang w:val="en-US"/>
        </w:rPr>
        <w:t>.</w:t>
      </w:r>
      <w:r w:rsidRPr="005F6BDF">
        <w:rPr>
          <w:lang w:val="en-US"/>
        </w:rPr>
        <w:br w:type="page"/>
      </w:r>
    </w:p>
    <w:p w14:paraId="08BA4A61" w14:textId="77777777" w:rsidR="00A51206" w:rsidRPr="005F6BDF" w:rsidRDefault="00A51206" w:rsidP="009E284D">
      <w:pPr>
        <w:spacing w:before="100" w:beforeAutospacing="1" w:after="100" w:afterAutospacing="1"/>
        <w:rPr>
          <w:lang w:val="en-US"/>
        </w:rPr>
      </w:pPr>
      <w:r w:rsidRPr="005F6BDF">
        <w:rPr>
          <w:b/>
          <w:bCs/>
          <w:lang w:val="en-US"/>
        </w:rPr>
        <w:lastRenderedPageBreak/>
        <w:t>Supplementary Table 2.</w:t>
      </w:r>
      <w:r w:rsidRPr="005F6BDF">
        <w:rPr>
          <w:lang w:val="en-US"/>
        </w:rPr>
        <w:t xml:space="preserve"> </w:t>
      </w:r>
      <w:r w:rsidRPr="005F6BDF">
        <w:rPr>
          <w:b/>
          <w:bCs/>
          <w:lang w:val="en-US"/>
        </w:rPr>
        <w:t xml:space="preserve">Subgroup </w:t>
      </w:r>
      <w:r>
        <w:rPr>
          <w:b/>
          <w:bCs/>
          <w:lang w:val="en-US"/>
        </w:rPr>
        <w:t>a</w:t>
      </w:r>
      <w:r w:rsidRPr="005F6BDF">
        <w:rPr>
          <w:b/>
          <w:bCs/>
          <w:lang w:val="en-US"/>
        </w:rPr>
        <w:t xml:space="preserve">nalysis of </w:t>
      </w:r>
      <w:r>
        <w:rPr>
          <w:b/>
          <w:bCs/>
          <w:lang w:val="en-US"/>
        </w:rPr>
        <w:t>overall r</w:t>
      </w:r>
      <w:r w:rsidRPr="005F6BDF">
        <w:rPr>
          <w:b/>
          <w:bCs/>
          <w:lang w:val="en-US"/>
        </w:rPr>
        <w:t xml:space="preserve">esponse </w:t>
      </w:r>
      <w:r>
        <w:rPr>
          <w:b/>
          <w:bCs/>
          <w:lang w:val="en-US"/>
        </w:rPr>
        <w:t>r</w:t>
      </w:r>
      <w:r w:rsidRPr="005F6BDF">
        <w:rPr>
          <w:b/>
          <w:bCs/>
          <w:lang w:val="en-US"/>
        </w:rPr>
        <w:t>ate (ORR)</w:t>
      </w:r>
      <w:r>
        <w:rPr>
          <w:b/>
          <w:bCs/>
          <w:lang w:val="en-US"/>
        </w:rPr>
        <w:t xml:space="preserve"> and best overall response (BOR)</w:t>
      </w:r>
      <w:r w:rsidRPr="005F6BDF">
        <w:rPr>
          <w:b/>
          <w:bCs/>
          <w:lang w:val="en-US"/>
        </w:rPr>
        <w:t xml:space="preserve"> (N = 72)</w:t>
      </w:r>
    </w:p>
    <w:tbl>
      <w:tblPr>
        <w:tblW w:w="10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713"/>
        <w:gridCol w:w="70"/>
        <w:gridCol w:w="2346"/>
        <w:gridCol w:w="2410"/>
      </w:tblGrid>
      <w:tr w:rsidR="00A51206" w:rsidRPr="005F6BDF" w14:paraId="007BC618" w14:textId="77777777" w:rsidTr="009E284D">
        <w:trPr>
          <w:trHeight w:val="483"/>
          <w:jc w:val="center"/>
        </w:trPr>
        <w:tc>
          <w:tcPr>
            <w:tcW w:w="2547" w:type="dxa"/>
          </w:tcPr>
          <w:p w14:paraId="6DC411E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b/>
                <w:bCs/>
                <w:lang w:val="en-US"/>
              </w:rPr>
              <w:t>Subgroup</w:t>
            </w:r>
          </w:p>
        </w:tc>
        <w:tc>
          <w:tcPr>
            <w:tcW w:w="2783" w:type="dxa"/>
            <w:gridSpan w:val="2"/>
          </w:tcPr>
          <w:p w14:paraId="15EFA8A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b/>
                <w:bCs/>
                <w:lang w:val="en-US"/>
              </w:rPr>
              <w:t>Number of patients with CR + PR</w:t>
            </w:r>
          </w:p>
        </w:tc>
        <w:tc>
          <w:tcPr>
            <w:tcW w:w="2346" w:type="dxa"/>
          </w:tcPr>
          <w:p w14:paraId="2625957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b/>
                <w:bCs/>
                <w:lang w:val="en-US"/>
              </w:rPr>
            </w:pPr>
            <w:r w:rsidRPr="005F6BDF">
              <w:rPr>
                <w:b/>
                <w:bCs/>
                <w:lang w:val="en-US"/>
              </w:rPr>
              <w:t>Number of patients with BOR</w:t>
            </w:r>
          </w:p>
        </w:tc>
        <w:tc>
          <w:tcPr>
            <w:tcW w:w="2410" w:type="dxa"/>
          </w:tcPr>
          <w:p w14:paraId="0AE4A432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b/>
                <w:bCs/>
                <w:lang w:val="en-US"/>
              </w:rPr>
              <w:t>ORR (95% CI), %</w:t>
            </w:r>
          </w:p>
        </w:tc>
      </w:tr>
      <w:tr w:rsidR="00A51206" w:rsidRPr="005F6BDF" w14:paraId="56EF49FC" w14:textId="77777777" w:rsidTr="00AD2BE6">
        <w:trPr>
          <w:trHeight w:val="134"/>
          <w:jc w:val="center"/>
        </w:trPr>
        <w:tc>
          <w:tcPr>
            <w:tcW w:w="10086" w:type="dxa"/>
            <w:gridSpan w:val="5"/>
          </w:tcPr>
          <w:p w14:paraId="276B357A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Baseline age</w:t>
            </w:r>
          </w:p>
        </w:tc>
      </w:tr>
      <w:tr w:rsidR="00A51206" w:rsidRPr="005F6BDF" w14:paraId="263E0871" w14:textId="77777777" w:rsidTr="009E284D">
        <w:trPr>
          <w:trHeight w:val="134"/>
          <w:jc w:val="center"/>
        </w:trPr>
        <w:tc>
          <w:tcPr>
            <w:tcW w:w="2547" w:type="dxa"/>
          </w:tcPr>
          <w:p w14:paraId="34F6248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&lt;65 years (n = 39)</w:t>
            </w:r>
          </w:p>
        </w:tc>
        <w:tc>
          <w:tcPr>
            <w:tcW w:w="2783" w:type="dxa"/>
            <w:gridSpan w:val="2"/>
          </w:tcPr>
          <w:p w14:paraId="61E3EDE9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24</w:t>
            </w:r>
          </w:p>
        </w:tc>
        <w:tc>
          <w:tcPr>
            <w:tcW w:w="2346" w:type="dxa"/>
          </w:tcPr>
          <w:p w14:paraId="002AFD8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38</w:t>
            </w:r>
          </w:p>
        </w:tc>
        <w:tc>
          <w:tcPr>
            <w:tcW w:w="2410" w:type="dxa"/>
          </w:tcPr>
          <w:p w14:paraId="0C4DF85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63.2 (45.99–78.19)</w:t>
            </w:r>
          </w:p>
        </w:tc>
      </w:tr>
      <w:tr w:rsidR="00A51206" w:rsidRPr="005F6BDF" w14:paraId="1839AD95" w14:textId="77777777" w:rsidTr="009E284D">
        <w:trPr>
          <w:trHeight w:val="134"/>
          <w:jc w:val="center"/>
        </w:trPr>
        <w:tc>
          <w:tcPr>
            <w:tcW w:w="2547" w:type="dxa"/>
          </w:tcPr>
          <w:p w14:paraId="34D6942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≥65 years (n = 33)</w:t>
            </w:r>
          </w:p>
        </w:tc>
        <w:tc>
          <w:tcPr>
            <w:tcW w:w="2783" w:type="dxa"/>
            <w:gridSpan w:val="2"/>
          </w:tcPr>
          <w:p w14:paraId="26FFA20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29</w:t>
            </w:r>
          </w:p>
        </w:tc>
        <w:tc>
          <w:tcPr>
            <w:tcW w:w="2346" w:type="dxa"/>
          </w:tcPr>
          <w:p w14:paraId="37F8E684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29</w:t>
            </w:r>
          </w:p>
        </w:tc>
        <w:tc>
          <w:tcPr>
            <w:tcW w:w="2410" w:type="dxa"/>
          </w:tcPr>
          <w:p w14:paraId="62B0159A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62.1 (42.26–9.31)</w:t>
            </w:r>
          </w:p>
        </w:tc>
      </w:tr>
      <w:tr w:rsidR="00A51206" w:rsidRPr="005F6BDF" w14:paraId="59730EC0" w14:textId="77777777" w:rsidTr="00AD2BE6">
        <w:trPr>
          <w:trHeight w:val="249"/>
          <w:jc w:val="center"/>
        </w:trPr>
        <w:tc>
          <w:tcPr>
            <w:tcW w:w="10086" w:type="dxa"/>
            <w:gridSpan w:val="5"/>
          </w:tcPr>
          <w:p w14:paraId="77C4F189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Baseline ECOG status</w:t>
            </w:r>
          </w:p>
        </w:tc>
      </w:tr>
      <w:tr w:rsidR="00A51206" w:rsidRPr="005F6BDF" w14:paraId="31638A4A" w14:textId="77777777" w:rsidTr="009E284D">
        <w:trPr>
          <w:trHeight w:val="249"/>
          <w:jc w:val="center"/>
        </w:trPr>
        <w:tc>
          <w:tcPr>
            <w:tcW w:w="2547" w:type="dxa"/>
          </w:tcPr>
          <w:p w14:paraId="2E09D0D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≤1 (n = 66)</w:t>
            </w:r>
          </w:p>
        </w:tc>
        <w:tc>
          <w:tcPr>
            <w:tcW w:w="2713" w:type="dxa"/>
          </w:tcPr>
          <w:p w14:paraId="499E8474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38</w:t>
            </w:r>
          </w:p>
        </w:tc>
        <w:tc>
          <w:tcPr>
            <w:tcW w:w="2416" w:type="dxa"/>
            <w:gridSpan w:val="2"/>
          </w:tcPr>
          <w:p w14:paraId="614C2BA2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61</w:t>
            </w:r>
          </w:p>
        </w:tc>
        <w:tc>
          <w:tcPr>
            <w:tcW w:w="2410" w:type="dxa"/>
          </w:tcPr>
          <w:p w14:paraId="4232C95B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62.3 (48.96–74.39)</w:t>
            </w:r>
          </w:p>
        </w:tc>
      </w:tr>
      <w:tr w:rsidR="00A51206" w:rsidRPr="005F6BDF" w14:paraId="3B44AC37" w14:textId="77777777" w:rsidTr="00AD2BE6">
        <w:trPr>
          <w:trHeight w:val="249"/>
          <w:jc w:val="center"/>
        </w:trPr>
        <w:tc>
          <w:tcPr>
            <w:tcW w:w="10086" w:type="dxa"/>
            <w:gridSpan w:val="5"/>
          </w:tcPr>
          <w:p w14:paraId="52BD17BE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 xml:space="preserve">Baseline </w:t>
            </w:r>
            <w:r w:rsidRPr="005F6BDF">
              <w:rPr>
                <w:i/>
                <w:iCs/>
                <w:lang w:val="en-US"/>
              </w:rPr>
              <w:t>EGFR</w:t>
            </w:r>
            <w:r w:rsidRPr="005F6BDF">
              <w:rPr>
                <w:lang w:val="en-US"/>
              </w:rPr>
              <w:t xml:space="preserve"> mutation</w:t>
            </w:r>
          </w:p>
        </w:tc>
      </w:tr>
      <w:tr w:rsidR="00A51206" w:rsidRPr="005F6BDF" w14:paraId="3C0B76A9" w14:textId="77777777" w:rsidTr="009E284D">
        <w:trPr>
          <w:trHeight w:val="249"/>
          <w:jc w:val="center"/>
        </w:trPr>
        <w:tc>
          <w:tcPr>
            <w:tcW w:w="2547" w:type="dxa"/>
          </w:tcPr>
          <w:p w14:paraId="548F8BC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 xml:space="preserve">Common </w:t>
            </w:r>
            <w:r w:rsidRPr="005F6BDF">
              <w:rPr>
                <w:i/>
                <w:iCs/>
                <w:lang w:val="en-US"/>
              </w:rPr>
              <w:t xml:space="preserve">EGFR </w:t>
            </w:r>
            <w:r w:rsidRPr="005F6BDF">
              <w:rPr>
                <w:lang w:val="en-US"/>
              </w:rPr>
              <w:t>mutations (exon</w:t>
            </w:r>
            <w:r>
              <w:rPr>
                <w:lang w:val="en-US"/>
              </w:rPr>
              <w:t xml:space="preserve"> </w:t>
            </w:r>
            <w:r w:rsidRPr="005F6BDF">
              <w:rPr>
                <w:lang w:val="en-US"/>
              </w:rPr>
              <w:t>19 and/or L858R) (n = 59)</w:t>
            </w:r>
          </w:p>
        </w:tc>
        <w:tc>
          <w:tcPr>
            <w:tcW w:w="2783" w:type="dxa"/>
            <w:gridSpan w:val="2"/>
          </w:tcPr>
          <w:p w14:paraId="21F31EC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36</w:t>
            </w:r>
          </w:p>
        </w:tc>
        <w:tc>
          <w:tcPr>
            <w:tcW w:w="2346" w:type="dxa"/>
          </w:tcPr>
          <w:p w14:paraId="06F1647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55</w:t>
            </w:r>
          </w:p>
        </w:tc>
        <w:tc>
          <w:tcPr>
            <w:tcW w:w="2410" w:type="dxa"/>
          </w:tcPr>
          <w:p w14:paraId="75A7A901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65.5 (51.42–77.46)</w:t>
            </w:r>
          </w:p>
        </w:tc>
      </w:tr>
      <w:tr w:rsidR="00A51206" w:rsidRPr="005F6BDF" w14:paraId="34A5BB59" w14:textId="77777777" w:rsidTr="009E284D">
        <w:trPr>
          <w:trHeight w:val="249"/>
          <w:jc w:val="center"/>
        </w:trPr>
        <w:tc>
          <w:tcPr>
            <w:tcW w:w="2547" w:type="dxa"/>
          </w:tcPr>
          <w:p w14:paraId="1ED40F6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 xml:space="preserve">Uncommon: excluding common </w:t>
            </w:r>
            <w:r w:rsidRPr="005F6BDF">
              <w:rPr>
                <w:i/>
                <w:iCs/>
                <w:lang w:val="en-US"/>
              </w:rPr>
              <w:t xml:space="preserve">EGFR </w:t>
            </w:r>
            <w:r w:rsidRPr="005F6BDF">
              <w:rPr>
                <w:lang w:val="en-US"/>
              </w:rPr>
              <w:t>mutations (exon</w:t>
            </w:r>
            <w:r>
              <w:rPr>
                <w:lang w:val="en-US"/>
              </w:rPr>
              <w:t xml:space="preserve"> </w:t>
            </w:r>
            <w:r w:rsidRPr="005F6BDF">
              <w:rPr>
                <w:lang w:val="en-US"/>
              </w:rPr>
              <w:t>19 and/or L858R) (n = 13)</w:t>
            </w:r>
          </w:p>
        </w:tc>
        <w:tc>
          <w:tcPr>
            <w:tcW w:w="2783" w:type="dxa"/>
            <w:gridSpan w:val="2"/>
          </w:tcPr>
          <w:p w14:paraId="4860C73A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</w:t>
            </w:r>
          </w:p>
        </w:tc>
        <w:tc>
          <w:tcPr>
            <w:tcW w:w="2346" w:type="dxa"/>
          </w:tcPr>
          <w:p w14:paraId="43C7D4DC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12</w:t>
            </w:r>
          </w:p>
        </w:tc>
        <w:tc>
          <w:tcPr>
            <w:tcW w:w="2410" w:type="dxa"/>
          </w:tcPr>
          <w:p w14:paraId="643DDF20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50.0 (21.09–78.91)</w:t>
            </w:r>
          </w:p>
        </w:tc>
      </w:tr>
      <w:tr w:rsidR="00A51206" w:rsidRPr="005F6BDF" w14:paraId="3EFC2BAC" w14:textId="77777777" w:rsidTr="009E284D">
        <w:trPr>
          <w:trHeight w:val="249"/>
          <w:jc w:val="center"/>
        </w:trPr>
        <w:tc>
          <w:tcPr>
            <w:tcW w:w="2547" w:type="dxa"/>
          </w:tcPr>
          <w:p w14:paraId="55110E50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Uncommon: </w:t>
            </w:r>
            <w:r>
              <w:rPr>
                <w:lang w:val="en-US"/>
              </w:rPr>
              <w:t>e</w:t>
            </w:r>
            <w:r w:rsidRPr="005F6BDF">
              <w:rPr>
                <w:lang w:val="en-US"/>
              </w:rPr>
              <w:t xml:space="preserve">xcluding common </w:t>
            </w:r>
            <w:r w:rsidRPr="005F6BDF">
              <w:rPr>
                <w:i/>
                <w:iCs/>
                <w:lang w:val="en-US"/>
              </w:rPr>
              <w:t xml:space="preserve">EGFR </w:t>
            </w:r>
            <w:r w:rsidRPr="005F6BDF">
              <w:rPr>
                <w:lang w:val="en-US"/>
              </w:rPr>
              <w:t>mutations (exon</w:t>
            </w:r>
            <w:r>
              <w:rPr>
                <w:lang w:val="en-US"/>
              </w:rPr>
              <w:t xml:space="preserve"> </w:t>
            </w:r>
            <w:r w:rsidRPr="005F6BDF">
              <w:rPr>
                <w:lang w:val="en-US"/>
              </w:rPr>
              <w:t>19 and/or L858R)</w:t>
            </w:r>
            <w:r>
              <w:rPr>
                <w:rFonts w:hint="eastAsia"/>
                <w:lang w:val="en-US" w:eastAsia="zh-CN"/>
              </w:rPr>
              <w:t xml:space="preserve">, </w:t>
            </w:r>
            <w:r w:rsidRPr="005F6BDF">
              <w:rPr>
                <w:i/>
                <w:iCs/>
                <w:lang w:val="en-US"/>
              </w:rPr>
              <w:t xml:space="preserve">EGFR </w:t>
            </w:r>
            <w:r w:rsidRPr="005F6BDF">
              <w:rPr>
                <w:lang w:val="en-US"/>
              </w:rPr>
              <w:t>exon 20 insertions &amp; T790M mutations (n = 10)</w:t>
            </w:r>
          </w:p>
        </w:tc>
        <w:tc>
          <w:tcPr>
            <w:tcW w:w="2783" w:type="dxa"/>
            <w:gridSpan w:val="2"/>
          </w:tcPr>
          <w:p w14:paraId="0A5EE9C2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</w:t>
            </w:r>
          </w:p>
        </w:tc>
        <w:tc>
          <w:tcPr>
            <w:tcW w:w="2346" w:type="dxa"/>
          </w:tcPr>
          <w:p w14:paraId="763A7105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10</w:t>
            </w:r>
          </w:p>
        </w:tc>
        <w:tc>
          <w:tcPr>
            <w:tcW w:w="2410" w:type="dxa"/>
          </w:tcPr>
          <w:p w14:paraId="3B0EB9D6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50.0 (18.71–81.29)</w:t>
            </w:r>
          </w:p>
        </w:tc>
      </w:tr>
      <w:tr w:rsidR="00A51206" w:rsidRPr="005F6BDF" w14:paraId="66B85AAE" w14:textId="77777777" w:rsidTr="00AD2BE6">
        <w:trPr>
          <w:trHeight w:val="249"/>
          <w:jc w:val="center"/>
        </w:trPr>
        <w:tc>
          <w:tcPr>
            <w:tcW w:w="10086" w:type="dxa"/>
            <w:gridSpan w:val="5"/>
          </w:tcPr>
          <w:p w14:paraId="6B2432A9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Baseline starting dose</w:t>
            </w:r>
          </w:p>
        </w:tc>
      </w:tr>
      <w:tr w:rsidR="00A51206" w:rsidRPr="005F6BDF" w14:paraId="65DDA49D" w14:textId="77777777" w:rsidTr="009E284D">
        <w:trPr>
          <w:trHeight w:val="249"/>
          <w:jc w:val="center"/>
        </w:trPr>
        <w:tc>
          <w:tcPr>
            <w:tcW w:w="2547" w:type="dxa"/>
          </w:tcPr>
          <w:p w14:paraId="497BA498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30 mg (n = 27)</w:t>
            </w:r>
          </w:p>
        </w:tc>
        <w:tc>
          <w:tcPr>
            <w:tcW w:w="2783" w:type="dxa"/>
            <w:gridSpan w:val="2"/>
          </w:tcPr>
          <w:p w14:paraId="27663DD4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13</w:t>
            </w:r>
          </w:p>
        </w:tc>
        <w:tc>
          <w:tcPr>
            <w:tcW w:w="2346" w:type="dxa"/>
          </w:tcPr>
          <w:p w14:paraId="185EA2FE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24</w:t>
            </w:r>
          </w:p>
        </w:tc>
        <w:tc>
          <w:tcPr>
            <w:tcW w:w="2410" w:type="dxa"/>
          </w:tcPr>
          <w:p w14:paraId="019FADDD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54.2 (32.82–74.45)</w:t>
            </w:r>
          </w:p>
        </w:tc>
      </w:tr>
      <w:tr w:rsidR="00A51206" w:rsidRPr="005F6BDF" w14:paraId="53D13886" w14:textId="77777777" w:rsidTr="009E284D">
        <w:trPr>
          <w:trHeight w:val="249"/>
          <w:jc w:val="center"/>
        </w:trPr>
        <w:tc>
          <w:tcPr>
            <w:tcW w:w="2547" w:type="dxa"/>
          </w:tcPr>
          <w:p w14:paraId="0301171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40 mg (n = 45)</w:t>
            </w:r>
          </w:p>
        </w:tc>
        <w:tc>
          <w:tcPr>
            <w:tcW w:w="2783" w:type="dxa"/>
            <w:gridSpan w:val="2"/>
          </w:tcPr>
          <w:p w14:paraId="5BE0B768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29</w:t>
            </w:r>
          </w:p>
        </w:tc>
        <w:tc>
          <w:tcPr>
            <w:tcW w:w="2346" w:type="dxa"/>
          </w:tcPr>
          <w:p w14:paraId="56E904FF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43</w:t>
            </w:r>
          </w:p>
        </w:tc>
        <w:tc>
          <w:tcPr>
            <w:tcW w:w="2410" w:type="dxa"/>
          </w:tcPr>
          <w:p w14:paraId="447190EA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67.4 (51.46–80.92)</w:t>
            </w:r>
          </w:p>
        </w:tc>
      </w:tr>
      <w:tr w:rsidR="00A51206" w:rsidRPr="005F6BDF" w14:paraId="67EE23A4" w14:textId="77777777" w:rsidTr="00AD2BE6">
        <w:trPr>
          <w:trHeight w:val="249"/>
          <w:jc w:val="center"/>
        </w:trPr>
        <w:tc>
          <w:tcPr>
            <w:tcW w:w="10086" w:type="dxa"/>
            <w:gridSpan w:val="5"/>
          </w:tcPr>
          <w:p w14:paraId="1C724C84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Brain metastasis</w:t>
            </w:r>
          </w:p>
        </w:tc>
      </w:tr>
      <w:tr w:rsidR="00A51206" w:rsidRPr="005F6BDF" w14:paraId="61DD07BD" w14:textId="77777777" w:rsidTr="009E284D">
        <w:trPr>
          <w:trHeight w:val="249"/>
          <w:jc w:val="center"/>
        </w:trPr>
        <w:tc>
          <w:tcPr>
            <w:tcW w:w="2547" w:type="dxa"/>
          </w:tcPr>
          <w:p w14:paraId="35DA338E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With (n = 12)</w:t>
            </w:r>
          </w:p>
        </w:tc>
        <w:tc>
          <w:tcPr>
            <w:tcW w:w="2783" w:type="dxa"/>
            <w:gridSpan w:val="2"/>
          </w:tcPr>
          <w:p w14:paraId="0EF8946C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9</w:t>
            </w:r>
          </w:p>
        </w:tc>
        <w:tc>
          <w:tcPr>
            <w:tcW w:w="2346" w:type="dxa"/>
          </w:tcPr>
          <w:p w14:paraId="7162B1CC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12</w:t>
            </w:r>
          </w:p>
        </w:tc>
        <w:tc>
          <w:tcPr>
            <w:tcW w:w="2410" w:type="dxa"/>
          </w:tcPr>
          <w:p w14:paraId="724BD2A5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75.0 (42.81–94.51)</w:t>
            </w:r>
          </w:p>
        </w:tc>
      </w:tr>
      <w:tr w:rsidR="00A51206" w:rsidRPr="005F6BDF" w14:paraId="72842DEA" w14:textId="77777777" w:rsidTr="009E284D">
        <w:trPr>
          <w:trHeight w:val="249"/>
          <w:jc w:val="center"/>
        </w:trPr>
        <w:tc>
          <w:tcPr>
            <w:tcW w:w="2547" w:type="dxa"/>
          </w:tcPr>
          <w:p w14:paraId="777ECAFA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Without (n=60)</w:t>
            </w:r>
          </w:p>
        </w:tc>
        <w:tc>
          <w:tcPr>
            <w:tcW w:w="2783" w:type="dxa"/>
            <w:gridSpan w:val="2"/>
          </w:tcPr>
          <w:p w14:paraId="563DD98C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33</w:t>
            </w:r>
          </w:p>
        </w:tc>
        <w:tc>
          <w:tcPr>
            <w:tcW w:w="2346" w:type="dxa"/>
          </w:tcPr>
          <w:p w14:paraId="1DCFAC19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55</w:t>
            </w:r>
          </w:p>
        </w:tc>
        <w:tc>
          <w:tcPr>
            <w:tcW w:w="2410" w:type="dxa"/>
          </w:tcPr>
          <w:p w14:paraId="430A0590" w14:textId="77777777" w:rsidR="00A51206" w:rsidRPr="005F6BDF" w:rsidRDefault="00A51206" w:rsidP="009E284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5F6BDF">
              <w:rPr>
                <w:lang w:val="en-US"/>
              </w:rPr>
              <w:t>60.0 (45.91–72.98)</w:t>
            </w:r>
          </w:p>
        </w:tc>
      </w:tr>
    </w:tbl>
    <w:p w14:paraId="247A22F8" w14:textId="2F899985" w:rsidR="00A76B20" w:rsidRPr="00A51206" w:rsidRDefault="00A51206" w:rsidP="009E284D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BOR, best overall response; </w:t>
      </w:r>
      <w:r w:rsidRPr="005F6BDF">
        <w:rPr>
          <w:lang w:val="en-US"/>
        </w:rPr>
        <w:t>CI, confidence interval</w:t>
      </w:r>
      <w:r>
        <w:rPr>
          <w:lang w:val="en-US"/>
        </w:rPr>
        <w:t xml:space="preserve">, CR, complete response; ECOG, </w:t>
      </w:r>
      <w:r w:rsidRPr="00C26E43">
        <w:rPr>
          <w:lang w:val="en-US"/>
        </w:rPr>
        <w:t>Eastern Cooperative Oncology Group</w:t>
      </w:r>
      <w:r>
        <w:rPr>
          <w:lang w:val="en-US"/>
        </w:rPr>
        <w:t xml:space="preserve">; </w:t>
      </w:r>
      <w:r w:rsidRPr="005F6BDF">
        <w:rPr>
          <w:lang w:val="en-US"/>
        </w:rPr>
        <w:t>EGFR, epidermal growth factor receptor</w:t>
      </w:r>
      <w:r>
        <w:rPr>
          <w:lang w:val="en-US"/>
        </w:rPr>
        <w:t>; PR, partial response.</w:t>
      </w:r>
    </w:p>
    <w:sectPr w:rsidR="00A76B20" w:rsidRPr="00A51206" w:rsidSect="00A51206">
      <w:footerReference w:type="default" r:id="rId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419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FCAA5" w14:textId="77777777" w:rsidR="009E284D" w:rsidRDefault="009E28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DE0BA" w14:textId="77777777" w:rsidR="009E284D" w:rsidRDefault="009E284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06"/>
    <w:rsid w:val="009E284D"/>
    <w:rsid w:val="00A51206"/>
    <w:rsid w:val="00A76B20"/>
    <w:rsid w:val="00AF7CD1"/>
    <w:rsid w:val="00C4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7356"/>
  <w15:chartTrackingRefBased/>
  <w15:docId w15:val="{4054F444-C2FB-47E7-A8D5-3E3A2035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06"/>
    <w:pPr>
      <w:spacing w:after="0" w:line="360" w:lineRule="auto"/>
    </w:pPr>
    <w:rPr>
      <w:rFonts w:ascii="Times New Roman" w:eastAsia="SimSun" w:hAnsi="Times New Roman" w:cs="Times New Roman"/>
      <w:color w:val="212121"/>
      <w:kern w:val="0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2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NZ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NZ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NZ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NZ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NZ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NZ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NZ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0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NZ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0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lang w:val="en-NZ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NZ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0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120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206"/>
    <w:rPr>
      <w:rFonts w:ascii="Times New Roman" w:eastAsia="SimSun" w:hAnsi="Times New Roman" w:cs="Times New Roman"/>
      <w:color w:val="212121"/>
      <w:kern w:val="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Figgitt</dc:creator>
  <cp:keywords/>
  <dc:description/>
  <cp:lastModifiedBy>David Figgitt</cp:lastModifiedBy>
  <cp:revision>2</cp:revision>
  <dcterms:created xsi:type="dcterms:W3CDTF">2025-03-25T22:37:00Z</dcterms:created>
  <dcterms:modified xsi:type="dcterms:W3CDTF">2025-03-25T22:39:00Z</dcterms:modified>
</cp:coreProperties>
</file>