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A0DE1" w14:textId="77777777" w:rsidR="00C1522F" w:rsidRPr="001E76A3" w:rsidRDefault="00C1522F" w:rsidP="001B42EB">
      <w:pPr>
        <w:pStyle w:val="Titolo1"/>
        <w:spacing w:before="0" w:line="480" w:lineRule="auto"/>
        <w:rPr>
          <w:rFonts w:ascii="Arial" w:hAnsi="Arial" w:cs="Arial"/>
          <w:b/>
          <w:bCs/>
          <w:color w:val="auto"/>
          <w:sz w:val="20"/>
          <w:szCs w:val="20"/>
        </w:rPr>
      </w:pPr>
      <w:r w:rsidRPr="001E76A3">
        <w:rPr>
          <w:rFonts w:ascii="Arial" w:hAnsi="Arial" w:cs="Arial"/>
          <w:b/>
          <w:bCs/>
          <w:color w:val="auto"/>
          <w:sz w:val="20"/>
          <w:szCs w:val="20"/>
        </w:rPr>
        <w:t>SUPPLEMENTARY MATERIALS</w:t>
      </w:r>
    </w:p>
    <w:p w14:paraId="57B32A35" w14:textId="7F016310" w:rsidR="00C1522F" w:rsidRPr="001E76A3" w:rsidRDefault="00160915" w:rsidP="001B42EB">
      <w:pPr>
        <w:spacing w:line="480" w:lineRule="auto"/>
        <w:jc w:val="both"/>
        <w:rPr>
          <w:rFonts w:ascii="Arial" w:hAnsi="Arial"/>
          <w:b/>
          <w:bCs/>
          <w:sz w:val="20"/>
          <w:szCs w:val="20"/>
        </w:rPr>
      </w:pPr>
      <w:r w:rsidRPr="001E76A3">
        <w:rPr>
          <w:rFonts w:ascii="Arial" w:hAnsi="Arial"/>
          <w:b/>
          <w:bCs/>
          <w:sz w:val="20"/>
          <w:szCs w:val="20"/>
        </w:rPr>
        <w:t>Supplementary Methods</w:t>
      </w:r>
    </w:p>
    <w:p w14:paraId="16FD9E97" w14:textId="77777777" w:rsidR="00157274" w:rsidRPr="001E76A3" w:rsidRDefault="00157274" w:rsidP="001B42EB">
      <w:pPr>
        <w:spacing w:after="160" w:line="480" w:lineRule="auto"/>
        <w:jc w:val="both"/>
        <w:rPr>
          <w:rFonts w:ascii="Arial" w:eastAsia="Times New Roman" w:hAnsi="Arial"/>
          <w:color w:val="000000"/>
          <w:sz w:val="20"/>
          <w:szCs w:val="20"/>
          <w:shd w:val="clear" w:color="auto" w:fill="FFFFFF"/>
          <w:lang w:eastAsia="it-IT"/>
        </w:rPr>
      </w:pPr>
      <w:r w:rsidRPr="001E76A3">
        <w:rPr>
          <w:rFonts w:ascii="Arial" w:eastAsia="Times New Roman" w:hAnsi="Arial"/>
          <w:color w:val="000000"/>
          <w:sz w:val="20"/>
          <w:szCs w:val="20"/>
          <w:shd w:val="clear" w:color="auto" w:fill="FFFFFF"/>
          <w:lang w:eastAsia="it-IT"/>
        </w:rPr>
        <w:t>Systematic Literature Review (SLR)</w:t>
      </w:r>
    </w:p>
    <w:p w14:paraId="0F67194F" w14:textId="05909700"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color w:val="000000"/>
          <w:sz w:val="20"/>
          <w:szCs w:val="20"/>
          <w:shd w:val="clear" w:color="auto" w:fill="FFFFFF"/>
          <w:lang w:eastAsia="it-IT"/>
        </w:rPr>
        <w:t>PICOs</w:t>
      </w:r>
    </w:p>
    <w:p w14:paraId="0142AE51" w14:textId="1625C191"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P</w:t>
      </w:r>
      <w:r w:rsidRPr="001E76A3">
        <w:rPr>
          <w:rFonts w:ascii="Arial" w:eastAsia="Times New Roman" w:hAnsi="Arial"/>
          <w:color w:val="000000"/>
          <w:sz w:val="20"/>
          <w:szCs w:val="20"/>
          <w:shd w:val="clear" w:color="auto" w:fill="FFFFFF"/>
          <w:lang w:eastAsia="it-IT"/>
        </w:rPr>
        <w:t>: Population: patients with rheumatoid arthritis [clinical diagnosis, meeting ACR/EULAR 2010 classification criteria</w:t>
      </w:r>
      <w:r w:rsidR="009175EA" w:rsidRPr="001E76A3">
        <w:rPr>
          <w:rFonts w:ascii="Arial" w:eastAsia="Times New Roman" w:hAnsi="Arial"/>
          <w:color w:val="000000"/>
          <w:sz w:val="20"/>
          <w:szCs w:val="20"/>
          <w:shd w:val="clear" w:color="auto" w:fill="FFFFFF"/>
          <w:lang w:eastAsia="it-IT"/>
        </w:rPr>
        <w:fldChar w:fldCharType="begin"/>
      </w:r>
      <w:r w:rsidR="004D3E32" w:rsidRPr="001E76A3">
        <w:rPr>
          <w:rFonts w:ascii="Arial" w:eastAsia="Times New Roman" w:hAnsi="Arial"/>
          <w:color w:val="000000"/>
          <w:sz w:val="20"/>
          <w:szCs w:val="20"/>
          <w:shd w:val="clear" w:color="auto" w:fill="FFFFFF"/>
          <w:lang w:eastAsia="it-IT"/>
        </w:rPr>
        <w:instrText xml:space="preserve"> ADDIN ZOTERO_ITEM CSL_CITATION {"citationID":"fJcYzwyZ","properties":{"formattedCitation":"\\super 1\\nosupersub{}","plainCitation":"1","noteIndex":0},"citationItems":[{"id":76272,"uris":["http://zotero.org/users/7685920/items/K3QPWUT2"],"itemData":{"id":76272,"type":"article-journal","DOI":"10.1002/art.27584","language":"en","source":"onlinelibrary.wiley.com","title":"2010 Rheumatoid arthritis classification criteria: An American College of Rheumatology/European League Against Rheumatism collaborative initiative","title-short":"2010 Rheumatoid arthritis classification criteria","URL":"https://onlinelibrary.wiley.com/doi/10.1002/art.27584","author":[{"family":"Aletaha","given":"Daniel"},{"family":"Neogi","given":"Tuhina"},{"family":"Silman","given":"Alan J"}],"accessed":{"date-parts":[["2025",2,20]]}}}],"schema":"https://github.com/citation-style-language/schema/raw/master/csl-citation.json"} </w:instrText>
      </w:r>
      <w:r w:rsidR="009175EA" w:rsidRPr="001E76A3">
        <w:rPr>
          <w:rFonts w:ascii="Arial" w:eastAsia="Times New Roman" w:hAnsi="Arial"/>
          <w:color w:val="000000"/>
          <w:sz w:val="20"/>
          <w:szCs w:val="20"/>
          <w:shd w:val="clear" w:color="auto" w:fill="FFFFFF"/>
          <w:lang w:eastAsia="it-IT"/>
        </w:rPr>
        <w:fldChar w:fldCharType="separate"/>
      </w:r>
      <w:r w:rsidR="004D3E32" w:rsidRPr="001E76A3">
        <w:rPr>
          <w:rFonts w:ascii="Arial" w:hAnsi="Arial"/>
          <w:sz w:val="20"/>
          <w:szCs w:val="20"/>
          <w:vertAlign w:val="superscript"/>
        </w:rPr>
        <w:t>1</w:t>
      </w:r>
      <w:r w:rsidR="009175EA" w:rsidRPr="001E76A3">
        <w:rPr>
          <w:rFonts w:ascii="Arial" w:eastAsia="Times New Roman" w:hAnsi="Arial"/>
          <w:color w:val="000000"/>
          <w:sz w:val="20"/>
          <w:szCs w:val="20"/>
          <w:shd w:val="clear" w:color="auto" w:fill="FFFFFF"/>
          <w:lang w:eastAsia="it-IT"/>
        </w:rPr>
        <w:fldChar w:fldCharType="end"/>
      </w:r>
      <w:r w:rsidRPr="001E76A3">
        <w:rPr>
          <w:rFonts w:ascii="Arial" w:eastAsia="Times New Roman" w:hAnsi="Arial"/>
          <w:color w:val="000000"/>
          <w:sz w:val="20"/>
          <w:szCs w:val="20"/>
          <w:shd w:val="clear" w:color="auto" w:fill="FFFFFF"/>
          <w:lang w:eastAsia="it-IT"/>
        </w:rPr>
        <w:t xml:space="preserve"> or revised 1987 ACR criteria</w:t>
      </w:r>
      <w:r w:rsidR="009175EA" w:rsidRPr="001E76A3">
        <w:rPr>
          <w:rFonts w:ascii="Arial" w:eastAsia="Times New Roman" w:hAnsi="Arial"/>
          <w:color w:val="000000"/>
          <w:sz w:val="20"/>
          <w:szCs w:val="20"/>
          <w:shd w:val="clear" w:color="auto" w:fill="FFFFFF"/>
          <w:lang w:eastAsia="it-IT"/>
        </w:rPr>
        <w:fldChar w:fldCharType="begin"/>
      </w:r>
      <w:r w:rsidR="004D3E32" w:rsidRPr="001E76A3">
        <w:rPr>
          <w:rFonts w:ascii="Arial" w:eastAsia="Times New Roman" w:hAnsi="Arial"/>
          <w:color w:val="000000"/>
          <w:sz w:val="20"/>
          <w:szCs w:val="20"/>
          <w:shd w:val="clear" w:color="auto" w:fill="FFFFFF"/>
          <w:lang w:eastAsia="it-IT"/>
        </w:rPr>
        <w:instrText xml:space="preserve"> ADDIN ZOTERO_ITEM CSL_CITATION {"citationID":"XljyS5oD","properties":{"formattedCitation":"\\super 2\\nosupersub{}","plainCitation":"2","noteIndex":0},"citationItems":[{"id":76367,"uris":["http://zotero.org/users/7685920/items/IUHCGL8V"],"itemData":{"id":76367,"type":"article-journal","abstract":"The revised criteria for the classification of rheumatoid arthritis (RA) were formulated from a computerized analysis of 262 contemporary, consecutively studied patients with RA and 262 control subjects with rheumatic diseases other than RA (non-RA). The new criteria are as follows: 1) morning stiffness in and around joints lasting at least 1 hour before maximal improvement; 2) soft tissue swelling (arthritis) of 3 or more joint areas observed by a physician; 3) swelling (arthritis) of the proximal interphalangeal, metacarpophalangeal, or wrist joints; 4) symmetric swelling (arthritis); 5) rheumatoid nodules; 6) the presence of rheumatoid factor; and 7) radiographic erosions and/or periarticular osteopenia in hand and/or wrist joints. Criteria 1 through 4 must have been present for at least 6 weeks. Rheumatoid arthritis is defined by the presence of 4 or more criteria, and no further qualifications (classic, definite, or probable) or list of exclusions are required. In addition, a \"classification tree\" schema is presented which performs equally as well as the traditional (4 of 7) format. The new criteria demonstrated 91-94% sensitivity and 89% specificity for RA when compared with non-RA rheumatic disease control subjects.","container-title":"Arthritis and Rheumatism","DOI":"10.1002/art.1780310302","ISSN":"0004-3591","issue":"3","journalAbbreviation":"Arthritis Rheum","language":"eng","note":"PMID: 3358796","page":"315-324","source":"PubMed","title":"The American Rheumatism Association 1987 revised criteria for the classification of rheumatoid arthritis","volume":"31","author":[{"family":"Arnett","given":"F. C."},{"family":"Edworthy","given":"S. M."},{"family":"Bloch","given":"D. A."},{"family":"McShane","given":"D. J."},{"family":"Fries","given":"J. F."},{"family":"Cooper","given":"N. S."},{"family":"Healey","given":"L. A."},{"family":"Kaplan","given":"S. R."},{"family":"Liang","given":"M. H."},{"family":"Luthra","given":"H. S."}],"issued":{"date-parts":[["1988",3]]}}}],"schema":"https://github.com/citation-style-language/schema/raw/master/csl-citation.json"} </w:instrText>
      </w:r>
      <w:r w:rsidR="009175EA" w:rsidRPr="001E76A3">
        <w:rPr>
          <w:rFonts w:ascii="Arial" w:eastAsia="Times New Roman" w:hAnsi="Arial"/>
          <w:color w:val="000000"/>
          <w:sz w:val="20"/>
          <w:szCs w:val="20"/>
          <w:shd w:val="clear" w:color="auto" w:fill="FFFFFF"/>
          <w:lang w:eastAsia="it-IT"/>
        </w:rPr>
        <w:fldChar w:fldCharType="separate"/>
      </w:r>
      <w:r w:rsidR="004D3E32" w:rsidRPr="001E76A3">
        <w:rPr>
          <w:rFonts w:ascii="Arial" w:hAnsi="Arial"/>
          <w:sz w:val="20"/>
          <w:szCs w:val="20"/>
          <w:vertAlign w:val="superscript"/>
        </w:rPr>
        <w:t>2</w:t>
      </w:r>
      <w:r w:rsidR="009175EA" w:rsidRPr="001E76A3">
        <w:rPr>
          <w:rFonts w:ascii="Arial" w:eastAsia="Times New Roman" w:hAnsi="Arial"/>
          <w:color w:val="000000"/>
          <w:sz w:val="20"/>
          <w:szCs w:val="20"/>
          <w:shd w:val="clear" w:color="auto" w:fill="FFFFFF"/>
          <w:lang w:eastAsia="it-IT"/>
        </w:rPr>
        <w:fldChar w:fldCharType="end"/>
      </w:r>
      <w:r w:rsidRPr="001E76A3">
        <w:rPr>
          <w:rFonts w:ascii="Arial" w:eastAsia="Times New Roman" w:hAnsi="Arial"/>
          <w:color w:val="000000"/>
          <w:sz w:val="20"/>
          <w:szCs w:val="20"/>
          <w:shd w:val="clear" w:color="auto" w:fill="FFFFFF"/>
          <w:lang w:eastAsia="it-IT"/>
        </w:rPr>
        <w:t>] in treatment with intravenous tocilizumab </w:t>
      </w:r>
    </w:p>
    <w:p w14:paraId="7625F8E5"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I</w:t>
      </w:r>
      <w:r w:rsidRPr="001E76A3">
        <w:rPr>
          <w:rFonts w:ascii="Arial" w:eastAsia="Times New Roman" w:hAnsi="Arial"/>
          <w:color w:val="000000"/>
          <w:sz w:val="20"/>
          <w:szCs w:val="20"/>
          <w:shd w:val="clear" w:color="auto" w:fill="FFFFFF"/>
          <w:lang w:eastAsia="it-IT"/>
        </w:rPr>
        <w:t>: Intervention: Switching from intravenous to subcutaneous tocilizumab </w:t>
      </w:r>
    </w:p>
    <w:p w14:paraId="29CA4E1F" w14:textId="0DBA737D"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C: </w:t>
      </w:r>
      <w:r w:rsidR="00C75A05" w:rsidRPr="001E76A3">
        <w:rPr>
          <w:rFonts w:ascii="Arial" w:eastAsia="Times New Roman" w:hAnsi="Arial"/>
          <w:b/>
          <w:bCs/>
          <w:color w:val="000000"/>
          <w:sz w:val="20"/>
          <w:szCs w:val="20"/>
          <w:shd w:val="clear" w:color="auto" w:fill="FFFFFF"/>
          <w:lang w:eastAsia="it-IT"/>
        </w:rPr>
        <w:t>-</w:t>
      </w:r>
    </w:p>
    <w:p w14:paraId="5123D40D"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O</w:t>
      </w:r>
      <w:r w:rsidRPr="001E76A3">
        <w:rPr>
          <w:rFonts w:ascii="Arial" w:eastAsia="Times New Roman" w:hAnsi="Arial"/>
          <w:color w:val="000000"/>
          <w:sz w:val="20"/>
          <w:szCs w:val="20"/>
          <w:shd w:val="clear" w:color="auto" w:fill="FFFFFF"/>
          <w:lang w:eastAsia="it-IT"/>
        </w:rPr>
        <w:t>: Outcome: retention rate, efficacy and safety of subcutaneous tocilizumab during follow up</w:t>
      </w:r>
    </w:p>
    <w:p w14:paraId="668AD9ED"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S</w:t>
      </w:r>
      <w:r w:rsidRPr="001E76A3">
        <w:rPr>
          <w:rFonts w:ascii="Arial" w:eastAsia="Times New Roman" w:hAnsi="Arial"/>
          <w:color w:val="000000"/>
          <w:sz w:val="20"/>
          <w:szCs w:val="20"/>
          <w:shd w:val="clear" w:color="auto" w:fill="FFFFFF"/>
          <w:lang w:eastAsia="it-IT"/>
        </w:rPr>
        <w:t>: Study design: Systematic literature reviews, meta-analyses, RCTs, controlled trials, non-controlled trials, cohort studies, cross-sectional studies, case-control studies, case series.</w:t>
      </w:r>
    </w:p>
    <w:p w14:paraId="77D745D1" w14:textId="77777777" w:rsidR="00C1522F" w:rsidRPr="001E76A3" w:rsidRDefault="00C1522F" w:rsidP="001B42EB">
      <w:pPr>
        <w:spacing w:after="240" w:line="480" w:lineRule="auto"/>
        <w:rPr>
          <w:rFonts w:ascii="Arial" w:eastAsia="Times New Roman" w:hAnsi="Arial"/>
          <w:sz w:val="20"/>
          <w:szCs w:val="20"/>
          <w:lang w:eastAsia="it-IT"/>
        </w:rPr>
      </w:pPr>
    </w:p>
    <w:p w14:paraId="189E5246" w14:textId="01C9802C"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lang w:eastAsia="it-IT"/>
        </w:rPr>
        <w:t>P</w:t>
      </w:r>
      <w:r w:rsidRPr="001E76A3">
        <w:rPr>
          <w:rFonts w:ascii="Arial" w:eastAsia="Times New Roman" w:hAnsi="Arial"/>
          <w:color w:val="000000"/>
          <w:sz w:val="20"/>
          <w:szCs w:val="20"/>
          <w:lang w:eastAsia="it-IT"/>
        </w:rPr>
        <w:t xml:space="preserve">: </w:t>
      </w:r>
      <w:r w:rsidRPr="001E76A3">
        <w:rPr>
          <w:rFonts w:ascii="Arial" w:eastAsia="Times New Roman" w:hAnsi="Arial"/>
          <w:color w:val="000000"/>
          <w:sz w:val="20"/>
          <w:szCs w:val="20"/>
          <w:shd w:val="clear" w:color="auto" w:fill="FFFFFF"/>
          <w:lang w:eastAsia="it-IT"/>
        </w:rPr>
        <w:t>Population: patients with rheumatoid arthritis [clinical diagnosis, meeting ACR/EULAR 2010</w:t>
      </w:r>
      <w:r w:rsidR="009175EA" w:rsidRPr="001E76A3">
        <w:rPr>
          <w:rFonts w:ascii="Arial" w:eastAsia="Times New Roman" w:hAnsi="Arial"/>
          <w:color w:val="000000"/>
          <w:sz w:val="20"/>
          <w:szCs w:val="20"/>
          <w:shd w:val="clear" w:color="auto" w:fill="FFFFFF"/>
          <w:lang w:eastAsia="it-IT"/>
        </w:rPr>
        <w:t xml:space="preserve"> (1)</w:t>
      </w:r>
      <w:r w:rsidRPr="001E76A3">
        <w:rPr>
          <w:rFonts w:ascii="Arial" w:eastAsia="Times New Roman" w:hAnsi="Arial"/>
          <w:color w:val="000000"/>
          <w:sz w:val="20"/>
          <w:szCs w:val="20"/>
          <w:shd w:val="clear" w:color="auto" w:fill="FFFFFF"/>
          <w:lang w:eastAsia="it-IT"/>
        </w:rPr>
        <w:t xml:space="preserve"> classification criteria or revised 1987 ACR criteria</w:t>
      </w:r>
      <w:r w:rsidR="009175EA" w:rsidRPr="001E76A3">
        <w:rPr>
          <w:rFonts w:ascii="Arial" w:eastAsia="Times New Roman" w:hAnsi="Arial"/>
          <w:color w:val="000000"/>
          <w:sz w:val="20"/>
          <w:szCs w:val="20"/>
          <w:shd w:val="clear" w:color="auto" w:fill="FFFFFF"/>
          <w:lang w:eastAsia="it-IT"/>
        </w:rPr>
        <w:t xml:space="preserve"> (2)</w:t>
      </w:r>
      <w:r w:rsidRPr="001E76A3">
        <w:rPr>
          <w:rFonts w:ascii="Arial" w:eastAsia="Times New Roman" w:hAnsi="Arial"/>
          <w:color w:val="000000"/>
          <w:sz w:val="20"/>
          <w:szCs w:val="20"/>
          <w:shd w:val="clear" w:color="auto" w:fill="FFFFFF"/>
          <w:lang w:eastAsia="it-IT"/>
        </w:rPr>
        <w:t>] in treatment with intravenous tocilizumab</w:t>
      </w:r>
    </w:p>
    <w:p w14:paraId="0CC6F7E9"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I</w:t>
      </w:r>
      <w:r w:rsidRPr="001E76A3">
        <w:rPr>
          <w:rFonts w:ascii="Arial" w:eastAsia="Times New Roman" w:hAnsi="Arial"/>
          <w:color w:val="000000"/>
          <w:sz w:val="20"/>
          <w:szCs w:val="20"/>
          <w:shd w:val="clear" w:color="auto" w:fill="FFFFFF"/>
          <w:lang w:eastAsia="it-IT"/>
        </w:rPr>
        <w:t>: Intervention: Switching from intravenous to subcutaneous tocilizumab </w:t>
      </w:r>
    </w:p>
    <w:p w14:paraId="48216D20"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C</w:t>
      </w:r>
      <w:r w:rsidRPr="001E76A3">
        <w:rPr>
          <w:rFonts w:ascii="Arial" w:eastAsia="Times New Roman" w:hAnsi="Arial"/>
          <w:color w:val="000000"/>
          <w:sz w:val="20"/>
          <w:szCs w:val="20"/>
          <w:shd w:val="clear" w:color="auto" w:fill="FFFFFF"/>
          <w:lang w:eastAsia="it-IT"/>
        </w:rPr>
        <w:t>: Control: Going on with intravenous tocilizumab</w:t>
      </w:r>
    </w:p>
    <w:p w14:paraId="45644967"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O</w:t>
      </w:r>
      <w:r w:rsidRPr="001E76A3">
        <w:rPr>
          <w:rFonts w:ascii="Arial" w:eastAsia="Times New Roman" w:hAnsi="Arial"/>
          <w:color w:val="000000"/>
          <w:sz w:val="20"/>
          <w:szCs w:val="20"/>
          <w:shd w:val="clear" w:color="auto" w:fill="FFFFFF"/>
          <w:lang w:eastAsia="it-IT"/>
        </w:rPr>
        <w:t xml:space="preserve">: Outcome: number of patients gaining/maintaining remission or low disease activity (according to </w:t>
      </w:r>
      <w:proofErr w:type="spellStart"/>
      <w:r w:rsidRPr="001E76A3">
        <w:rPr>
          <w:rFonts w:ascii="Arial" w:eastAsia="Times New Roman" w:hAnsi="Arial"/>
          <w:color w:val="000000"/>
          <w:sz w:val="20"/>
          <w:szCs w:val="20"/>
          <w:shd w:val="clear" w:color="auto" w:fill="FFFFFF"/>
          <w:lang w:eastAsia="it-IT"/>
        </w:rPr>
        <w:t>clinimetric</w:t>
      </w:r>
      <w:proofErr w:type="spellEnd"/>
      <w:r w:rsidRPr="001E76A3">
        <w:rPr>
          <w:rFonts w:ascii="Arial" w:eastAsia="Times New Roman" w:hAnsi="Arial"/>
          <w:color w:val="000000"/>
          <w:sz w:val="20"/>
          <w:szCs w:val="20"/>
          <w:shd w:val="clear" w:color="auto" w:fill="FFFFFF"/>
          <w:lang w:eastAsia="it-IT"/>
        </w:rPr>
        <w:t xml:space="preserve"> tools) during follow up.</w:t>
      </w:r>
    </w:p>
    <w:p w14:paraId="3360DA06" w14:textId="77777777" w:rsidR="00C1522F" w:rsidRPr="001E76A3" w:rsidRDefault="00C1522F" w:rsidP="001B42EB">
      <w:pPr>
        <w:spacing w:after="160"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S</w:t>
      </w:r>
      <w:r w:rsidRPr="001E76A3">
        <w:rPr>
          <w:rFonts w:ascii="Arial" w:eastAsia="Times New Roman" w:hAnsi="Arial"/>
          <w:color w:val="000000"/>
          <w:sz w:val="20"/>
          <w:szCs w:val="20"/>
          <w:shd w:val="clear" w:color="auto" w:fill="FFFFFF"/>
          <w:lang w:eastAsia="it-IT"/>
        </w:rPr>
        <w:t>: Study design: Systematic literature reviews, meta-analyses, RCTs, controlled trials, non-controlled trials, cohort studies, cross-sectional studies, case-control studies, case series.</w:t>
      </w:r>
    </w:p>
    <w:p w14:paraId="2598D759" w14:textId="77777777" w:rsidR="00C1522F" w:rsidRPr="001E76A3" w:rsidRDefault="00C1522F" w:rsidP="001B42EB">
      <w:pPr>
        <w:shd w:val="clear" w:color="auto" w:fill="FFFFFF"/>
        <w:spacing w:line="480" w:lineRule="auto"/>
        <w:jc w:val="both"/>
        <w:rPr>
          <w:rFonts w:ascii="Arial" w:eastAsia="Times New Roman" w:hAnsi="Arial"/>
          <w:b/>
          <w:bCs/>
          <w:color w:val="000000"/>
          <w:sz w:val="20"/>
          <w:szCs w:val="20"/>
          <w:shd w:val="clear" w:color="auto" w:fill="FFFFFF"/>
          <w:lang w:eastAsia="it-IT"/>
        </w:rPr>
      </w:pPr>
    </w:p>
    <w:p w14:paraId="738A2987" w14:textId="508A2471" w:rsidR="00C1522F" w:rsidRPr="001E76A3" w:rsidRDefault="00C1522F" w:rsidP="001B42EB">
      <w:pPr>
        <w:shd w:val="clear" w:color="auto" w:fill="FFFFFF"/>
        <w:spacing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P</w:t>
      </w:r>
      <w:r w:rsidRPr="001E76A3">
        <w:rPr>
          <w:rFonts w:ascii="Arial" w:eastAsia="Times New Roman" w:hAnsi="Arial"/>
          <w:color w:val="000000"/>
          <w:sz w:val="20"/>
          <w:szCs w:val="20"/>
          <w:shd w:val="clear" w:color="auto" w:fill="FFFFFF"/>
          <w:lang w:eastAsia="it-IT"/>
        </w:rPr>
        <w:t xml:space="preserve">: Population: patients with rheumatoid arthritis [clinical diagnosis, meeting ACR/EULAR 2010 classification criteria </w:t>
      </w:r>
      <w:r w:rsidR="00267A4C" w:rsidRPr="001E76A3">
        <w:rPr>
          <w:rFonts w:ascii="Arial" w:eastAsia="Times New Roman" w:hAnsi="Arial"/>
          <w:color w:val="000000"/>
          <w:sz w:val="20"/>
          <w:szCs w:val="20"/>
          <w:shd w:val="clear" w:color="auto" w:fill="FFFFFF"/>
          <w:lang w:eastAsia="it-IT"/>
        </w:rPr>
        <w:t xml:space="preserve">(1) </w:t>
      </w:r>
      <w:r w:rsidRPr="001E76A3">
        <w:rPr>
          <w:rFonts w:ascii="Arial" w:eastAsia="Times New Roman" w:hAnsi="Arial"/>
          <w:color w:val="000000"/>
          <w:sz w:val="20"/>
          <w:szCs w:val="20"/>
          <w:shd w:val="clear" w:color="auto" w:fill="FFFFFF"/>
          <w:lang w:eastAsia="it-IT"/>
        </w:rPr>
        <w:t>or revised 1987 ACR criteria</w:t>
      </w:r>
      <w:r w:rsidR="00267A4C" w:rsidRPr="001E76A3">
        <w:rPr>
          <w:rFonts w:ascii="Arial" w:eastAsia="Times New Roman" w:hAnsi="Arial"/>
          <w:color w:val="000000"/>
          <w:sz w:val="20"/>
          <w:szCs w:val="20"/>
          <w:shd w:val="clear" w:color="auto" w:fill="FFFFFF"/>
          <w:lang w:eastAsia="it-IT"/>
        </w:rPr>
        <w:t xml:space="preserve"> (2)</w:t>
      </w:r>
      <w:r w:rsidRPr="001E76A3">
        <w:rPr>
          <w:rFonts w:ascii="Arial" w:eastAsia="Times New Roman" w:hAnsi="Arial"/>
          <w:color w:val="000000"/>
          <w:sz w:val="20"/>
          <w:szCs w:val="20"/>
          <w:shd w:val="clear" w:color="auto" w:fill="FFFFFF"/>
          <w:lang w:eastAsia="it-IT"/>
        </w:rPr>
        <w:t>] in treatment with intravenous tocilizumab </w:t>
      </w:r>
    </w:p>
    <w:p w14:paraId="166802BA" w14:textId="77777777" w:rsidR="00C1522F" w:rsidRPr="001E76A3" w:rsidRDefault="00C1522F" w:rsidP="001B42EB">
      <w:pPr>
        <w:shd w:val="clear" w:color="auto" w:fill="FFFFFF"/>
        <w:spacing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I</w:t>
      </w:r>
      <w:r w:rsidRPr="001E76A3">
        <w:rPr>
          <w:rFonts w:ascii="Arial" w:eastAsia="Times New Roman" w:hAnsi="Arial"/>
          <w:color w:val="000000"/>
          <w:sz w:val="20"/>
          <w:szCs w:val="20"/>
          <w:shd w:val="clear" w:color="auto" w:fill="FFFFFF"/>
          <w:lang w:eastAsia="it-IT"/>
        </w:rPr>
        <w:t>: Intervention: Switching from intravenous to subcutaneous tocilizumab </w:t>
      </w:r>
    </w:p>
    <w:p w14:paraId="2F3D5597" w14:textId="7DD90C95" w:rsidR="00C1522F" w:rsidRPr="001E76A3" w:rsidRDefault="00C1522F" w:rsidP="001B42EB">
      <w:pPr>
        <w:shd w:val="clear" w:color="auto" w:fill="FFFFFF"/>
        <w:spacing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C: </w:t>
      </w:r>
      <w:r w:rsidR="00C75A05" w:rsidRPr="001E76A3">
        <w:rPr>
          <w:rFonts w:ascii="Arial" w:eastAsia="Times New Roman" w:hAnsi="Arial"/>
          <w:b/>
          <w:bCs/>
          <w:color w:val="000000"/>
          <w:sz w:val="20"/>
          <w:szCs w:val="20"/>
          <w:shd w:val="clear" w:color="auto" w:fill="FFFFFF"/>
          <w:lang w:eastAsia="it-IT"/>
        </w:rPr>
        <w:t>-</w:t>
      </w:r>
    </w:p>
    <w:p w14:paraId="5F094849" w14:textId="77777777" w:rsidR="00C1522F" w:rsidRPr="001E76A3" w:rsidRDefault="00C1522F" w:rsidP="001B42EB">
      <w:pPr>
        <w:shd w:val="clear" w:color="auto" w:fill="FFFFFF"/>
        <w:spacing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lastRenderedPageBreak/>
        <w:t>O</w:t>
      </w:r>
      <w:r w:rsidRPr="001E76A3">
        <w:rPr>
          <w:rFonts w:ascii="Arial" w:eastAsia="Times New Roman" w:hAnsi="Arial"/>
          <w:color w:val="000000"/>
          <w:sz w:val="20"/>
          <w:szCs w:val="20"/>
          <w:shd w:val="clear" w:color="auto" w:fill="FFFFFF"/>
          <w:lang w:eastAsia="it-IT"/>
        </w:rPr>
        <w:t>: Outcome: efficacy of returning to intravenous formulation in those patients experiencing a disease flare after switching to subcutaneous tocilizumab</w:t>
      </w:r>
    </w:p>
    <w:p w14:paraId="02270ED6" w14:textId="77777777" w:rsidR="00C1522F" w:rsidRPr="001E76A3" w:rsidRDefault="00C1522F" w:rsidP="001B42EB">
      <w:pPr>
        <w:shd w:val="clear" w:color="auto" w:fill="FFFFFF"/>
        <w:spacing w:line="480" w:lineRule="auto"/>
        <w:jc w:val="both"/>
        <w:rPr>
          <w:rFonts w:ascii="Arial" w:eastAsia="Times New Roman" w:hAnsi="Arial"/>
          <w:sz w:val="20"/>
          <w:szCs w:val="20"/>
          <w:lang w:eastAsia="it-IT"/>
        </w:rPr>
      </w:pPr>
      <w:r w:rsidRPr="001E76A3">
        <w:rPr>
          <w:rFonts w:ascii="Arial" w:eastAsia="Times New Roman" w:hAnsi="Arial"/>
          <w:b/>
          <w:bCs/>
          <w:color w:val="000000"/>
          <w:sz w:val="20"/>
          <w:szCs w:val="20"/>
          <w:shd w:val="clear" w:color="auto" w:fill="FFFFFF"/>
          <w:lang w:eastAsia="it-IT"/>
        </w:rPr>
        <w:t>S</w:t>
      </w:r>
      <w:r w:rsidRPr="001E76A3">
        <w:rPr>
          <w:rFonts w:ascii="Arial" w:eastAsia="Times New Roman" w:hAnsi="Arial"/>
          <w:color w:val="000000"/>
          <w:sz w:val="20"/>
          <w:szCs w:val="20"/>
          <w:shd w:val="clear" w:color="auto" w:fill="FFFFFF"/>
          <w:lang w:eastAsia="it-IT"/>
        </w:rPr>
        <w:t>: Study design: Systematic literature reviews, meta-analyses, RCTs, controlled trials, non-controlled trials, cohort studies, cross-sectional studies, case-control studies, case series.</w:t>
      </w:r>
    </w:p>
    <w:p w14:paraId="2F70D3F4" w14:textId="77777777" w:rsidR="00C1522F" w:rsidRPr="001E76A3" w:rsidRDefault="00C1522F" w:rsidP="001B42EB">
      <w:pPr>
        <w:spacing w:line="480" w:lineRule="auto"/>
        <w:jc w:val="both"/>
        <w:rPr>
          <w:rFonts w:ascii="Arial" w:hAnsi="Arial"/>
          <w:b/>
          <w:bCs/>
          <w:sz w:val="20"/>
          <w:szCs w:val="20"/>
        </w:rPr>
      </w:pPr>
    </w:p>
    <w:p w14:paraId="167FF191" w14:textId="78881BCB" w:rsidR="00C1522F" w:rsidRPr="001E76A3" w:rsidRDefault="00E877A4" w:rsidP="001B42EB">
      <w:pPr>
        <w:spacing w:line="480" w:lineRule="auto"/>
        <w:jc w:val="both"/>
        <w:rPr>
          <w:rFonts w:ascii="Arial" w:hAnsi="Arial"/>
          <w:b/>
          <w:bCs/>
          <w:sz w:val="20"/>
          <w:szCs w:val="20"/>
        </w:rPr>
      </w:pPr>
      <w:r w:rsidRPr="001E76A3">
        <w:rPr>
          <w:rFonts w:ascii="Arial" w:hAnsi="Arial"/>
          <w:b/>
          <w:bCs/>
          <w:sz w:val="20"/>
          <w:szCs w:val="20"/>
        </w:rPr>
        <w:t>Keywords</w:t>
      </w:r>
    </w:p>
    <w:p w14:paraId="03F64120" w14:textId="48E59440" w:rsidR="00E877A4" w:rsidRPr="001E76A3" w:rsidRDefault="00E877A4" w:rsidP="001B42EB">
      <w:pPr>
        <w:spacing w:line="480" w:lineRule="auto"/>
        <w:jc w:val="both"/>
        <w:rPr>
          <w:rFonts w:ascii="Arial" w:hAnsi="Arial"/>
          <w:b/>
          <w:bCs/>
          <w:sz w:val="20"/>
          <w:szCs w:val="20"/>
        </w:rPr>
      </w:pPr>
      <w:r w:rsidRPr="005D0757">
        <w:rPr>
          <w:rFonts w:ascii="Arial" w:hAnsi="Arial"/>
          <w:sz w:val="20"/>
          <w:szCs w:val="20"/>
        </w:rPr>
        <w:t>‘</w:t>
      </w:r>
      <w:r w:rsidR="00DA5F4C" w:rsidRPr="005D0757">
        <w:rPr>
          <w:rFonts w:ascii="Arial" w:hAnsi="Arial"/>
          <w:sz w:val="20"/>
          <w:szCs w:val="20"/>
        </w:rPr>
        <w:t>Rheumatoid</w:t>
      </w:r>
      <w:r w:rsidRPr="005D0757">
        <w:rPr>
          <w:rFonts w:ascii="Arial" w:hAnsi="Arial"/>
          <w:sz w:val="20"/>
          <w:szCs w:val="20"/>
        </w:rPr>
        <w:t xml:space="preserve"> arthritis’, ‘intravenous tocilizumab</w:t>
      </w:r>
      <w:proofErr w:type="gramStart"/>
      <w:r w:rsidRPr="005D0757">
        <w:rPr>
          <w:rFonts w:ascii="Arial" w:hAnsi="Arial"/>
          <w:sz w:val="20"/>
          <w:szCs w:val="20"/>
        </w:rPr>
        <w:t>’, ‘</w:t>
      </w:r>
      <w:proofErr w:type="gramEnd"/>
      <w:r w:rsidRPr="005D0757">
        <w:rPr>
          <w:rFonts w:ascii="Arial" w:hAnsi="Arial"/>
          <w:sz w:val="20"/>
          <w:szCs w:val="20"/>
        </w:rPr>
        <w:t>subcutaneous tocilizumab</w:t>
      </w:r>
      <w:proofErr w:type="gramStart"/>
      <w:r w:rsidRPr="005D0757">
        <w:rPr>
          <w:rFonts w:ascii="Arial" w:hAnsi="Arial"/>
          <w:sz w:val="20"/>
          <w:szCs w:val="20"/>
        </w:rPr>
        <w:t>’, ‘</w:t>
      </w:r>
      <w:proofErr w:type="gramEnd"/>
      <w:r w:rsidRPr="005D0757">
        <w:rPr>
          <w:rFonts w:ascii="Arial" w:hAnsi="Arial"/>
          <w:sz w:val="20"/>
          <w:szCs w:val="20"/>
        </w:rPr>
        <w:t>switch route of administration</w:t>
      </w:r>
      <w:proofErr w:type="gramStart"/>
      <w:r w:rsidRPr="005D0757">
        <w:rPr>
          <w:rFonts w:ascii="Arial" w:hAnsi="Arial"/>
          <w:sz w:val="20"/>
          <w:szCs w:val="20"/>
        </w:rPr>
        <w:t>’, ‘</w:t>
      </w:r>
      <w:proofErr w:type="gramEnd"/>
      <w:r w:rsidR="00025C7E" w:rsidRPr="001E76A3">
        <w:rPr>
          <w:rFonts w:ascii="Arial" w:hAnsi="Arial"/>
          <w:sz w:val="20"/>
          <w:szCs w:val="20"/>
        </w:rPr>
        <w:t>maintenance</w:t>
      </w:r>
      <w:proofErr w:type="gramStart"/>
      <w:r w:rsidR="00025C7E" w:rsidRPr="001E76A3">
        <w:rPr>
          <w:rFonts w:ascii="Arial" w:hAnsi="Arial"/>
          <w:sz w:val="20"/>
          <w:szCs w:val="20"/>
        </w:rPr>
        <w:t>’</w:t>
      </w:r>
      <w:r w:rsidRPr="005D0757">
        <w:rPr>
          <w:rFonts w:ascii="Arial" w:hAnsi="Arial"/>
          <w:sz w:val="20"/>
          <w:szCs w:val="20"/>
        </w:rPr>
        <w:t>, ‘</w:t>
      </w:r>
      <w:proofErr w:type="gramEnd"/>
      <w:r w:rsidRPr="005D0757">
        <w:rPr>
          <w:rFonts w:ascii="Arial" w:hAnsi="Arial"/>
          <w:sz w:val="20"/>
          <w:szCs w:val="20"/>
        </w:rPr>
        <w:t>disease activity</w:t>
      </w:r>
      <w:proofErr w:type="gramStart"/>
      <w:r w:rsidRPr="005D0757">
        <w:rPr>
          <w:rFonts w:ascii="Arial" w:hAnsi="Arial"/>
          <w:sz w:val="20"/>
          <w:szCs w:val="20"/>
        </w:rPr>
        <w:t>’, ‘</w:t>
      </w:r>
      <w:proofErr w:type="gramEnd"/>
      <w:r w:rsidRPr="005D0757">
        <w:rPr>
          <w:rFonts w:ascii="Arial" w:hAnsi="Arial"/>
          <w:sz w:val="20"/>
          <w:szCs w:val="20"/>
        </w:rPr>
        <w:t>efficacy</w:t>
      </w:r>
      <w:proofErr w:type="gramStart"/>
      <w:r w:rsidRPr="005D0757">
        <w:rPr>
          <w:rFonts w:ascii="Arial" w:hAnsi="Arial"/>
          <w:sz w:val="20"/>
          <w:szCs w:val="20"/>
        </w:rPr>
        <w:t>’, ‘</w:t>
      </w:r>
      <w:proofErr w:type="gramEnd"/>
      <w:r w:rsidRPr="005D0757">
        <w:rPr>
          <w:rFonts w:ascii="Arial" w:hAnsi="Arial"/>
          <w:sz w:val="20"/>
          <w:szCs w:val="20"/>
        </w:rPr>
        <w:t>safety’.</w:t>
      </w:r>
    </w:p>
    <w:p w14:paraId="0D6F959B" w14:textId="7734458B" w:rsidR="00E877A4" w:rsidRPr="001E76A3" w:rsidRDefault="00E877A4" w:rsidP="001B42EB">
      <w:pPr>
        <w:spacing w:line="480" w:lineRule="auto"/>
        <w:jc w:val="both"/>
        <w:rPr>
          <w:rFonts w:ascii="Arial" w:hAnsi="Arial"/>
          <w:b/>
          <w:bCs/>
          <w:sz w:val="20"/>
          <w:szCs w:val="20"/>
        </w:rPr>
      </w:pPr>
      <w:proofErr w:type="spellStart"/>
      <w:r w:rsidRPr="001E76A3">
        <w:rPr>
          <w:rFonts w:ascii="Arial" w:hAnsi="Arial"/>
          <w:b/>
          <w:bCs/>
          <w:sz w:val="20"/>
          <w:szCs w:val="20"/>
        </w:rPr>
        <w:t>MeSH</w:t>
      </w:r>
      <w:proofErr w:type="spellEnd"/>
      <w:r w:rsidRPr="001E76A3">
        <w:rPr>
          <w:rFonts w:ascii="Arial" w:hAnsi="Arial"/>
          <w:b/>
          <w:bCs/>
          <w:sz w:val="20"/>
          <w:szCs w:val="20"/>
        </w:rPr>
        <w:t xml:space="preserve"> keywords</w:t>
      </w:r>
    </w:p>
    <w:p w14:paraId="5A0EAE5F" w14:textId="4FCF75B5" w:rsidR="00E877A4" w:rsidRPr="00DA5F4C" w:rsidRDefault="001E76A3" w:rsidP="001B42EB">
      <w:pPr>
        <w:spacing w:line="480" w:lineRule="auto"/>
        <w:jc w:val="both"/>
        <w:rPr>
          <w:rFonts w:ascii="Arial" w:hAnsi="Arial"/>
          <w:sz w:val="20"/>
          <w:szCs w:val="20"/>
        </w:rPr>
      </w:pPr>
      <w:r>
        <w:rPr>
          <w:rFonts w:ascii="Arial" w:hAnsi="Arial"/>
          <w:sz w:val="20"/>
          <w:szCs w:val="20"/>
        </w:rPr>
        <w:t>‘</w:t>
      </w:r>
      <w:r w:rsidRPr="0045510D">
        <w:rPr>
          <w:rFonts w:ascii="Arial" w:hAnsi="Arial"/>
          <w:sz w:val="20"/>
          <w:szCs w:val="20"/>
        </w:rPr>
        <w:t xml:space="preserve">Arthritis, </w:t>
      </w:r>
      <w:r w:rsidR="00DA5F4C">
        <w:rPr>
          <w:rFonts w:ascii="Arial" w:hAnsi="Arial"/>
          <w:sz w:val="20"/>
          <w:szCs w:val="20"/>
        </w:rPr>
        <w:t>r</w:t>
      </w:r>
      <w:r w:rsidRPr="0045510D">
        <w:rPr>
          <w:rFonts w:ascii="Arial" w:hAnsi="Arial"/>
          <w:sz w:val="20"/>
          <w:szCs w:val="20"/>
        </w:rPr>
        <w:t>heumatoid</w:t>
      </w:r>
      <w:proofErr w:type="gramStart"/>
      <w:r>
        <w:rPr>
          <w:rFonts w:ascii="Arial" w:hAnsi="Arial"/>
          <w:sz w:val="20"/>
          <w:szCs w:val="20"/>
        </w:rPr>
        <w:t>’, ‘</w:t>
      </w:r>
      <w:proofErr w:type="gramEnd"/>
      <w:r w:rsidRPr="0045510D">
        <w:rPr>
          <w:rFonts w:ascii="Arial" w:hAnsi="Arial"/>
          <w:sz w:val="20"/>
          <w:szCs w:val="20"/>
        </w:rPr>
        <w:t>drug administration routes</w:t>
      </w:r>
      <w:proofErr w:type="gramStart"/>
      <w:r>
        <w:rPr>
          <w:rFonts w:ascii="Arial" w:hAnsi="Arial"/>
          <w:sz w:val="20"/>
          <w:szCs w:val="20"/>
        </w:rPr>
        <w:t>’, ‘</w:t>
      </w:r>
      <w:proofErr w:type="gramEnd"/>
      <w:r w:rsidRPr="0045510D">
        <w:rPr>
          <w:rFonts w:ascii="Arial" w:hAnsi="Arial"/>
          <w:sz w:val="20"/>
          <w:szCs w:val="20"/>
        </w:rPr>
        <w:t>administration, intravenous</w:t>
      </w:r>
      <w:proofErr w:type="gramStart"/>
      <w:r>
        <w:rPr>
          <w:rFonts w:ascii="Arial" w:hAnsi="Arial"/>
          <w:sz w:val="20"/>
          <w:szCs w:val="20"/>
        </w:rPr>
        <w:t>’, ‘</w:t>
      </w:r>
      <w:proofErr w:type="gramEnd"/>
      <w:r>
        <w:rPr>
          <w:rFonts w:ascii="Arial" w:hAnsi="Arial"/>
          <w:sz w:val="20"/>
          <w:szCs w:val="20"/>
        </w:rPr>
        <w:t>maintenance</w:t>
      </w:r>
      <w:proofErr w:type="gramStart"/>
      <w:r>
        <w:rPr>
          <w:rFonts w:ascii="Arial" w:hAnsi="Arial"/>
          <w:sz w:val="20"/>
          <w:szCs w:val="20"/>
        </w:rPr>
        <w:t>’, ‘</w:t>
      </w:r>
      <w:proofErr w:type="gramEnd"/>
      <w:r w:rsidRPr="0045510D">
        <w:rPr>
          <w:rFonts w:ascii="Arial" w:hAnsi="Arial"/>
          <w:sz w:val="20"/>
          <w:szCs w:val="20"/>
        </w:rPr>
        <w:t>medication persistence</w:t>
      </w:r>
      <w:proofErr w:type="gramStart"/>
      <w:r>
        <w:rPr>
          <w:rFonts w:ascii="Arial" w:hAnsi="Arial"/>
          <w:sz w:val="20"/>
          <w:szCs w:val="20"/>
        </w:rPr>
        <w:t>’, ‘</w:t>
      </w:r>
      <w:proofErr w:type="gramEnd"/>
      <w:r>
        <w:rPr>
          <w:rFonts w:ascii="Arial" w:hAnsi="Arial"/>
          <w:sz w:val="20"/>
          <w:szCs w:val="20"/>
        </w:rPr>
        <w:t xml:space="preserve">safety’. </w:t>
      </w:r>
    </w:p>
    <w:p w14:paraId="2ADE79F4" w14:textId="77777777" w:rsidR="00C75A05" w:rsidRPr="00DA5F4C" w:rsidRDefault="00C75A05" w:rsidP="001B42EB">
      <w:pPr>
        <w:spacing w:after="160" w:line="480" w:lineRule="auto"/>
        <w:rPr>
          <w:rFonts w:ascii="Arial" w:hAnsi="Arial"/>
          <w:b/>
          <w:bCs/>
          <w:sz w:val="20"/>
          <w:szCs w:val="20"/>
        </w:rPr>
      </w:pPr>
      <w:r w:rsidRPr="00DA5F4C">
        <w:rPr>
          <w:rFonts w:ascii="Arial" w:hAnsi="Arial"/>
          <w:b/>
          <w:bCs/>
          <w:sz w:val="20"/>
          <w:szCs w:val="20"/>
        </w:rPr>
        <w:br w:type="page"/>
      </w:r>
    </w:p>
    <w:p w14:paraId="4562FB74" w14:textId="34A4A1C3" w:rsidR="00C1522F" w:rsidRPr="00DA5F4C" w:rsidRDefault="00C1522F" w:rsidP="001B42EB">
      <w:pPr>
        <w:spacing w:line="480" w:lineRule="auto"/>
        <w:jc w:val="both"/>
        <w:rPr>
          <w:rFonts w:ascii="Arial" w:hAnsi="Arial"/>
          <w:b/>
          <w:bCs/>
          <w:sz w:val="20"/>
          <w:szCs w:val="20"/>
        </w:rPr>
      </w:pPr>
      <w:r w:rsidRPr="00DA5F4C">
        <w:rPr>
          <w:rFonts w:ascii="Arial" w:hAnsi="Arial"/>
          <w:b/>
          <w:bCs/>
          <w:sz w:val="20"/>
          <w:szCs w:val="20"/>
        </w:rPr>
        <w:lastRenderedPageBreak/>
        <w:t>Search strings</w:t>
      </w:r>
    </w:p>
    <w:p w14:paraId="01555854"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Medline via </w:t>
      </w:r>
      <w:proofErr w:type="spellStart"/>
      <w:r w:rsidRPr="00DA5F4C">
        <w:rPr>
          <w:rFonts w:ascii="Arial" w:hAnsi="Arial"/>
          <w:sz w:val="20"/>
          <w:szCs w:val="20"/>
        </w:rPr>
        <w:t>Pubmed</w:t>
      </w:r>
      <w:proofErr w:type="spellEnd"/>
    </w:p>
    <w:p w14:paraId="422A310F"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 "tocilizumab"[All Fields] OR "</w:t>
      </w:r>
      <w:proofErr w:type="spellStart"/>
      <w:r w:rsidRPr="00DA5F4C">
        <w:rPr>
          <w:rFonts w:ascii="Arial" w:hAnsi="Arial"/>
          <w:sz w:val="20"/>
          <w:szCs w:val="20"/>
        </w:rPr>
        <w:t>roactemra</w:t>
      </w:r>
      <w:proofErr w:type="spellEnd"/>
      <w:r w:rsidRPr="00DA5F4C">
        <w:rPr>
          <w:rFonts w:ascii="Arial" w:hAnsi="Arial"/>
          <w:sz w:val="20"/>
          <w:szCs w:val="20"/>
        </w:rPr>
        <w:t>"[All Fields]</w:t>
      </w:r>
    </w:p>
    <w:p w14:paraId="67A8DC2C"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#2: "switch"[All Fields] OR "switched"[All Fields] OR "switches"[All Fields] OR "switching"[All Fields] OR "</w:t>
      </w:r>
      <w:proofErr w:type="spellStart"/>
      <w:r w:rsidRPr="00DA5F4C">
        <w:rPr>
          <w:rFonts w:ascii="Arial" w:hAnsi="Arial"/>
          <w:sz w:val="20"/>
          <w:szCs w:val="20"/>
        </w:rPr>
        <w:t>switchings</w:t>
      </w:r>
      <w:proofErr w:type="spellEnd"/>
      <w:r w:rsidRPr="00DA5F4C">
        <w:rPr>
          <w:rFonts w:ascii="Arial" w:hAnsi="Arial"/>
          <w:sz w:val="20"/>
          <w:szCs w:val="20"/>
        </w:rPr>
        <w:t>"[All Fields]</w:t>
      </w:r>
    </w:p>
    <w:p w14:paraId="5413737A"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#3: "change"[All Fields] OR "changed"[All Fields] OR "changes"[All Fields] OR "changing"[All Fields] OR "changings"[All Fields]</w:t>
      </w:r>
    </w:p>
    <w:p w14:paraId="0941F3F4"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#4: "transit"[All Fields] OR "transited"[All Fields] OR "transiting"[All Fields] OR "transition"[All Fields] OR "transitional"[All Fields] OR "</w:t>
      </w:r>
      <w:proofErr w:type="spellStart"/>
      <w:r w:rsidRPr="00DA5F4C">
        <w:rPr>
          <w:rFonts w:ascii="Arial" w:hAnsi="Arial"/>
          <w:sz w:val="20"/>
          <w:szCs w:val="20"/>
        </w:rPr>
        <w:t>transitionals</w:t>
      </w:r>
      <w:proofErr w:type="spellEnd"/>
      <w:r w:rsidRPr="00DA5F4C">
        <w:rPr>
          <w:rFonts w:ascii="Arial" w:hAnsi="Arial"/>
          <w:sz w:val="20"/>
          <w:szCs w:val="20"/>
        </w:rPr>
        <w:t>"[All Fields] OR "transitioned"[All Fields] OR "transitioning"[All Fields] OR "transitions"[All Fields] OR "transits"[All Fields]</w:t>
      </w:r>
    </w:p>
    <w:p w14:paraId="423888F2"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#5: #2 OR #3 OR #4</w:t>
      </w:r>
    </w:p>
    <w:p w14:paraId="0DEA7353"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#6: "drug administration routes"[</w:t>
      </w:r>
      <w:proofErr w:type="spellStart"/>
      <w:r w:rsidRPr="00DA5F4C">
        <w:rPr>
          <w:rFonts w:ascii="Arial" w:hAnsi="Arial"/>
          <w:sz w:val="20"/>
          <w:szCs w:val="20"/>
        </w:rPr>
        <w:t>MeSH</w:t>
      </w:r>
      <w:proofErr w:type="spellEnd"/>
      <w:r w:rsidRPr="00DA5F4C">
        <w:rPr>
          <w:rFonts w:ascii="Arial" w:hAnsi="Arial"/>
          <w:sz w:val="20"/>
          <w:szCs w:val="20"/>
        </w:rPr>
        <w:t xml:space="preserve"> Terms] OR "drug administration routes"[All Fields] OR "route of administration"[All Fields] </w:t>
      </w:r>
    </w:p>
    <w:p w14:paraId="7656EE99"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#7: "drug"[All Fields] AND "administration"[All Fields] AND "routes"[All Fields]</w:t>
      </w:r>
    </w:p>
    <w:p w14:paraId="000C4D4F"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#8:  "route"[All Fields] AND "administration"[All Fields]</w:t>
      </w:r>
    </w:p>
    <w:p w14:paraId="72FE8E90"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#9: #6 OR #7 OR #8</w:t>
      </w:r>
    </w:p>
    <w:p w14:paraId="2AB0135D"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#10:  #5 AND #9</w:t>
      </w:r>
    </w:p>
    <w:p w14:paraId="3FE3B160" w14:textId="3994AC1C"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#11:"intraveneous"[All Fields] OR "</w:t>
      </w:r>
      <w:proofErr w:type="spellStart"/>
      <w:r w:rsidRPr="00DA5F4C">
        <w:rPr>
          <w:rFonts w:ascii="Arial" w:hAnsi="Arial"/>
          <w:sz w:val="20"/>
          <w:szCs w:val="20"/>
        </w:rPr>
        <w:t>intraveneously</w:t>
      </w:r>
      <w:proofErr w:type="spellEnd"/>
      <w:r w:rsidRPr="00DA5F4C">
        <w:rPr>
          <w:rFonts w:ascii="Arial" w:hAnsi="Arial"/>
          <w:sz w:val="20"/>
          <w:szCs w:val="20"/>
        </w:rPr>
        <w:t>"[All Fields] OR "intravenous"[All Fields] OR "intravenously"[All Fields]</w:t>
      </w:r>
      <w:r w:rsidR="00CA63A9" w:rsidRPr="00DA5F4C">
        <w:rPr>
          <w:rFonts w:ascii="Arial" w:hAnsi="Arial"/>
          <w:sz w:val="20"/>
          <w:szCs w:val="20"/>
        </w:rPr>
        <w:t xml:space="preserve"> OR "administration, intravenous"[</w:t>
      </w:r>
      <w:proofErr w:type="spellStart"/>
      <w:r w:rsidR="00CA63A9" w:rsidRPr="00DA5F4C">
        <w:rPr>
          <w:rFonts w:ascii="Arial" w:hAnsi="Arial"/>
          <w:sz w:val="20"/>
          <w:szCs w:val="20"/>
        </w:rPr>
        <w:t>MeSH</w:t>
      </w:r>
      <w:proofErr w:type="spellEnd"/>
      <w:r w:rsidR="00CA63A9" w:rsidRPr="00DA5F4C">
        <w:rPr>
          <w:rFonts w:ascii="Arial" w:hAnsi="Arial"/>
          <w:sz w:val="20"/>
          <w:szCs w:val="20"/>
        </w:rPr>
        <w:t xml:space="preserve"> Terms]</w:t>
      </w:r>
    </w:p>
    <w:p w14:paraId="1D187A82"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#12: "subcutaneous"[All Fields] OR "subcutaneously"[All Fields] OR "</w:t>
      </w:r>
      <w:proofErr w:type="spellStart"/>
      <w:r w:rsidRPr="00DA5F4C">
        <w:rPr>
          <w:rFonts w:ascii="Arial" w:hAnsi="Arial"/>
          <w:sz w:val="20"/>
          <w:szCs w:val="20"/>
        </w:rPr>
        <w:t>subcutanous</w:t>
      </w:r>
      <w:proofErr w:type="spellEnd"/>
      <w:r w:rsidRPr="00DA5F4C">
        <w:rPr>
          <w:rFonts w:ascii="Arial" w:hAnsi="Arial"/>
          <w:sz w:val="20"/>
          <w:szCs w:val="20"/>
        </w:rPr>
        <w:t>"[All Fields]</w:t>
      </w:r>
    </w:p>
    <w:p w14:paraId="4F207D68" w14:textId="77777777" w:rsidR="00C1522F" w:rsidRPr="00DA5F4C" w:rsidRDefault="00C1522F" w:rsidP="001B42EB">
      <w:pPr>
        <w:spacing w:line="480" w:lineRule="auto"/>
        <w:jc w:val="both"/>
        <w:rPr>
          <w:rFonts w:ascii="Arial" w:hAnsi="Arial"/>
          <w:sz w:val="20"/>
          <w:szCs w:val="20"/>
        </w:rPr>
      </w:pPr>
      <w:proofErr w:type="gramStart"/>
      <w:r w:rsidRPr="00DA5F4C">
        <w:rPr>
          <w:rFonts w:ascii="Arial" w:hAnsi="Arial"/>
          <w:sz w:val="20"/>
          <w:szCs w:val="20"/>
        </w:rPr>
        <w:t>#13: #</w:t>
      </w:r>
      <w:proofErr w:type="gramEnd"/>
      <w:r w:rsidRPr="00DA5F4C">
        <w:rPr>
          <w:rFonts w:ascii="Arial" w:hAnsi="Arial"/>
          <w:sz w:val="20"/>
          <w:szCs w:val="20"/>
        </w:rPr>
        <w:t>11 AND #12</w:t>
      </w:r>
    </w:p>
    <w:p w14:paraId="2C77D0C1" w14:textId="77777777" w:rsidR="00C1522F" w:rsidRPr="00DA5F4C" w:rsidRDefault="00C1522F" w:rsidP="001B42EB">
      <w:pPr>
        <w:spacing w:line="480" w:lineRule="auto"/>
        <w:jc w:val="both"/>
        <w:rPr>
          <w:rFonts w:ascii="Arial" w:hAnsi="Arial"/>
          <w:sz w:val="20"/>
          <w:szCs w:val="20"/>
        </w:rPr>
      </w:pPr>
      <w:proofErr w:type="gramStart"/>
      <w:r w:rsidRPr="00DA5F4C">
        <w:rPr>
          <w:rFonts w:ascii="Arial" w:hAnsi="Arial"/>
          <w:sz w:val="20"/>
          <w:szCs w:val="20"/>
        </w:rPr>
        <w:t>#14: #</w:t>
      </w:r>
      <w:proofErr w:type="gramEnd"/>
      <w:r w:rsidRPr="00DA5F4C">
        <w:rPr>
          <w:rFonts w:ascii="Arial" w:hAnsi="Arial"/>
          <w:sz w:val="20"/>
          <w:szCs w:val="20"/>
        </w:rPr>
        <w:t>10 OR #13</w:t>
      </w:r>
    </w:p>
    <w:p w14:paraId="0B904B04"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#15: Arthritis, </w:t>
      </w:r>
      <w:proofErr w:type="gramStart"/>
      <w:r w:rsidRPr="00DA5F4C">
        <w:rPr>
          <w:rFonts w:ascii="Arial" w:hAnsi="Arial"/>
          <w:sz w:val="20"/>
          <w:szCs w:val="20"/>
        </w:rPr>
        <w:t>Rheumatoid[</w:t>
      </w:r>
      <w:proofErr w:type="gramEnd"/>
      <w:r w:rsidRPr="00DA5F4C">
        <w:rPr>
          <w:rFonts w:ascii="Arial" w:hAnsi="Arial"/>
          <w:sz w:val="20"/>
          <w:szCs w:val="20"/>
        </w:rPr>
        <w:t xml:space="preserve">Mesh] OR arthritis, </w:t>
      </w:r>
      <w:proofErr w:type="gramStart"/>
      <w:r w:rsidRPr="00DA5F4C">
        <w:rPr>
          <w:rFonts w:ascii="Arial" w:hAnsi="Arial"/>
          <w:sz w:val="20"/>
          <w:szCs w:val="20"/>
        </w:rPr>
        <w:t>rheumatoid[</w:t>
      </w:r>
      <w:proofErr w:type="gramEnd"/>
      <w:r w:rsidRPr="00DA5F4C">
        <w:rPr>
          <w:rFonts w:ascii="Arial" w:hAnsi="Arial"/>
          <w:sz w:val="20"/>
          <w:szCs w:val="20"/>
        </w:rPr>
        <w:t xml:space="preserve">All fields] OR rheumatoid </w:t>
      </w:r>
      <w:proofErr w:type="gramStart"/>
      <w:r w:rsidRPr="00DA5F4C">
        <w:rPr>
          <w:rFonts w:ascii="Arial" w:hAnsi="Arial"/>
          <w:sz w:val="20"/>
          <w:szCs w:val="20"/>
        </w:rPr>
        <w:t>arthritis[</w:t>
      </w:r>
      <w:proofErr w:type="gramEnd"/>
      <w:r w:rsidRPr="00DA5F4C">
        <w:rPr>
          <w:rFonts w:ascii="Arial" w:hAnsi="Arial"/>
          <w:sz w:val="20"/>
          <w:szCs w:val="20"/>
        </w:rPr>
        <w:t>All fields]</w:t>
      </w:r>
    </w:p>
    <w:p w14:paraId="399A9632" w14:textId="77777777" w:rsidR="00C1522F" w:rsidRPr="00DA5F4C" w:rsidRDefault="00C1522F" w:rsidP="001B42EB">
      <w:pPr>
        <w:spacing w:line="480" w:lineRule="auto"/>
        <w:jc w:val="both"/>
        <w:rPr>
          <w:rFonts w:ascii="Arial" w:hAnsi="Arial"/>
          <w:sz w:val="20"/>
          <w:szCs w:val="20"/>
        </w:rPr>
      </w:pPr>
      <w:proofErr w:type="gramStart"/>
      <w:r w:rsidRPr="00DA5F4C">
        <w:rPr>
          <w:rFonts w:ascii="Arial" w:hAnsi="Arial"/>
          <w:sz w:val="20"/>
          <w:szCs w:val="20"/>
        </w:rPr>
        <w:t>#16: #</w:t>
      </w:r>
      <w:proofErr w:type="gramEnd"/>
      <w:r w:rsidRPr="00DA5F4C">
        <w:rPr>
          <w:rFonts w:ascii="Arial" w:hAnsi="Arial"/>
          <w:sz w:val="20"/>
          <w:szCs w:val="20"/>
        </w:rPr>
        <w:t>1 AND #14 AND #15</w:t>
      </w:r>
    </w:p>
    <w:p w14:paraId="1ED72821" w14:textId="4867B77E" w:rsidR="00CA63A9"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#17: </w:t>
      </w:r>
      <w:r w:rsidR="00CA63A9" w:rsidRPr="00DA5F4C">
        <w:rPr>
          <w:rFonts w:ascii="Arial" w:hAnsi="Arial"/>
          <w:sz w:val="20"/>
          <w:szCs w:val="20"/>
        </w:rPr>
        <w:t>“medication persistence</w:t>
      </w:r>
      <w:r w:rsidR="00025C7E" w:rsidRPr="00DA5F4C">
        <w:rPr>
          <w:rFonts w:ascii="Arial" w:hAnsi="Arial"/>
          <w:sz w:val="20"/>
          <w:szCs w:val="20"/>
        </w:rPr>
        <w:t>”</w:t>
      </w:r>
      <w:r w:rsidR="00CA63A9" w:rsidRPr="00DA5F4C">
        <w:rPr>
          <w:rFonts w:ascii="Arial" w:hAnsi="Arial"/>
          <w:sz w:val="20"/>
          <w:szCs w:val="20"/>
        </w:rPr>
        <w:t>[</w:t>
      </w:r>
      <w:proofErr w:type="spellStart"/>
      <w:r w:rsidR="00025C7E" w:rsidRPr="00DA5F4C">
        <w:rPr>
          <w:rFonts w:ascii="Arial" w:hAnsi="Arial"/>
          <w:sz w:val="20"/>
          <w:szCs w:val="20"/>
        </w:rPr>
        <w:t>MeSH</w:t>
      </w:r>
      <w:proofErr w:type="spellEnd"/>
      <w:r w:rsidR="00025C7E" w:rsidRPr="00DA5F4C">
        <w:rPr>
          <w:rFonts w:ascii="Arial" w:hAnsi="Arial"/>
          <w:sz w:val="20"/>
          <w:szCs w:val="20"/>
        </w:rPr>
        <w:t xml:space="preserve"> Terms</w:t>
      </w:r>
      <w:r w:rsidR="00CA63A9" w:rsidRPr="00DA5F4C">
        <w:rPr>
          <w:rFonts w:ascii="Arial" w:hAnsi="Arial"/>
          <w:sz w:val="20"/>
          <w:szCs w:val="20"/>
        </w:rPr>
        <w:t>]</w:t>
      </w:r>
      <w:r w:rsidR="00025C7E" w:rsidRPr="00DA5F4C">
        <w:rPr>
          <w:rFonts w:ascii="Arial" w:hAnsi="Arial"/>
          <w:sz w:val="20"/>
          <w:szCs w:val="20"/>
        </w:rPr>
        <w:t xml:space="preserve"> OR </w:t>
      </w:r>
      <w:r w:rsidR="00CA63A9" w:rsidRPr="00DA5F4C">
        <w:rPr>
          <w:rFonts w:ascii="Arial" w:hAnsi="Arial"/>
          <w:sz w:val="20"/>
          <w:szCs w:val="20"/>
        </w:rPr>
        <w:t>"persist"[All Fields] OR "</w:t>
      </w:r>
      <w:proofErr w:type="spellStart"/>
      <w:r w:rsidR="00CA63A9" w:rsidRPr="00DA5F4C">
        <w:rPr>
          <w:rFonts w:ascii="Arial" w:hAnsi="Arial"/>
          <w:sz w:val="20"/>
          <w:szCs w:val="20"/>
        </w:rPr>
        <w:t>persistance</w:t>
      </w:r>
      <w:proofErr w:type="spellEnd"/>
      <w:r w:rsidR="00CA63A9" w:rsidRPr="00DA5F4C">
        <w:rPr>
          <w:rFonts w:ascii="Arial" w:hAnsi="Arial"/>
          <w:sz w:val="20"/>
          <w:szCs w:val="20"/>
        </w:rPr>
        <w:t>"[All Fields] OR "</w:t>
      </w:r>
      <w:proofErr w:type="spellStart"/>
      <w:r w:rsidR="00CA63A9" w:rsidRPr="00DA5F4C">
        <w:rPr>
          <w:rFonts w:ascii="Arial" w:hAnsi="Arial"/>
          <w:sz w:val="20"/>
          <w:szCs w:val="20"/>
        </w:rPr>
        <w:t>persistant</w:t>
      </w:r>
      <w:proofErr w:type="spellEnd"/>
      <w:r w:rsidR="00CA63A9" w:rsidRPr="00DA5F4C">
        <w:rPr>
          <w:rFonts w:ascii="Arial" w:hAnsi="Arial"/>
          <w:sz w:val="20"/>
          <w:szCs w:val="20"/>
        </w:rPr>
        <w:t>"[All Fields] OR "persisted"[All Fields] OR "persistence"[All Fields] OR "</w:t>
      </w:r>
      <w:proofErr w:type="spellStart"/>
      <w:r w:rsidR="00CA63A9" w:rsidRPr="00DA5F4C">
        <w:rPr>
          <w:rFonts w:ascii="Arial" w:hAnsi="Arial"/>
          <w:sz w:val="20"/>
          <w:szCs w:val="20"/>
        </w:rPr>
        <w:t>persistences</w:t>
      </w:r>
      <w:proofErr w:type="spellEnd"/>
      <w:r w:rsidR="00CA63A9" w:rsidRPr="00DA5F4C">
        <w:rPr>
          <w:rFonts w:ascii="Arial" w:hAnsi="Arial"/>
          <w:sz w:val="20"/>
          <w:szCs w:val="20"/>
        </w:rPr>
        <w:t>"[All Fields] OR "</w:t>
      </w:r>
      <w:proofErr w:type="spellStart"/>
      <w:r w:rsidR="00CA63A9" w:rsidRPr="00DA5F4C">
        <w:rPr>
          <w:rFonts w:ascii="Arial" w:hAnsi="Arial"/>
          <w:sz w:val="20"/>
          <w:szCs w:val="20"/>
        </w:rPr>
        <w:t>persistencies</w:t>
      </w:r>
      <w:proofErr w:type="spellEnd"/>
      <w:r w:rsidR="00CA63A9" w:rsidRPr="00DA5F4C">
        <w:rPr>
          <w:rFonts w:ascii="Arial" w:hAnsi="Arial"/>
          <w:sz w:val="20"/>
          <w:szCs w:val="20"/>
        </w:rPr>
        <w:t>"[All Fields] OR "persistency"[All Fields] OR "persistent"[All Fields] OR "persistently"[All Fields] OR "</w:t>
      </w:r>
      <w:proofErr w:type="spellStart"/>
      <w:r w:rsidR="00CA63A9" w:rsidRPr="00DA5F4C">
        <w:rPr>
          <w:rFonts w:ascii="Arial" w:hAnsi="Arial"/>
          <w:sz w:val="20"/>
          <w:szCs w:val="20"/>
        </w:rPr>
        <w:t>persistents</w:t>
      </w:r>
      <w:proofErr w:type="spellEnd"/>
      <w:r w:rsidR="00CA63A9" w:rsidRPr="00DA5F4C">
        <w:rPr>
          <w:rFonts w:ascii="Arial" w:hAnsi="Arial"/>
          <w:sz w:val="20"/>
          <w:szCs w:val="20"/>
        </w:rPr>
        <w:t>"[All Fields] OR "</w:t>
      </w:r>
      <w:proofErr w:type="spellStart"/>
      <w:r w:rsidR="00CA63A9" w:rsidRPr="00DA5F4C">
        <w:rPr>
          <w:rFonts w:ascii="Arial" w:hAnsi="Arial"/>
          <w:sz w:val="20"/>
          <w:szCs w:val="20"/>
        </w:rPr>
        <w:t>persister</w:t>
      </w:r>
      <w:proofErr w:type="spellEnd"/>
      <w:r w:rsidR="00CA63A9" w:rsidRPr="00DA5F4C">
        <w:rPr>
          <w:rFonts w:ascii="Arial" w:hAnsi="Arial"/>
          <w:sz w:val="20"/>
          <w:szCs w:val="20"/>
        </w:rPr>
        <w:t>"[All Fields] OR "</w:t>
      </w:r>
      <w:proofErr w:type="spellStart"/>
      <w:r w:rsidR="00CA63A9" w:rsidRPr="00DA5F4C">
        <w:rPr>
          <w:rFonts w:ascii="Arial" w:hAnsi="Arial"/>
          <w:sz w:val="20"/>
          <w:szCs w:val="20"/>
        </w:rPr>
        <w:t>persisters</w:t>
      </w:r>
      <w:proofErr w:type="spellEnd"/>
      <w:r w:rsidR="00CA63A9" w:rsidRPr="00DA5F4C">
        <w:rPr>
          <w:rFonts w:ascii="Arial" w:hAnsi="Arial"/>
          <w:sz w:val="20"/>
          <w:szCs w:val="20"/>
        </w:rPr>
        <w:t>"[All Fields] OR "persisting"[All Fields] OR "persists"[All Fields]</w:t>
      </w:r>
    </w:p>
    <w:p w14:paraId="664C2F3B" w14:textId="767670D1" w:rsidR="00025C7E" w:rsidRPr="00DA5F4C" w:rsidRDefault="00CA63A9" w:rsidP="001B42EB">
      <w:pPr>
        <w:spacing w:line="480" w:lineRule="auto"/>
        <w:jc w:val="both"/>
        <w:rPr>
          <w:rFonts w:ascii="Arial" w:hAnsi="Arial"/>
          <w:sz w:val="20"/>
          <w:szCs w:val="20"/>
        </w:rPr>
      </w:pPr>
      <w:r w:rsidRPr="00DA5F4C">
        <w:rPr>
          <w:rFonts w:ascii="Arial" w:hAnsi="Arial"/>
          <w:sz w:val="20"/>
          <w:szCs w:val="20"/>
        </w:rPr>
        <w:t>#</w:t>
      </w:r>
      <w:r w:rsidR="00025C7E" w:rsidRPr="00DA5F4C">
        <w:rPr>
          <w:rFonts w:ascii="Arial" w:hAnsi="Arial"/>
          <w:sz w:val="20"/>
          <w:szCs w:val="20"/>
        </w:rPr>
        <w:t>18</w:t>
      </w:r>
      <w:r w:rsidRPr="00DA5F4C">
        <w:rPr>
          <w:rFonts w:ascii="Arial" w:hAnsi="Arial"/>
          <w:sz w:val="20"/>
          <w:szCs w:val="20"/>
        </w:rPr>
        <w:t xml:space="preserve">: </w:t>
      </w:r>
      <w:r w:rsidR="00025C7E" w:rsidRPr="00DA5F4C">
        <w:rPr>
          <w:rFonts w:ascii="Arial" w:hAnsi="Arial"/>
          <w:sz w:val="20"/>
          <w:szCs w:val="20"/>
        </w:rPr>
        <w:t>"maintenance"[</w:t>
      </w:r>
      <w:proofErr w:type="spellStart"/>
      <w:r w:rsidR="00025C7E" w:rsidRPr="00DA5F4C">
        <w:rPr>
          <w:rFonts w:ascii="Arial" w:hAnsi="Arial"/>
          <w:sz w:val="20"/>
          <w:szCs w:val="20"/>
        </w:rPr>
        <w:t>MeSH</w:t>
      </w:r>
      <w:proofErr w:type="spellEnd"/>
      <w:r w:rsidR="00025C7E" w:rsidRPr="00DA5F4C">
        <w:rPr>
          <w:rFonts w:ascii="Arial" w:hAnsi="Arial"/>
          <w:sz w:val="20"/>
          <w:szCs w:val="20"/>
        </w:rPr>
        <w:t xml:space="preserve"> Terms] OR "maintenance"[All Fields] OR "maintenances"[All Fields]</w:t>
      </w:r>
    </w:p>
    <w:p w14:paraId="6B0C8985" w14:textId="6C98F1AE" w:rsidR="00025C7E" w:rsidRPr="00DA5F4C" w:rsidRDefault="00025C7E" w:rsidP="001B42EB">
      <w:pPr>
        <w:spacing w:line="480" w:lineRule="auto"/>
        <w:jc w:val="both"/>
        <w:rPr>
          <w:rFonts w:ascii="Arial" w:hAnsi="Arial"/>
          <w:sz w:val="20"/>
          <w:szCs w:val="20"/>
        </w:rPr>
      </w:pPr>
      <w:r w:rsidRPr="00DA5F4C">
        <w:rPr>
          <w:rFonts w:ascii="Arial" w:hAnsi="Arial"/>
          <w:sz w:val="20"/>
          <w:szCs w:val="20"/>
        </w:rPr>
        <w:lastRenderedPageBreak/>
        <w:t>#19: "retention"[All Fields] AND "rate"[All Fields])</w:t>
      </w:r>
    </w:p>
    <w:p w14:paraId="4EF54734" w14:textId="356D40E3" w:rsidR="00025C7E" w:rsidRPr="00DA5F4C" w:rsidRDefault="00025C7E" w:rsidP="001B42EB">
      <w:pPr>
        <w:spacing w:line="480" w:lineRule="auto"/>
        <w:jc w:val="both"/>
        <w:rPr>
          <w:rFonts w:ascii="Arial" w:hAnsi="Arial"/>
          <w:sz w:val="20"/>
          <w:szCs w:val="20"/>
        </w:rPr>
      </w:pPr>
      <w:r w:rsidRPr="00DA5F4C">
        <w:rPr>
          <w:rFonts w:ascii="Arial" w:hAnsi="Arial"/>
          <w:sz w:val="20"/>
          <w:szCs w:val="20"/>
        </w:rPr>
        <w:t>#20: #17 OR #18 OR #19</w:t>
      </w:r>
    </w:p>
    <w:p w14:paraId="7A80C969" w14:textId="0458957F" w:rsidR="00C1522F" w:rsidRPr="00DA5F4C" w:rsidRDefault="00025C7E" w:rsidP="001B42EB">
      <w:pPr>
        <w:spacing w:line="480" w:lineRule="auto"/>
        <w:jc w:val="both"/>
        <w:rPr>
          <w:rFonts w:ascii="Arial" w:hAnsi="Arial"/>
          <w:sz w:val="20"/>
          <w:szCs w:val="20"/>
        </w:rPr>
      </w:pPr>
      <w:r w:rsidRPr="00DA5F4C">
        <w:rPr>
          <w:rFonts w:ascii="Arial" w:hAnsi="Arial"/>
          <w:sz w:val="20"/>
          <w:szCs w:val="20"/>
        </w:rPr>
        <w:t xml:space="preserve">#21: </w:t>
      </w:r>
      <w:r w:rsidR="00C1522F" w:rsidRPr="00DA5F4C">
        <w:rPr>
          <w:rFonts w:ascii="Arial" w:hAnsi="Arial"/>
          <w:sz w:val="20"/>
          <w:szCs w:val="20"/>
        </w:rPr>
        <w:t>"efficacies"[All Fields] OR "efficacious"[All Fields] OR "efficaciously"[All Fields] OR "efficaciousness"[All Fields] OR "efficacy"[All Fields] </w:t>
      </w:r>
    </w:p>
    <w:p w14:paraId="39BBCBC3" w14:textId="25383682" w:rsidR="00C1522F" w:rsidRPr="00DA5F4C" w:rsidRDefault="00C1522F" w:rsidP="001B42EB">
      <w:pPr>
        <w:spacing w:line="480" w:lineRule="auto"/>
        <w:jc w:val="both"/>
        <w:rPr>
          <w:rFonts w:ascii="Arial" w:hAnsi="Arial"/>
          <w:sz w:val="20"/>
          <w:szCs w:val="20"/>
        </w:rPr>
      </w:pPr>
      <w:r w:rsidRPr="00DA5F4C">
        <w:rPr>
          <w:rFonts w:ascii="Arial" w:hAnsi="Arial"/>
          <w:sz w:val="20"/>
          <w:szCs w:val="20"/>
        </w:rPr>
        <w:t>#</w:t>
      </w:r>
      <w:r w:rsidR="00025C7E" w:rsidRPr="00DA5F4C">
        <w:rPr>
          <w:rFonts w:ascii="Arial" w:hAnsi="Arial"/>
          <w:sz w:val="20"/>
          <w:szCs w:val="20"/>
        </w:rPr>
        <w:t>22</w:t>
      </w:r>
      <w:r w:rsidRPr="00DA5F4C">
        <w:rPr>
          <w:rFonts w:ascii="Arial" w:hAnsi="Arial"/>
          <w:sz w:val="20"/>
          <w:szCs w:val="20"/>
        </w:rPr>
        <w:t>: "safety"[</w:t>
      </w:r>
      <w:proofErr w:type="spellStart"/>
      <w:r w:rsidRPr="00DA5F4C">
        <w:rPr>
          <w:rFonts w:ascii="Arial" w:hAnsi="Arial"/>
          <w:sz w:val="20"/>
          <w:szCs w:val="20"/>
        </w:rPr>
        <w:t>MeSH</w:t>
      </w:r>
      <w:proofErr w:type="spellEnd"/>
      <w:r w:rsidRPr="00DA5F4C">
        <w:rPr>
          <w:rFonts w:ascii="Arial" w:hAnsi="Arial"/>
          <w:sz w:val="20"/>
          <w:szCs w:val="20"/>
        </w:rPr>
        <w:t xml:space="preserve"> Terms] OR "safety"[All Fields] OR "</w:t>
      </w:r>
      <w:proofErr w:type="gramStart"/>
      <w:r w:rsidRPr="00DA5F4C">
        <w:rPr>
          <w:rFonts w:ascii="Arial" w:hAnsi="Arial"/>
          <w:sz w:val="20"/>
          <w:szCs w:val="20"/>
        </w:rPr>
        <w:t>safeties</w:t>
      </w:r>
      <w:proofErr w:type="gramEnd"/>
      <w:r w:rsidRPr="00DA5F4C">
        <w:rPr>
          <w:rFonts w:ascii="Arial" w:hAnsi="Arial"/>
          <w:sz w:val="20"/>
          <w:szCs w:val="20"/>
        </w:rPr>
        <w:t>"[All Fields]</w:t>
      </w:r>
    </w:p>
    <w:p w14:paraId="7484D32D" w14:textId="3A720DEE" w:rsidR="00C1522F" w:rsidRPr="00DA5F4C" w:rsidRDefault="00C1522F" w:rsidP="001B42EB">
      <w:pPr>
        <w:spacing w:line="480" w:lineRule="auto"/>
        <w:jc w:val="both"/>
        <w:rPr>
          <w:rFonts w:ascii="Arial" w:hAnsi="Arial"/>
          <w:sz w:val="20"/>
          <w:szCs w:val="20"/>
        </w:rPr>
      </w:pPr>
      <w:proofErr w:type="gramStart"/>
      <w:r w:rsidRPr="00DA5F4C">
        <w:rPr>
          <w:rFonts w:ascii="Arial" w:hAnsi="Arial"/>
          <w:sz w:val="20"/>
          <w:szCs w:val="20"/>
        </w:rPr>
        <w:t>#</w:t>
      </w:r>
      <w:r w:rsidR="00025C7E" w:rsidRPr="00DA5F4C">
        <w:rPr>
          <w:rFonts w:ascii="Arial" w:hAnsi="Arial"/>
          <w:sz w:val="20"/>
          <w:szCs w:val="20"/>
        </w:rPr>
        <w:t>23</w:t>
      </w:r>
      <w:r w:rsidRPr="00DA5F4C">
        <w:rPr>
          <w:rFonts w:ascii="Arial" w:hAnsi="Arial"/>
          <w:sz w:val="20"/>
          <w:szCs w:val="20"/>
        </w:rPr>
        <w:t>: #</w:t>
      </w:r>
      <w:proofErr w:type="gramEnd"/>
      <w:r w:rsidR="00025C7E" w:rsidRPr="00DA5F4C">
        <w:rPr>
          <w:rFonts w:ascii="Arial" w:hAnsi="Arial"/>
          <w:sz w:val="20"/>
          <w:szCs w:val="20"/>
        </w:rPr>
        <w:t>20</w:t>
      </w:r>
      <w:r w:rsidRPr="00DA5F4C">
        <w:rPr>
          <w:rFonts w:ascii="Arial" w:hAnsi="Arial"/>
          <w:sz w:val="20"/>
          <w:szCs w:val="20"/>
        </w:rPr>
        <w:t xml:space="preserve"> OR #</w:t>
      </w:r>
      <w:r w:rsidR="00025C7E" w:rsidRPr="00DA5F4C">
        <w:rPr>
          <w:rFonts w:ascii="Arial" w:hAnsi="Arial"/>
          <w:sz w:val="20"/>
          <w:szCs w:val="20"/>
        </w:rPr>
        <w:t>21 OR #22</w:t>
      </w:r>
    </w:p>
    <w:p w14:paraId="26A64F4C" w14:textId="7B4B6BA1" w:rsidR="00C1522F" w:rsidRPr="00DA5F4C" w:rsidRDefault="00C1522F" w:rsidP="00DA5F4C">
      <w:pPr>
        <w:tabs>
          <w:tab w:val="left" w:pos="3356"/>
        </w:tabs>
        <w:spacing w:line="480" w:lineRule="auto"/>
        <w:jc w:val="both"/>
        <w:rPr>
          <w:rFonts w:ascii="Arial" w:hAnsi="Arial"/>
          <w:sz w:val="20"/>
          <w:szCs w:val="20"/>
        </w:rPr>
      </w:pPr>
      <w:proofErr w:type="gramStart"/>
      <w:r w:rsidRPr="00DA5F4C">
        <w:rPr>
          <w:rFonts w:ascii="Arial" w:hAnsi="Arial"/>
          <w:sz w:val="20"/>
          <w:szCs w:val="20"/>
        </w:rPr>
        <w:t>#</w:t>
      </w:r>
      <w:r w:rsidR="00025C7E" w:rsidRPr="00DA5F4C">
        <w:rPr>
          <w:rFonts w:ascii="Arial" w:hAnsi="Arial"/>
          <w:sz w:val="20"/>
          <w:szCs w:val="20"/>
        </w:rPr>
        <w:t>24</w:t>
      </w:r>
      <w:r w:rsidRPr="00DA5F4C">
        <w:rPr>
          <w:rFonts w:ascii="Arial" w:hAnsi="Arial"/>
          <w:sz w:val="20"/>
          <w:szCs w:val="20"/>
        </w:rPr>
        <w:t>: #</w:t>
      </w:r>
      <w:proofErr w:type="gramEnd"/>
      <w:r w:rsidRPr="00DA5F4C">
        <w:rPr>
          <w:rFonts w:ascii="Arial" w:hAnsi="Arial"/>
          <w:sz w:val="20"/>
          <w:szCs w:val="20"/>
        </w:rPr>
        <w:t>16 AND #</w:t>
      </w:r>
      <w:r w:rsidR="00025C7E" w:rsidRPr="00DA5F4C">
        <w:rPr>
          <w:rFonts w:ascii="Arial" w:hAnsi="Arial"/>
          <w:sz w:val="20"/>
          <w:szCs w:val="20"/>
        </w:rPr>
        <w:t>23</w:t>
      </w:r>
    </w:p>
    <w:p w14:paraId="553CEA74" w14:textId="77777777" w:rsidR="00C1522F" w:rsidRPr="00DA5F4C" w:rsidRDefault="00C1522F" w:rsidP="001B42EB">
      <w:pPr>
        <w:spacing w:line="480" w:lineRule="auto"/>
        <w:jc w:val="both"/>
        <w:rPr>
          <w:rFonts w:ascii="Arial" w:hAnsi="Arial"/>
          <w:sz w:val="20"/>
          <w:szCs w:val="20"/>
        </w:rPr>
      </w:pPr>
    </w:p>
    <w:p w14:paraId="1CFB47CC"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Embase </w:t>
      </w:r>
    </w:p>
    <w:p w14:paraId="6EFE26E9"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  'tocilizumab'/exp OR tocilizumab OR '</w:t>
      </w:r>
      <w:proofErr w:type="spellStart"/>
      <w:r w:rsidRPr="00DA5F4C">
        <w:rPr>
          <w:rFonts w:ascii="Arial" w:hAnsi="Arial"/>
          <w:sz w:val="20"/>
          <w:szCs w:val="20"/>
        </w:rPr>
        <w:t>roactemra</w:t>
      </w:r>
      <w:proofErr w:type="spellEnd"/>
      <w:r w:rsidRPr="00DA5F4C">
        <w:rPr>
          <w:rFonts w:ascii="Arial" w:hAnsi="Arial"/>
          <w:sz w:val="20"/>
          <w:szCs w:val="20"/>
        </w:rPr>
        <w:t xml:space="preserve">'/exp OR </w:t>
      </w:r>
      <w:proofErr w:type="spellStart"/>
      <w:r w:rsidRPr="00DA5F4C">
        <w:rPr>
          <w:rFonts w:ascii="Arial" w:hAnsi="Arial"/>
          <w:sz w:val="20"/>
          <w:szCs w:val="20"/>
        </w:rPr>
        <w:t>roactemra</w:t>
      </w:r>
      <w:proofErr w:type="spellEnd"/>
    </w:p>
    <w:p w14:paraId="2727B5A0"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#2.  'switch'/exp OR switch</w:t>
      </w:r>
    </w:p>
    <w:p w14:paraId="396F9411"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#3.  'change'</w:t>
      </w:r>
    </w:p>
    <w:p w14:paraId="08901AF5"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#4.  transition</w:t>
      </w:r>
    </w:p>
    <w:p w14:paraId="1B66E71F"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#5.  #2 OR #3 OR #4</w:t>
      </w:r>
    </w:p>
    <w:p w14:paraId="55BD59FD"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#6.  'drug'</w:t>
      </w:r>
    </w:p>
    <w:p w14:paraId="5C3234EC"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#7.  'administration'</w:t>
      </w:r>
    </w:p>
    <w:p w14:paraId="0D251ECC"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#8.  route</w:t>
      </w:r>
    </w:p>
    <w:p w14:paraId="641B4283"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#9.  '</w:t>
      </w:r>
      <w:proofErr w:type="gramStart"/>
      <w:r w:rsidRPr="00DA5F4C">
        <w:rPr>
          <w:rFonts w:ascii="Arial" w:hAnsi="Arial"/>
          <w:sz w:val="20"/>
          <w:szCs w:val="20"/>
        </w:rPr>
        <w:t>drug</w:t>
      </w:r>
      <w:proofErr w:type="gramEnd"/>
      <w:r w:rsidRPr="00DA5F4C">
        <w:rPr>
          <w:rFonts w:ascii="Arial" w:hAnsi="Arial"/>
          <w:sz w:val="20"/>
          <w:szCs w:val="20"/>
        </w:rPr>
        <w:t xml:space="preserve"> administration route'</w:t>
      </w:r>
    </w:p>
    <w:p w14:paraId="04D38398"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#10. #6 AND #7 AND #8</w:t>
      </w:r>
    </w:p>
    <w:p w14:paraId="416C1631"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#11. #9 OR #10</w:t>
      </w:r>
    </w:p>
    <w:p w14:paraId="6A9C2393" w14:textId="77777777" w:rsidR="00C1522F" w:rsidRPr="00DA5F4C" w:rsidRDefault="00C1522F" w:rsidP="001B42EB">
      <w:pPr>
        <w:spacing w:line="480" w:lineRule="auto"/>
        <w:jc w:val="both"/>
        <w:rPr>
          <w:rFonts w:ascii="Arial" w:hAnsi="Arial"/>
          <w:sz w:val="20"/>
          <w:szCs w:val="20"/>
        </w:rPr>
      </w:pPr>
      <w:proofErr w:type="gramStart"/>
      <w:r w:rsidRPr="00DA5F4C">
        <w:rPr>
          <w:rFonts w:ascii="Arial" w:hAnsi="Arial"/>
          <w:sz w:val="20"/>
          <w:szCs w:val="20"/>
        </w:rPr>
        <w:t>#12: #</w:t>
      </w:r>
      <w:proofErr w:type="gramEnd"/>
      <w:r w:rsidRPr="00DA5F4C">
        <w:rPr>
          <w:rFonts w:ascii="Arial" w:hAnsi="Arial"/>
          <w:sz w:val="20"/>
          <w:szCs w:val="20"/>
        </w:rPr>
        <w:t>5 AND #11</w:t>
      </w:r>
    </w:p>
    <w:p w14:paraId="030DAD13"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#13. '</w:t>
      </w:r>
      <w:proofErr w:type="gramStart"/>
      <w:r w:rsidRPr="00DA5F4C">
        <w:rPr>
          <w:rFonts w:ascii="Arial" w:hAnsi="Arial"/>
          <w:sz w:val="20"/>
          <w:szCs w:val="20"/>
        </w:rPr>
        <w:t>intravenous</w:t>
      </w:r>
      <w:proofErr w:type="gramEnd"/>
      <w:r w:rsidRPr="00DA5F4C">
        <w:rPr>
          <w:rFonts w:ascii="Arial" w:hAnsi="Arial"/>
          <w:sz w:val="20"/>
          <w:szCs w:val="20"/>
        </w:rPr>
        <w:t xml:space="preserve"> drug administration' OR ’intravenous</w:t>
      </w:r>
    </w:p>
    <w:p w14:paraId="3EB5703E"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#14. '</w:t>
      </w:r>
      <w:proofErr w:type="gramStart"/>
      <w:r w:rsidRPr="00DA5F4C">
        <w:rPr>
          <w:rFonts w:ascii="Arial" w:hAnsi="Arial"/>
          <w:sz w:val="20"/>
          <w:szCs w:val="20"/>
        </w:rPr>
        <w:t>subcutaneous</w:t>
      </w:r>
      <w:proofErr w:type="gramEnd"/>
      <w:r w:rsidRPr="00DA5F4C">
        <w:rPr>
          <w:rFonts w:ascii="Arial" w:hAnsi="Arial"/>
          <w:sz w:val="20"/>
          <w:szCs w:val="20"/>
        </w:rPr>
        <w:t xml:space="preserve"> drug administration' OR ‘subcutaneous’</w:t>
      </w:r>
    </w:p>
    <w:p w14:paraId="519FD929"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#15. #13 AND #14</w:t>
      </w:r>
    </w:p>
    <w:p w14:paraId="7C5AD42E"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#16. #12 OR #15</w:t>
      </w:r>
    </w:p>
    <w:p w14:paraId="438AE431"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#17. '</w:t>
      </w:r>
      <w:proofErr w:type="gramStart"/>
      <w:r w:rsidRPr="00DA5F4C">
        <w:rPr>
          <w:rFonts w:ascii="Arial" w:hAnsi="Arial"/>
          <w:sz w:val="20"/>
          <w:szCs w:val="20"/>
        </w:rPr>
        <w:t>rheumatoid</w:t>
      </w:r>
      <w:proofErr w:type="gramEnd"/>
      <w:r w:rsidRPr="00DA5F4C">
        <w:rPr>
          <w:rFonts w:ascii="Arial" w:hAnsi="Arial"/>
          <w:sz w:val="20"/>
          <w:szCs w:val="20"/>
        </w:rPr>
        <w:t xml:space="preserve"> arthritis'</w:t>
      </w:r>
    </w:p>
    <w:p w14:paraId="426112D4"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#18. #1 AND #16 AND #17</w:t>
      </w:r>
    </w:p>
    <w:p w14:paraId="0F7678B2" w14:textId="457BA384" w:rsidR="00025C7E" w:rsidRPr="00DA5F4C" w:rsidRDefault="00C1522F" w:rsidP="001B42EB">
      <w:pPr>
        <w:spacing w:line="480" w:lineRule="auto"/>
        <w:jc w:val="both"/>
        <w:rPr>
          <w:rFonts w:ascii="Arial" w:hAnsi="Arial"/>
          <w:sz w:val="20"/>
          <w:szCs w:val="20"/>
        </w:rPr>
      </w:pPr>
      <w:r w:rsidRPr="00DA5F4C">
        <w:rPr>
          <w:rFonts w:ascii="Arial" w:hAnsi="Arial"/>
          <w:sz w:val="20"/>
          <w:szCs w:val="20"/>
        </w:rPr>
        <w:t>#19</w:t>
      </w:r>
      <w:r w:rsidR="00AE0EE0">
        <w:rPr>
          <w:rFonts w:ascii="Arial" w:hAnsi="Arial"/>
          <w:sz w:val="20"/>
          <w:szCs w:val="20"/>
        </w:rPr>
        <w:t>.</w:t>
      </w:r>
      <w:r w:rsidRPr="00DA5F4C">
        <w:rPr>
          <w:rFonts w:ascii="Arial" w:hAnsi="Arial"/>
          <w:sz w:val="20"/>
          <w:szCs w:val="20"/>
        </w:rPr>
        <w:t xml:space="preserve"> </w:t>
      </w:r>
      <w:r w:rsidR="00AE0EE0">
        <w:rPr>
          <w:rFonts w:ascii="Arial" w:hAnsi="Arial"/>
          <w:sz w:val="20"/>
          <w:szCs w:val="20"/>
        </w:rPr>
        <w:t>drug AND maintenance</w:t>
      </w:r>
    </w:p>
    <w:p w14:paraId="473EDB9A" w14:textId="68854C90" w:rsidR="00AE0EE0" w:rsidRDefault="00025C7E" w:rsidP="001B42EB">
      <w:pPr>
        <w:spacing w:line="480" w:lineRule="auto"/>
        <w:jc w:val="both"/>
        <w:rPr>
          <w:rFonts w:ascii="Arial" w:hAnsi="Arial"/>
          <w:sz w:val="20"/>
          <w:szCs w:val="20"/>
        </w:rPr>
      </w:pPr>
      <w:r w:rsidRPr="00DA5F4C">
        <w:rPr>
          <w:rFonts w:ascii="Arial" w:hAnsi="Arial"/>
          <w:sz w:val="20"/>
          <w:szCs w:val="20"/>
        </w:rPr>
        <w:t>#</w:t>
      </w:r>
      <w:r w:rsidR="00AE0EE0">
        <w:rPr>
          <w:rFonts w:ascii="Arial" w:hAnsi="Arial"/>
          <w:sz w:val="20"/>
          <w:szCs w:val="20"/>
        </w:rPr>
        <w:t>20.</w:t>
      </w:r>
      <w:r w:rsidRPr="00DA5F4C">
        <w:rPr>
          <w:rFonts w:ascii="Arial" w:hAnsi="Arial"/>
          <w:sz w:val="20"/>
          <w:szCs w:val="20"/>
        </w:rPr>
        <w:t xml:space="preserve"> </w:t>
      </w:r>
      <w:r w:rsidR="00AE0EE0">
        <w:rPr>
          <w:rFonts w:ascii="Arial" w:hAnsi="Arial"/>
          <w:sz w:val="20"/>
          <w:szCs w:val="20"/>
        </w:rPr>
        <w:t>‘</w:t>
      </w:r>
      <w:proofErr w:type="gramStart"/>
      <w:r w:rsidR="00AE0EE0">
        <w:rPr>
          <w:rFonts w:ascii="Arial" w:hAnsi="Arial"/>
          <w:sz w:val="20"/>
          <w:szCs w:val="20"/>
        </w:rPr>
        <w:t>drug</w:t>
      </w:r>
      <w:proofErr w:type="gramEnd"/>
      <w:r w:rsidR="00AE0EE0">
        <w:rPr>
          <w:rFonts w:ascii="Arial" w:hAnsi="Arial"/>
          <w:sz w:val="20"/>
          <w:szCs w:val="20"/>
        </w:rPr>
        <w:t xml:space="preserve"> persistence’</w:t>
      </w:r>
    </w:p>
    <w:p w14:paraId="577557E1" w14:textId="6EADF5DD" w:rsidR="00AE0EE0" w:rsidRDefault="00AE0EE0" w:rsidP="001B42EB">
      <w:pPr>
        <w:spacing w:line="480" w:lineRule="auto"/>
        <w:jc w:val="both"/>
        <w:rPr>
          <w:rFonts w:ascii="Arial" w:hAnsi="Arial"/>
          <w:sz w:val="20"/>
          <w:szCs w:val="20"/>
        </w:rPr>
      </w:pPr>
      <w:r>
        <w:rPr>
          <w:rFonts w:ascii="Arial" w:hAnsi="Arial"/>
          <w:sz w:val="20"/>
          <w:szCs w:val="20"/>
        </w:rPr>
        <w:t>#21. ‘</w:t>
      </w:r>
      <w:proofErr w:type="gramStart"/>
      <w:r>
        <w:rPr>
          <w:rFonts w:ascii="Arial" w:hAnsi="Arial"/>
          <w:sz w:val="20"/>
          <w:szCs w:val="20"/>
        </w:rPr>
        <w:t>retention</w:t>
      </w:r>
      <w:proofErr w:type="gramEnd"/>
      <w:r>
        <w:rPr>
          <w:rFonts w:ascii="Arial" w:hAnsi="Arial"/>
          <w:sz w:val="20"/>
          <w:szCs w:val="20"/>
        </w:rPr>
        <w:t xml:space="preserve"> rate’</w:t>
      </w:r>
    </w:p>
    <w:p w14:paraId="3C8176F9" w14:textId="77777777" w:rsidR="00AE0EE0" w:rsidRDefault="00AE0EE0" w:rsidP="001B42EB">
      <w:pPr>
        <w:spacing w:line="480" w:lineRule="auto"/>
        <w:jc w:val="both"/>
        <w:rPr>
          <w:rFonts w:ascii="Arial" w:hAnsi="Arial"/>
          <w:sz w:val="20"/>
          <w:szCs w:val="20"/>
        </w:rPr>
      </w:pPr>
      <w:r>
        <w:rPr>
          <w:rFonts w:ascii="Arial" w:hAnsi="Arial"/>
          <w:sz w:val="20"/>
          <w:szCs w:val="20"/>
        </w:rPr>
        <w:lastRenderedPageBreak/>
        <w:t>#22. #19 OR #20 OR #21</w:t>
      </w:r>
    </w:p>
    <w:p w14:paraId="211C1F7E" w14:textId="4E6899D5" w:rsidR="00C1522F" w:rsidRPr="00DA5F4C" w:rsidRDefault="00AE0EE0" w:rsidP="001B42EB">
      <w:pPr>
        <w:spacing w:line="480" w:lineRule="auto"/>
        <w:jc w:val="both"/>
        <w:rPr>
          <w:rFonts w:ascii="Arial" w:hAnsi="Arial"/>
          <w:sz w:val="20"/>
          <w:szCs w:val="20"/>
        </w:rPr>
      </w:pPr>
      <w:r>
        <w:rPr>
          <w:rFonts w:ascii="Arial" w:hAnsi="Arial"/>
          <w:sz w:val="20"/>
          <w:szCs w:val="20"/>
        </w:rPr>
        <w:t xml:space="preserve">#23. </w:t>
      </w:r>
      <w:r w:rsidR="00C1522F" w:rsidRPr="00DA5F4C">
        <w:rPr>
          <w:rFonts w:ascii="Arial" w:hAnsi="Arial"/>
          <w:sz w:val="20"/>
          <w:szCs w:val="20"/>
        </w:rPr>
        <w:t>'efficacy'</w:t>
      </w:r>
    </w:p>
    <w:p w14:paraId="4EF0DB65" w14:textId="616F9B68" w:rsidR="00C1522F" w:rsidRPr="00DA5F4C" w:rsidRDefault="00C1522F" w:rsidP="001B42EB">
      <w:pPr>
        <w:spacing w:line="480" w:lineRule="auto"/>
        <w:jc w:val="both"/>
        <w:rPr>
          <w:rFonts w:ascii="Arial" w:hAnsi="Arial"/>
          <w:sz w:val="20"/>
          <w:szCs w:val="20"/>
        </w:rPr>
      </w:pPr>
      <w:r w:rsidRPr="00DA5F4C">
        <w:rPr>
          <w:rFonts w:ascii="Arial" w:hAnsi="Arial"/>
          <w:sz w:val="20"/>
          <w:szCs w:val="20"/>
        </w:rPr>
        <w:t>#2</w:t>
      </w:r>
      <w:r w:rsidR="00AE0EE0">
        <w:rPr>
          <w:rFonts w:ascii="Arial" w:hAnsi="Arial"/>
          <w:sz w:val="20"/>
          <w:szCs w:val="20"/>
        </w:rPr>
        <w:t>4.</w:t>
      </w:r>
      <w:r w:rsidRPr="00DA5F4C">
        <w:rPr>
          <w:rFonts w:ascii="Arial" w:hAnsi="Arial"/>
          <w:sz w:val="20"/>
          <w:szCs w:val="20"/>
        </w:rPr>
        <w:t xml:space="preserve"> 'safety'/exp OR safety</w:t>
      </w:r>
    </w:p>
    <w:p w14:paraId="091D9B7E" w14:textId="0CCA4BE2" w:rsidR="00C1522F" w:rsidRPr="00DA5F4C" w:rsidRDefault="00C1522F" w:rsidP="001B42EB">
      <w:pPr>
        <w:spacing w:line="480" w:lineRule="auto"/>
        <w:jc w:val="both"/>
        <w:rPr>
          <w:rFonts w:ascii="Arial" w:hAnsi="Arial"/>
          <w:sz w:val="20"/>
          <w:szCs w:val="20"/>
        </w:rPr>
      </w:pPr>
      <w:r w:rsidRPr="00DA5F4C">
        <w:rPr>
          <w:rFonts w:ascii="Arial" w:hAnsi="Arial"/>
          <w:sz w:val="20"/>
          <w:szCs w:val="20"/>
        </w:rPr>
        <w:t>#2</w:t>
      </w:r>
      <w:r w:rsidR="00AE0EE0">
        <w:rPr>
          <w:rFonts w:ascii="Arial" w:hAnsi="Arial"/>
          <w:sz w:val="20"/>
          <w:szCs w:val="20"/>
        </w:rPr>
        <w:t>5.</w:t>
      </w:r>
      <w:r w:rsidRPr="00DA5F4C">
        <w:rPr>
          <w:rFonts w:ascii="Arial" w:hAnsi="Arial"/>
          <w:sz w:val="20"/>
          <w:szCs w:val="20"/>
        </w:rPr>
        <w:t xml:space="preserve"> #</w:t>
      </w:r>
      <w:r w:rsidR="00AE0EE0">
        <w:rPr>
          <w:rFonts w:ascii="Arial" w:hAnsi="Arial"/>
          <w:sz w:val="20"/>
          <w:szCs w:val="20"/>
        </w:rPr>
        <w:t>22</w:t>
      </w:r>
      <w:r w:rsidRPr="00DA5F4C">
        <w:rPr>
          <w:rFonts w:ascii="Arial" w:hAnsi="Arial"/>
          <w:sz w:val="20"/>
          <w:szCs w:val="20"/>
        </w:rPr>
        <w:t xml:space="preserve"> OR #2</w:t>
      </w:r>
      <w:r w:rsidR="00AE0EE0">
        <w:rPr>
          <w:rFonts w:ascii="Arial" w:hAnsi="Arial"/>
          <w:sz w:val="20"/>
          <w:szCs w:val="20"/>
        </w:rPr>
        <w:t>3 OR #24</w:t>
      </w:r>
    </w:p>
    <w:p w14:paraId="4FE2F688" w14:textId="054AA3E3" w:rsidR="00C1522F" w:rsidRPr="00DA5F4C" w:rsidRDefault="00C1522F" w:rsidP="001B42EB">
      <w:pPr>
        <w:spacing w:line="480" w:lineRule="auto"/>
        <w:jc w:val="both"/>
        <w:rPr>
          <w:rFonts w:ascii="Arial" w:hAnsi="Arial"/>
          <w:sz w:val="20"/>
          <w:szCs w:val="20"/>
        </w:rPr>
      </w:pPr>
      <w:r w:rsidRPr="00DA5F4C">
        <w:rPr>
          <w:rFonts w:ascii="Arial" w:hAnsi="Arial"/>
          <w:sz w:val="20"/>
          <w:szCs w:val="20"/>
        </w:rPr>
        <w:t>#2</w:t>
      </w:r>
      <w:r w:rsidR="00AE0EE0">
        <w:rPr>
          <w:rFonts w:ascii="Arial" w:hAnsi="Arial"/>
          <w:sz w:val="20"/>
          <w:szCs w:val="20"/>
        </w:rPr>
        <w:t>6.</w:t>
      </w:r>
      <w:r w:rsidRPr="00DA5F4C">
        <w:rPr>
          <w:rFonts w:ascii="Arial" w:hAnsi="Arial"/>
          <w:sz w:val="20"/>
          <w:szCs w:val="20"/>
        </w:rPr>
        <w:t xml:space="preserve"> #18 AND #2</w:t>
      </w:r>
      <w:r w:rsidR="00AE0EE0">
        <w:rPr>
          <w:rFonts w:ascii="Arial" w:hAnsi="Arial"/>
          <w:sz w:val="20"/>
          <w:szCs w:val="20"/>
        </w:rPr>
        <w:t>5</w:t>
      </w:r>
    </w:p>
    <w:p w14:paraId="51189D5E" w14:textId="77777777" w:rsidR="00C1522F" w:rsidRPr="00DA5F4C" w:rsidRDefault="00C1522F" w:rsidP="001B42EB">
      <w:pPr>
        <w:spacing w:line="480" w:lineRule="auto"/>
        <w:jc w:val="both"/>
        <w:rPr>
          <w:rFonts w:ascii="Arial" w:hAnsi="Arial"/>
          <w:b/>
          <w:bCs/>
          <w:sz w:val="20"/>
          <w:szCs w:val="20"/>
        </w:rPr>
      </w:pPr>
    </w:p>
    <w:p w14:paraId="4026A597" w14:textId="77777777" w:rsidR="00C75A05" w:rsidRPr="00DA5F4C" w:rsidRDefault="00C75A05" w:rsidP="001B42EB">
      <w:pPr>
        <w:spacing w:after="160" w:line="480" w:lineRule="auto"/>
        <w:rPr>
          <w:rFonts w:ascii="Arial" w:hAnsi="Arial"/>
          <w:b/>
          <w:bCs/>
          <w:sz w:val="20"/>
          <w:szCs w:val="20"/>
        </w:rPr>
      </w:pPr>
      <w:r w:rsidRPr="00DA5F4C">
        <w:rPr>
          <w:rFonts w:ascii="Arial" w:hAnsi="Arial"/>
          <w:b/>
          <w:bCs/>
          <w:sz w:val="20"/>
          <w:szCs w:val="20"/>
        </w:rPr>
        <w:br w:type="page"/>
      </w:r>
    </w:p>
    <w:p w14:paraId="3859F072" w14:textId="10344423" w:rsidR="00C1522F" w:rsidRPr="00DA5F4C" w:rsidRDefault="00C1522F" w:rsidP="001B42EB">
      <w:pPr>
        <w:spacing w:line="480" w:lineRule="auto"/>
        <w:jc w:val="both"/>
        <w:rPr>
          <w:rFonts w:ascii="Arial" w:hAnsi="Arial"/>
          <w:sz w:val="20"/>
          <w:szCs w:val="20"/>
        </w:rPr>
      </w:pPr>
      <w:r w:rsidRPr="00DA5F4C">
        <w:rPr>
          <w:rFonts w:ascii="Arial" w:hAnsi="Arial"/>
          <w:sz w:val="20"/>
          <w:szCs w:val="20"/>
        </w:rPr>
        <w:lastRenderedPageBreak/>
        <w:t xml:space="preserve">Participants/population.                                                                                                                                                                                 </w:t>
      </w:r>
    </w:p>
    <w:p w14:paraId="6D6A2253" w14:textId="77777777" w:rsidR="00C1522F" w:rsidRPr="00DA5F4C" w:rsidRDefault="00C1522F" w:rsidP="001B42EB">
      <w:pPr>
        <w:pStyle w:val="Paragrafoelenco"/>
        <w:numPr>
          <w:ilvl w:val="0"/>
          <w:numId w:val="1"/>
        </w:numPr>
        <w:spacing w:line="480" w:lineRule="auto"/>
        <w:jc w:val="both"/>
        <w:rPr>
          <w:rFonts w:ascii="Arial" w:hAnsi="Arial"/>
          <w:sz w:val="20"/>
          <w:szCs w:val="20"/>
        </w:rPr>
      </w:pPr>
      <w:r w:rsidRPr="00DA5F4C">
        <w:rPr>
          <w:rFonts w:ascii="Arial" w:hAnsi="Arial"/>
          <w:sz w:val="20"/>
          <w:szCs w:val="20"/>
        </w:rPr>
        <w:t xml:space="preserve">Inclusion criteria: </w:t>
      </w:r>
    </w:p>
    <w:p w14:paraId="1BB3ACFC"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Male and female patients of all ethnic groups over 18 y/o</w:t>
      </w:r>
    </w:p>
    <w:p w14:paraId="57000980"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Clinical diagnosis of AR</w:t>
      </w:r>
    </w:p>
    <w:p w14:paraId="3779580E"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Switched from IV to SC TCZ</w:t>
      </w:r>
    </w:p>
    <w:p w14:paraId="4533E1C9"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Outcome data</w:t>
      </w:r>
    </w:p>
    <w:p w14:paraId="7269A78B" w14:textId="0485448F"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Systematic literature reviews, meta-analyses, RCTs, controlled trials, non-controlled trials, cohort studies, cross-sectional studies, case-control studies, case series (&gt;5 patients), congress abstract</w:t>
      </w:r>
      <w:r w:rsidR="00A1288C" w:rsidRPr="00DA5F4C">
        <w:rPr>
          <w:rFonts w:ascii="Arial" w:hAnsi="Arial"/>
          <w:sz w:val="20"/>
          <w:szCs w:val="20"/>
        </w:rPr>
        <w:t>s</w:t>
      </w:r>
      <w:r w:rsidRPr="00DA5F4C">
        <w:rPr>
          <w:rFonts w:ascii="Arial" w:hAnsi="Arial"/>
          <w:sz w:val="20"/>
          <w:szCs w:val="20"/>
        </w:rPr>
        <w:t xml:space="preserve"> (</w:t>
      </w:r>
      <w:r w:rsidR="00DF7F6B" w:rsidRPr="00DA5F4C">
        <w:rPr>
          <w:rFonts w:ascii="Arial" w:hAnsi="Arial"/>
          <w:sz w:val="20"/>
          <w:szCs w:val="20"/>
        </w:rPr>
        <w:t>≤</w:t>
      </w:r>
      <w:r w:rsidRPr="00DA5F4C">
        <w:rPr>
          <w:rFonts w:ascii="Arial" w:hAnsi="Arial"/>
          <w:sz w:val="20"/>
          <w:szCs w:val="20"/>
        </w:rPr>
        <w:t>2 years).</w:t>
      </w:r>
    </w:p>
    <w:p w14:paraId="5A4D834B"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English; Italian</w:t>
      </w:r>
    </w:p>
    <w:p w14:paraId="6AB2C190" w14:textId="77777777" w:rsidR="00C1522F" w:rsidRPr="00DA5F4C" w:rsidRDefault="00C1522F" w:rsidP="001B42EB">
      <w:pPr>
        <w:pStyle w:val="Paragrafoelenco"/>
        <w:numPr>
          <w:ilvl w:val="0"/>
          <w:numId w:val="1"/>
        </w:numPr>
        <w:spacing w:line="480" w:lineRule="auto"/>
        <w:jc w:val="both"/>
        <w:rPr>
          <w:rFonts w:ascii="Arial" w:hAnsi="Arial"/>
          <w:sz w:val="20"/>
          <w:szCs w:val="20"/>
        </w:rPr>
      </w:pPr>
      <w:r w:rsidRPr="00DA5F4C">
        <w:rPr>
          <w:rFonts w:ascii="Arial" w:hAnsi="Arial"/>
          <w:sz w:val="20"/>
          <w:szCs w:val="20"/>
        </w:rPr>
        <w:t xml:space="preserve">Exclusion criteria: </w:t>
      </w:r>
    </w:p>
    <w:p w14:paraId="66B8B20A"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&lt;18 y/o patients</w:t>
      </w:r>
    </w:p>
    <w:p w14:paraId="569305B8" w14:textId="77777777"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studies in animals, studies in other disease conditions different from the pre-specified ones.</w:t>
      </w:r>
    </w:p>
    <w:p w14:paraId="614F46BF" w14:textId="77777777" w:rsidR="00C1522F" w:rsidRPr="00DA5F4C" w:rsidRDefault="00C1522F" w:rsidP="001B42EB">
      <w:pPr>
        <w:spacing w:line="480" w:lineRule="auto"/>
        <w:jc w:val="both"/>
        <w:rPr>
          <w:rFonts w:ascii="Arial" w:hAnsi="Arial"/>
          <w:b/>
          <w:bCs/>
          <w:sz w:val="20"/>
          <w:szCs w:val="20"/>
        </w:rPr>
      </w:pPr>
    </w:p>
    <w:p w14:paraId="395A0499" w14:textId="77777777" w:rsidR="00C1522F" w:rsidRPr="00DA5F4C" w:rsidRDefault="00C1522F" w:rsidP="001B42EB">
      <w:pPr>
        <w:spacing w:line="480" w:lineRule="auto"/>
        <w:jc w:val="both"/>
        <w:rPr>
          <w:rFonts w:ascii="Arial" w:hAnsi="Arial"/>
          <w:b/>
          <w:bCs/>
          <w:sz w:val="20"/>
          <w:szCs w:val="20"/>
        </w:rPr>
      </w:pPr>
      <w:r w:rsidRPr="00DA5F4C">
        <w:rPr>
          <w:rFonts w:ascii="Arial" w:hAnsi="Arial"/>
          <w:b/>
          <w:bCs/>
          <w:sz w:val="20"/>
          <w:szCs w:val="20"/>
        </w:rPr>
        <w:t>Type of studies included.</w:t>
      </w:r>
    </w:p>
    <w:p w14:paraId="4D6F3B0C" w14:textId="3007ACCC" w:rsidR="00C1522F" w:rsidRPr="00DA5F4C" w:rsidRDefault="00A1288C" w:rsidP="001B42EB">
      <w:pPr>
        <w:spacing w:line="480" w:lineRule="auto"/>
        <w:jc w:val="both"/>
        <w:rPr>
          <w:rFonts w:ascii="Arial" w:hAnsi="Arial"/>
          <w:sz w:val="20"/>
          <w:szCs w:val="20"/>
        </w:rPr>
      </w:pPr>
      <w:r w:rsidRPr="00DA5F4C">
        <w:rPr>
          <w:rFonts w:ascii="Arial" w:hAnsi="Arial"/>
          <w:sz w:val="20"/>
          <w:szCs w:val="20"/>
        </w:rPr>
        <w:t>M</w:t>
      </w:r>
      <w:r w:rsidR="00C1522F" w:rsidRPr="00DA5F4C">
        <w:rPr>
          <w:rFonts w:ascii="Arial" w:hAnsi="Arial"/>
          <w:sz w:val="20"/>
          <w:szCs w:val="20"/>
        </w:rPr>
        <w:t>eta-analysis, randomized-controlled trials, cohort, case-control, case series (&gt;5 patients), congress abstract (</w:t>
      </w:r>
      <w:r w:rsidR="00C1522F" w:rsidRPr="00DA5F4C">
        <w:rPr>
          <w:rFonts w:ascii="Cambria Math" w:hAnsi="Cambria Math" w:cs="Cambria Math"/>
          <w:sz w:val="20"/>
          <w:szCs w:val="20"/>
        </w:rPr>
        <w:t>⩽</w:t>
      </w:r>
      <w:r w:rsidR="00C1522F" w:rsidRPr="00DA5F4C">
        <w:rPr>
          <w:rFonts w:ascii="Arial" w:hAnsi="Arial"/>
          <w:sz w:val="20"/>
          <w:szCs w:val="20"/>
        </w:rPr>
        <w:t>2 years).</w:t>
      </w:r>
    </w:p>
    <w:p w14:paraId="3F39108E" w14:textId="444CB898"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Studies satisfying the following exclusion criteria </w:t>
      </w:r>
      <w:r w:rsidR="00A1288C" w:rsidRPr="00DA5F4C">
        <w:rPr>
          <w:rFonts w:ascii="Arial" w:hAnsi="Arial"/>
          <w:sz w:val="20"/>
          <w:szCs w:val="20"/>
        </w:rPr>
        <w:t xml:space="preserve">were not </w:t>
      </w:r>
      <w:r w:rsidRPr="00DA5F4C">
        <w:rPr>
          <w:rFonts w:ascii="Arial" w:hAnsi="Arial"/>
          <w:sz w:val="20"/>
          <w:szCs w:val="20"/>
        </w:rPr>
        <w:t xml:space="preserve">selected: </w:t>
      </w:r>
    </w:p>
    <w:p w14:paraId="0B3CDF39" w14:textId="6458FFC4"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 not regarding the disease of </w:t>
      </w:r>
      <w:proofErr w:type="gramStart"/>
      <w:r w:rsidRPr="00DA5F4C">
        <w:rPr>
          <w:rFonts w:ascii="Arial" w:hAnsi="Arial"/>
          <w:sz w:val="20"/>
          <w:szCs w:val="20"/>
        </w:rPr>
        <w:t>interest</w:t>
      </w:r>
      <w:r w:rsidR="00A1288C" w:rsidRPr="00DA5F4C">
        <w:rPr>
          <w:rFonts w:ascii="Arial" w:hAnsi="Arial"/>
          <w:sz w:val="20"/>
          <w:szCs w:val="20"/>
        </w:rPr>
        <w:t>;</w:t>
      </w:r>
      <w:proofErr w:type="gramEnd"/>
    </w:p>
    <w:p w14:paraId="394C33B2" w14:textId="3898697B"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congress proceedings and abstracts (&gt;2 years</w:t>
      </w:r>
      <w:proofErr w:type="gramStart"/>
      <w:r w:rsidRPr="00DA5F4C">
        <w:rPr>
          <w:rFonts w:ascii="Arial" w:hAnsi="Arial"/>
          <w:sz w:val="20"/>
          <w:szCs w:val="20"/>
        </w:rPr>
        <w:t>)</w:t>
      </w:r>
      <w:r w:rsidR="00A1288C" w:rsidRPr="00DA5F4C">
        <w:rPr>
          <w:rFonts w:ascii="Arial" w:hAnsi="Arial"/>
          <w:sz w:val="20"/>
          <w:szCs w:val="20"/>
        </w:rPr>
        <w:t>;</w:t>
      </w:r>
      <w:proofErr w:type="gramEnd"/>
    </w:p>
    <w:p w14:paraId="3B681106" w14:textId="6C2E8241"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 duplicate </w:t>
      </w:r>
      <w:proofErr w:type="gramStart"/>
      <w:r w:rsidRPr="00DA5F4C">
        <w:rPr>
          <w:rFonts w:ascii="Arial" w:hAnsi="Arial"/>
          <w:sz w:val="20"/>
          <w:szCs w:val="20"/>
        </w:rPr>
        <w:t>publication</w:t>
      </w:r>
      <w:r w:rsidR="00A1288C" w:rsidRPr="00DA5F4C">
        <w:rPr>
          <w:rFonts w:ascii="Arial" w:hAnsi="Arial"/>
          <w:sz w:val="20"/>
          <w:szCs w:val="20"/>
        </w:rPr>
        <w:t>;</w:t>
      </w:r>
      <w:proofErr w:type="gramEnd"/>
    </w:p>
    <w:p w14:paraId="2261F975" w14:textId="09E4A9CE" w:rsidR="00C1522F" w:rsidRPr="00DA5F4C" w:rsidRDefault="00C1522F" w:rsidP="001B42EB">
      <w:pPr>
        <w:spacing w:line="480" w:lineRule="auto"/>
        <w:jc w:val="both"/>
        <w:rPr>
          <w:rFonts w:ascii="Arial" w:hAnsi="Arial"/>
          <w:sz w:val="20"/>
          <w:szCs w:val="20"/>
        </w:rPr>
      </w:pPr>
      <w:r w:rsidRPr="00DA5F4C">
        <w:rPr>
          <w:rFonts w:ascii="Arial" w:hAnsi="Arial"/>
          <w:sz w:val="20"/>
          <w:szCs w:val="20"/>
        </w:rPr>
        <w:t xml:space="preserve">- case </w:t>
      </w:r>
      <w:proofErr w:type="gramStart"/>
      <w:r w:rsidRPr="00DA5F4C">
        <w:rPr>
          <w:rFonts w:ascii="Arial" w:hAnsi="Arial"/>
          <w:sz w:val="20"/>
          <w:szCs w:val="20"/>
        </w:rPr>
        <w:t>reports</w:t>
      </w:r>
      <w:r w:rsidR="00A1288C" w:rsidRPr="00DA5F4C">
        <w:rPr>
          <w:rFonts w:ascii="Arial" w:hAnsi="Arial"/>
          <w:sz w:val="20"/>
          <w:szCs w:val="20"/>
        </w:rPr>
        <w:t>;</w:t>
      </w:r>
      <w:proofErr w:type="gramEnd"/>
      <w:r w:rsidRPr="00DA5F4C">
        <w:rPr>
          <w:rFonts w:ascii="Arial" w:hAnsi="Arial"/>
          <w:sz w:val="20"/>
          <w:szCs w:val="20"/>
        </w:rPr>
        <w:t xml:space="preserve"> </w:t>
      </w:r>
    </w:p>
    <w:p w14:paraId="237CA2AF" w14:textId="77777777" w:rsidR="00C75A05" w:rsidRPr="00DA5F4C" w:rsidRDefault="00C1522F" w:rsidP="001B42EB">
      <w:pPr>
        <w:spacing w:after="160" w:line="480" w:lineRule="auto"/>
        <w:rPr>
          <w:rFonts w:ascii="Arial" w:hAnsi="Arial"/>
          <w:b/>
          <w:bCs/>
          <w:sz w:val="20"/>
          <w:szCs w:val="20"/>
        </w:rPr>
      </w:pPr>
      <w:r w:rsidRPr="00DA5F4C">
        <w:rPr>
          <w:rFonts w:ascii="Arial" w:hAnsi="Arial"/>
          <w:sz w:val="20"/>
          <w:szCs w:val="20"/>
        </w:rPr>
        <w:t>- letters to the editor</w:t>
      </w:r>
      <w:r w:rsidR="00C75A05" w:rsidRPr="00DA5F4C">
        <w:rPr>
          <w:rFonts w:ascii="Arial" w:hAnsi="Arial"/>
          <w:b/>
          <w:bCs/>
          <w:sz w:val="20"/>
          <w:szCs w:val="20"/>
        </w:rPr>
        <w:t>.</w:t>
      </w:r>
    </w:p>
    <w:p w14:paraId="7294CAE9" w14:textId="77777777" w:rsidR="0061432C" w:rsidRPr="00DA5F4C" w:rsidRDefault="0061432C" w:rsidP="001B42EB">
      <w:pPr>
        <w:spacing w:after="160" w:line="480" w:lineRule="auto"/>
        <w:rPr>
          <w:rFonts w:ascii="Arial" w:hAnsi="Arial"/>
          <w:b/>
          <w:bCs/>
          <w:sz w:val="20"/>
          <w:szCs w:val="20"/>
        </w:rPr>
      </w:pPr>
      <w:r w:rsidRPr="00DA5F4C">
        <w:rPr>
          <w:rFonts w:ascii="Arial" w:hAnsi="Arial"/>
          <w:b/>
          <w:bCs/>
          <w:sz w:val="20"/>
          <w:szCs w:val="20"/>
        </w:rPr>
        <w:br w:type="page"/>
      </w:r>
    </w:p>
    <w:p w14:paraId="5329214F" w14:textId="77777777" w:rsidR="0061432C" w:rsidRPr="00DA5F4C" w:rsidRDefault="0061432C" w:rsidP="001B42EB">
      <w:pPr>
        <w:pStyle w:val="Titolo2"/>
        <w:spacing w:line="480" w:lineRule="auto"/>
        <w:rPr>
          <w:rFonts w:ascii="Arial" w:hAnsi="Arial" w:cs="Arial"/>
          <w:b/>
          <w:bCs/>
          <w:color w:val="auto"/>
          <w:sz w:val="20"/>
          <w:szCs w:val="20"/>
        </w:rPr>
      </w:pPr>
      <w:r w:rsidRPr="00DA5F4C">
        <w:rPr>
          <w:rFonts w:ascii="Arial" w:hAnsi="Arial" w:cs="Arial"/>
          <w:b/>
          <w:bCs/>
          <w:color w:val="auto"/>
          <w:sz w:val="20"/>
          <w:szCs w:val="20"/>
        </w:rPr>
        <w:lastRenderedPageBreak/>
        <w:t>Supplementary Tables</w:t>
      </w:r>
    </w:p>
    <w:p w14:paraId="5977C081" w14:textId="5067ED30" w:rsidR="00D50B3A" w:rsidRPr="00C250BE" w:rsidRDefault="00997D09" w:rsidP="001B42EB">
      <w:pPr>
        <w:spacing w:line="480" w:lineRule="auto"/>
        <w:jc w:val="both"/>
        <w:rPr>
          <w:rFonts w:ascii="Arial" w:hAnsi="Arial"/>
          <w:sz w:val="20"/>
          <w:szCs w:val="20"/>
        </w:rPr>
      </w:pPr>
      <w:r w:rsidRPr="00DA5F4C">
        <w:rPr>
          <w:rFonts w:ascii="Arial" w:hAnsi="Arial"/>
          <w:b/>
          <w:bCs/>
          <w:sz w:val="20"/>
          <w:szCs w:val="20"/>
        </w:rPr>
        <w:t xml:space="preserve">Supplementary </w:t>
      </w:r>
      <w:r w:rsidR="00D50B3A" w:rsidRPr="00DA5F4C">
        <w:rPr>
          <w:rFonts w:ascii="Arial" w:hAnsi="Arial"/>
          <w:b/>
          <w:bCs/>
          <w:sz w:val="20"/>
          <w:szCs w:val="20"/>
        </w:rPr>
        <w:t>Table S1</w:t>
      </w:r>
      <w:r w:rsidR="004D3E32" w:rsidRPr="00C250BE">
        <w:rPr>
          <w:rFonts w:ascii="Arial" w:hAnsi="Arial"/>
          <w:b/>
          <w:bCs/>
          <w:sz w:val="20"/>
          <w:szCs w:val="20"/>
        </w:rPr>
        <w:t>:</w:t>
      </w:r>
      <w:r w:rsidR="00D50B3A" w:rsidRPr="00C250BE">
        <w:rPr>
          <w:rFonts w:ascii="Arial" w:hAnsi="Arial"/>
          <w:sz w:val="20"/>
          <w:szCs w:val="20"/>
        </w:rPr>
        <w:t xml:space="preserve"> PRISMA 2.0 Checklist</w:t>
      </w:r>
      <w:r w:rsidR="00411781" w:rsidRPr="00C250BE">
        <w:rPr>
          <w:rFonts w:ascii="Arial" w:hAnsi="Arial"/>
          <w:sz w:val="20"/>
          <w:szCs w:val="20"/>
        </w:rPr>
        <w:t xml:space="preserve"> </w:t>
      </w:r>
      <w:r w:rsidR="00411781" w:rsidRPr="00C250BE">
        <w:rPr>
          <w:rFonts w:ascii="Arial" w:hAnsi="Arial"/>
          <w:sz w:val="20"/>
          <w:szCs w:val="20"/>
        </w:rPr>
        <w:fldChar w:fldCharType="begin"/>
      </w:r>
      <w:r w:rsidR="004D3E32" w:rsidRPr="00C250BE">
        <w:rPr>
          <w:rFonts w:ascii="Arial" w:hAnsi="Arial"/>
          <w:sz w:val="20"/>
          <w:szCs w:val="20"/>
        </w:rPr>
        <w:instrText xml:space="preserve"> ADDIN ZOTERO_ITEM CSL_CITATION {"citationID":"CLwndaR4","properties":{"formattedCitation":"\\super 3\\nosupersub{}","plainCitation":"3","noteIndex":0},"citationItems":[{"id":"9lKPliey/OQ1DNJTc","uris":["http://zotero.org/users/3826492/items/FNP49FCW"],"itemData":{"id":3661,"type":"article-journal","container-title":"BMJ (Clinical research ed.)","DOI":"10.1136/bmj.n71","ISSN":"1756-1833","journalAbbreviation":"BMJ","language":"eng","note":"PMID: 33782057\nPMCID: PMC8005924","page":"n71","source":"PubMed","title":"The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411781" w:rsidRPr="00C250BE">
        <w:rPr>
          <w:rFonts w:ascii="Arial" w:hAnsi="Arial"/>
          <w:sz w:val="20"/>
          <w:szCs w:val="20"/>
        </w:rPr>
        <w:fldChar w:fldCharType="separate"/>
      </w:r>
      <w:r w:rsidR="004D3E32" w:rsidRPr="00C250BE">
        <w:rPr>
          <w:rFonts w:ascii="Arial" w:hAnsi="Arial"/>
          <w:sz w:val="20"/>
          <w:szCs w:val="20"/>
          <w:vertAlign w:val="superscript"/>
        </w:rPr>
        <w:t>3</w:t>
      </w:r>
      <w:r w:rsidR="00411781" w:rsidRPr="00C250BE">
        <w:rPr>
          <w:rFonts w:ascii="Arial" w:hAnsi="Arial"/>
          <w:sz w:val="20"/>
          <w:szCs w:val="20"/>
        </w:rPr>
        <w:fldChar w:fldCharType="end"/>
      </w:r>
      <w:r w:rsidR="00D50B3A" w:rsidRPr="00C250BE">
        <w:rPr>
          <w:rFonts w:ascii="Arial" w:hAnsi="Arial"/>
          <w:sz w:val="20"/>
          <w:szCs w:val="20"/>
        </w:rPr>
        <w:t>.</w:t>
      </w:r>
    </w:p>
    <w:tbl>
      <w:tblPr>
        <w:tblW w:w="0" w:type="auto"/>
        <w:jc w:val="center"/>
        <w:tblLook w:val="0420" w:firstRow="1" w:lastRow="0" w:firstColumn="0" w:lastColumn="0" w:noHBand="0" w:noVBand="1"/>
      </w:tblPr>
      <w:tblGrid>
        <w:gridCol w:w="1983"/>
        <w:gridCol w:w="501"/>
        <w:gridCol w:w="5244"/>
        <w:gridCol w:w="1278"/>
      </w:tblGrid>
      <w:tr w:rsidR="00B74F67" w:rsidRPr="00B74F67" w14:paraId="03C3C032" w14:textId="77777777" w:rsidTr="0054554B">
        <w:trPr>
          <w:cantSplit/>
          <w:tblHeader/>
          <w:jc w:val="center"/>
        </w:trPr>
        <w:tc>
          <w:tcPr>
            <w:tcW w:w="0" w:type="auto"/>
            <w:tcBorders>
              <w:top w:val="single" w:sz="8" w:space="0" w:color="000000"/>
              <w:left w:val="single" w:sz="8" w:space="0" w:color="000000"/>
              <w:bottom w:val="single" w:sz="8" w:space="0" w:color="000000"/>
            </w:tcBorders>
            <w:tcMar>
              <w:top w:w="0" w:type="dxa"/>
              <w:left w:w="0" w:type="dxa"/>
              <w:bottom w:w="0" w:type="dxa"/>
              <w:right w:w="0" w:type="dxa"/>
            </w:tcMar>
            <w:vAlign w:val="center"/>
          </w:tcPr>
          <w:p w14:paraId="10A1F4DE"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Topic</w:t>
            </w:r>
          </w:p>
        </w:tc>
        <w:tc>
          <w:tcPr>
            <w:tcW w:w="0" w:type="auto"/>
            <w:tcBorders>
              <w:top w:val="single" w:sz="8" w:space="0" w:color="000000"/>
              <w:bottom w:val="single" w:sz="8" w:space="0" w:color="000000"/>
            </w:tcBorders>
            <w:tcMar>
              <w:top w:w="0" w:type="dxa"/>
              <w:left w:w="0" w:type="dxa"/>
              <w:bottom w:w="0" w:type="dxa"/>
              <w:right w:w="0" w:type="dxa"/>
            </w:tcMar>
            <w:vAlign w:val="center"/>
          </w:tcPr>
          <w:p w14:paraId="303B9921" w14:textId="77777777" w:rsidR="00F55F4C" w:rsidRPr="00B74F67" w:rsidRDefault="00F55F4C" w:rsidP="009175EA">
            <w:pPr>
              <w:spacing w:before="100" w:after="100"/>
              <w:ind w:left="100" w:right="100"/>
              <w:jc w:val="center"/>
              <w:rPr>
                <w:rFonts w:ascii="Arial" w:hAnsi="Arial"/>
              </w:rPr>
            </w:pPr>
            <w:r w:rsidRPr="00B74F67">
              <w:rPr>
                <w:rFonts w:ascii="Arial" w:eastAsia="DejaVu Sans" w:hAnsi="Arial"/>
                <w:b/>
                <w:sz w:val="18"/>
                <w:szCs w:val="18"/>
              </w:rPr>
              <w:t>No.</w:t>
            </w:r>
          </w:p>
        </w:tc>
        <w:tc>
          <w:tcPr>
            <w:tcW w:w="0" w:type="auto"/>
            <w:tcBorders>
              <w:top w:val="single" w:sz="8" w:space="0" w:color="000000"/>
              <w:bottom w:val="single" w:sz="8" w:space="0" w:color="000000"/>
            </w:tcBorders>
            <w:tcMar>
              <w:top w:w="0" w:type="dxa"/>
              <w:left w:w="0" w:type="dxa"/>
              <w:bottom w:w="0" w:type="dxa"/>
              <w:right w:w="0" w:type="dxa"/>
            </w:tcMar>
            <w:vAlign w:val="center"/>
          </w:tcPr>
          <w:p w14:paraId="796E4E77"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Item</w:t>
            </w:r>
          </w:p>
        </w:tc>
        <w:tc>
          <w:tcPr>
            <w:tcW w:w="0" w:type="auto"/>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17C53660" w14:textId="77777777" w:rsidR="00F55F4C" w:rsidRPr="00B74F67" w:rsidRDefault="00F55F4C" w:rsidP="009175EA">
            <w:pPr>
              <w:spacing w:before="100" w:after="100"/>
              <w:ind w:left="100" w:right="100"/>
              <w:jc w:val="center"/>
              <w:rPr>
                <w:rFonts w:ascii="Arial" w:hAnsi="Arial"/>
              </w:rPr>
            </w:pPr>
            <w:r w:rsidRPr="00B74F67">
              <w:rPr>
                <w:rFonts w:ascii="Arial" w:eastAsia="DejaVu Sans" w:hAnsi="Arial"/>
                <w:b/>
                <w:sz w:val="18"/>
                <w:szCs w:val="18"/>
              </w:rPr>
              <w:t>Location where item is reported</w:t>
            </w:r>
          </w:p>
        </w:tc>
      </w:tr>
      <w:tr w:rsidR="00B74F67" w:rsidRPr="00B74F67" w14:paraId="30454F8B" w14:textId="77777777" w:rsidTr="0054554B">
        <w:trPr>
          <w:cantSplit/>
          <w:jc w:val="center"/>
        </w:trPr>
        <w:tc>
          <w:tcPr>
            <w:tcW w:w="0" w:type="auto"/>
            <w:tcBorders>
              <w:top w:val="single" w:sz="8" w:space="0" w:color="000000"/>
              <w:left w:val="single" w:sz="8" w:space="0" w:color="000000"/>
              <w:bottom w:val="single" w:sz="4" w:space="0" w:color="auto"/>
            </w:tcBorders>
            <w:tcMar>
              <w:top w:w="0" w:type="dxa"/>
              <w:left w:w="0" w:type="dxa"/>
              <w:bottom w:w="0" w:type="dxa"/>
              <w:right w:w="0" w:type="dxa"/>
            </w:tcMar>
          </w:tcPr>
          <w:p w14:paraId="07B0DDF0"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TITLE</w:t>
            </w:r>
          </w:p>
        </w:tc>
        <w:tc>
          <w:tcPr>
            <w:tcW w:w="0" w:type="auto"/>
            <w:tcBorders>
              <w:top w:val="single" w:sz="8" w:space="0" w:color="000000"/>
              <w:bottom w:val="single" w:sz="4" w:space="0" w:color="auto"/>
            </w:tcBorders>
            <w:tcMar>
              <w:top w:w="0" w:type="dxa"/>
              <w:left w:w="0" w:type="dxa"/>
              <w:bottom w:w="0" w:type="dxa"/>
              <w:right w:w="0" w:type="dxa"/>
            </w:tcMar>
            <w:vAlign w:val="center"/>
          </w:tcPr>
          <w:p w14:paraId="273EF444"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8" w:space="0" w:color="000000"/>
              <w:bottom w:val="single" w:sz="4" w:space="0" w:color="auto"/>
            </w:tcBorders>
            <w:tcMar>
              <w:top w:w="0" w:type="dxa"/>
              <w:left w:w="0" w:type="dxa"/>
              <w:bottom w:w="0" w:type="dxa"/>
              <w:right w:w="0" w:type="dxa"/>
            </w:tcMar>
          </w:tcPr>
          <w:p w14:paraId="352D9165" w14:textId="77777777" w:rsidR="00F55F4C" w:rsidRPr="00B74F67" w:rsidRDefault="00F55F4C" w:rsidP="009175EA">
            <w:pPr>
              <w:spacing w:before="100" w:after="100"/>
              <w:ind w:left="100" w:right="100"/>
              <w:rPr>
                <w:rFonts w:ascii="Arial" w:hAnsi="Arial"/>
              </w:rPr>
            </w:pPr>
          </w:p>
        </w:tc>
        <w:tc>
          <w:tcPr>
            <w:tcW w:w="0" w:type="auto"/>
            <w:tcBorders>
              <w:top w:val="single" w:sz="8" w:space="0" w:color="000000"/>
              <w:bottom w:val="single" w:sz="4" w:space="0" w:color="auto"/>
              <w:right w:val="single" w:sz="8" w:space="0" w:color="000000"/>
            </w:tcBorders>
            <w:tcMar>
              <w:top w:w="0" w:type="dxa"/>
              <w:left w:w="0" w:type="dxa"/>
              <w:bottom w:w="0" w:type="dxa"/>
              <w:right w:w="0" w:type="dxa"/>
            </w:tcMar>
            <w:vAlign w:val="center"/>
          </w:tcPr>
          <w:p w14:paraId="302FAE7A"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25CA5460" w14:textId="77777777" w:rsidTr="0054554B">
        <w:trPr>
          <w:cantSplit/>
          <w:jc w:val="center"/>
        </w:trPr>
        <w:tc>
          <w:tcPr>
            <w:tcW w:w="0" w:type="auto"/>
            <w:tcBorders>
              <w:top w:val="single" w:sz="4" w:space="0" w:color="auto"/>
              <w:left w:val="single" w:sz="8" w:space="0" w:color="000000"/>
              <w:bottom w:val="single" w:sz="12" w:space="0" w:color="auto"/>
            </w:tcBorders>
            <w:tcMar>
              <w:top w:w="0" w:type="dxa"/>
              <w:left w:w="0" w:type="dxa"/>
              <w:bottom w:w="0" w:type="dxa"/>
              <w:right w:w="0" w:type="dxa"/>
            </w:tcMar>
          </w:tcPr>
          <w:p w14:paraId="6E095D70"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Title</w:t>
            </w:r>
          </w:p>
        </w:tc>
        <w:tc>
          <w:tcPr>
            <w:tcW w:w="0" w:type="auto"/>
            <w:tcBorders>
              <w:top w:val="single" w:sz="4" w:space="0" w:color="auto"/>
              <w:bottom w:val="single" w:sz="12" w:space="0" w:color="auto"/>
            </w:tcBorders>
            <w:tcMar>
              <w:top w:w="0" w:type="dxa"/>
              <w:left w:w="0" w:type="dxa"/>
              <w:bottom w:w="0" w:type="dxa"/>
              <w:right w:w="0" w:type="dxa"/>
            </w:tcMar>
            <w:vAlign w:val="center"/>
          </w:tcPr>
          <w:p w14:paraId="785278A3"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p>
        </w:tc>
        <w:tc>
          <w:tcPr>
            <w:tcW w:w="0" w:type="auto"/>
            <w:tcBorders>
              <w:top w:val="single" w:sz="4" w:space="0" w:color="auto"/>
              <w:bottom w:val="single" w:sz="12" w:space="0" w:color="auto"/>
            </w:tcBorders>
            <w:tcMar>
              <w:top w:w="0" w:type="dxa"/>
              <w:left w:w="0" w:type="dxa"/>
              <w:bottom w:w="0" w:type="dxa"/>
              <w:right w:w="0" w:type="dxa"/>
            </w:tcMar>
          </w:tcPr>
          <w:p w14:paraId="0EEAF53C"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Identify the report as a systematic review. </w:t>
            </w:r>
          </w:p>
        </w:tc>
        <w:tc>
          <w:tcPr>
            <w:tcW w:w="0" w:type="auto"/>
            <w:tcBorders>
              <w:top w:val="single" w:sz="4" w:space="0" w:color="auto"/>
              <w:bottom w:val="single" w:sz="12" w:space="0" w:color="auto"/>
              <w:right w:val="single" w:sz="8" w:space="0" w:color="000000"/>
            </w:tcBorders>
            <w:tcMar>
              <w:top w:w="0" w:type="dxa"/>
              <w:left w:w="0" w:type="dxa"/>
              <w:bottom w:w="0" w:type="dxa"/>
              <w:right w:w="0" w:type="dxa"/>
            </w:tcMar>
            <w:vAlign w:val="center"/>
          </w:tcPr>
          <w:p w14:paraId="66CEC78D" w14:textId="356D476C" w:rsidR="00F55F4C" w:rsidRPr="00B74F67" w:rsidRDefault="00C3781F" w:rsidP="00B74F67">
            <w:pPr>
              <w:spacing w:before="100" w:after="100"/>
              <w:ind w:left="100" w:right="100"/>
              <w:jc w:val="center"/>
              <w:rPr>
                <w:rFonts w:ascii="Arial" w:hAnsi="Arial"/>
                <w:sz w:val="18"/>
                <w:szCs w:val="18"/>
              </w:rPr>
            </w:pPr>
            <w:r w:rsidRPr="00B74F67">
              <w:rPr>
                <w:rFonts w:ascii="Arial" w:eastAsia="DejaVu Sans" w:hAnsi="Arial"/>
                <w:sz w:val="18"/>
                <w:szCs w:val="18"/>
              </w:rPr>
              <w:t>1</w:t>
            </w:r>
          </w:p>
        </w:tc>
      </w:tr>
      <w:tr w:rsidR="00B74F67" w:rsidRPr="00B74F67" w14:paraId="183E7CF3"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5E13ACC8"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ABSTRACT</w:t>
            </w:r>
          </w:p>
        </w:tc>
        <w:tc>
          <w:tcPr>
            <w:tcW w:w="0" w:type="auto"/>
            <w:tcBorders>
              <w:top w:val="single" w:sz="12" w:space="0" w:color="auto"/>
              <w:bottom w:val="single" w:sz="4" w:space="0" w:color="auto"/>
            </w:tcBorders>
            <w:tcMar>
              <w:top w:w="0" w:type="dxa"/>
              <w:left w:w="0" w:type="dxa"/>
              <w:bottom w:w="0" w:type="dxa"/>
              <w:right w:w="0" w:type="dxa"/>
            </w:tcMar>
            <w:vAlign w:val="center"/>
          </w:tcPr>
          <w:p w14:paraId="33D8608E"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0EFCF0A5"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18A8A13E"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25F05F51" w14:textId="77777777" w:rsidTr="0054554B">
        <w:trPr>
          <w:cantSplit/>
          <w:jc w:val="center"/>
        </w:trPr>
        <w:tc>
          <w:tcPr>
            <w:tcW w:w="0" w:type="auto"/>
            <w:tcBorders>
              <w:top w:val="single" w:sz="4" w:space="0" w:color="auto"/>
              <w:left w:val="single" w:sz="8" w:space="0" w:color="000000"/>
              <w:bottom w:val="single" w:sz="12" w:space="0" w:color="auto"/>
            </w:tcBorders>
            <w:tcMar>
              <w:top w:w="0" w:type="dxa"/>
              <w:left w:w="0" w:type="dxa"/>
              <w:bottom w:w="0" w:type="dxa"/>
              <w:right w:w="0" w:type="dxa"/>
            </w:tcMar>
          </w:tcPr>
          <w:p w14:paraId="304C3D50"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Abstract</w:t>
            </w:r>
          </w:p>
        </w:tc>
        <w:tc>
          <w:tcPr>
            <w:tcW w:w="0" w:type="auto"/>
            <w:tcBorders>
              <w:top w:val="single" w:sz="4" w:space="0" w:color="auto"/>
              <w:bottom w:val="single" w:sz="12" w:space="0" w:color="auto"/>
            </w:tcBorders>
            <w:tcMar>
              <w:top w:w="0" w:type="dxa"/>
              <w:left w:w="0" w:type="dxa"/>
              <w:bottom w:w="0" w:type="dxa"/>
              <w:right w:w="0" w:type="dxa"/>
            </w:tcMar>
            <w:vAlign w:val="center"/>
          </w:tcPr>
          <w:p w14:paraId="77D8E107"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w:t>
            </w:r>
          </w:p>
        </w:tc>
        <w:tc>
          <w:tcPr>
            <w:tcW w:w="0" w:type="auto"/>
            <w:tcBorders>
              <w:top w:val="single" w:sz="4" w:space="0" w:color="auto"/>
              <w:bottom w:val="single" w:sz="12" w:space="0" w:color="auto"/>
            </w:tcBorders>
            <w:tcMar>
              <w:top w:w="0" w:type="dxa"/>
              <w:left w:w="0" w:type="dxa"/>
              <w:bottom w:w="0" w:type="dxa"/>
              <w:right w:w="0" w:type="dxa"/>
            </w:tcMar>
          </w:tcPr>
          <w:p w14:paraId="563DC7DF"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See the PRISMA 2020 for Abstracts checklist</w:t>
            </w:r>
          </w:p>
        </w:tc>
        <w:tc>
          <w:tcPr>
            <w:tcW w:w="0" w:type="auto"/>
            <w:tcBorders>
              <w:top w:val="single" w:sz="4" w:space="0" w:color="auto"/>
              <w:bottom w:val="single" w:sz="12" w:space="0" w:color="auto"/>
              <w:right w:val="single" w:sz="8" w:space="0" w:color="000000"/>
            </w:tcBorders>
            <w:tcMar>
              <w:top w:w="0" w:type="dxa"/>
              <w:left w:w="0" w:type="dxa"/>
              <w:bottom w:w="0" w:type="dxa"/>
              <w:right w:w="0" w:type="dxa"/>
            </w:tcMar>
            <w:vAlign w:val="center"/>
          </w:tcPr>
          <w:p w14:paraId="1B299972" w14:textId="034275BC"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2</w:t>
            </w:r>
          </w:p>
        </w:tc>
      </w:tr>
      <w:tr w:rsidR="00B74F67" w:rsidRPr="00B74F67" w14:paraId="1665484F"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1185630C"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INTRODUCTION</w:t>
            </w:r>
          </w:p>
        </w:tc>
        <w:tc>
          <w:tcPr>
            <w:tcW w:w="0" w:type="auto"/>
            <w:tcBorders>
              <w:top w:val="single" w:sz="12" w:space="0" w:color="auto"/>
              <w:bottom w:val="single" w:sz="4" w:space="0" w:color="auto"/>
            </w:tcBorders>
            <w:tcMar>
              <w:top w:w="0" w:type="dxa"/>
              <w:left w:w="0" w:type="dxa"/>
              <w:bottom w:w="0" w:type="dxa"/>
              <w:right w:w="0" w:type="dxa"/>
            </w:tcMar>
            <w:vAlign w:val="center"/>
          </w:tcPr>
          <w:p w14:paraId="453574D0"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2ECF24E8"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5BC7ADD9"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3988D478" w14:textId="77777777" w:rsidTr="0054554B">
        <w:trPr>
          <w:cantSplit/>
          <w:jc w:val="center"/>
        </w:trPr>
        <w:tc>
          <w:tcPr>
            <w:tcW w:w="0" w:type="auto"/>
            <w:tcBorders>
              <w:top w:val="single" w:sz="4" w:space="0" w:color="auto"/>
              <w:left w:val="single" w:sz="8" w:space="0" w:color="000000"/>
            </w:tcBorders>
            <w:tcMar>
              <w:top w:w="0" w:type="dxa"/>
              <w:left w:w="0" w:type="dxa"/>
              <w:bottom w:w="0" w:type="dxa"/>
              <w:right w:w="0" w:type="dxa"/>
            </w:tcMar>
          </w:tcPr>
          <w:p w14:paraId="4693B672"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Rationale</w:t>
            </w:r>
          </w:p>
        </w:tc>
        <w:tc>
          <w:tcPr>
            <w:tcW w:w="0" w:type="auto"/>
            <w:tcBorders>
              <w:top w:val="single" w:sz="4" w:space="0" w:color="auto"/>
            </w:tcBorders>
            <w:tcMar>
              <w:top w:w="0" w:type="dxa"/>
              <w:left w:w="0" w:type="dxa"/>
              <w:bottom w:w="0" w:type="dxa"/>
              <w:right w:w="0" w:type="dxa"/>
            </w:tcMar>
            <w:vAlign w:val="center"/>
          </w:tcPr>
          <w:p w14:paraId="2BCB12A6"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3</w:t>
            </w:r>
          </w:p>
        </w:tc>
        <w:tc>
          <w:tcPr>
            <w:tcW w:w="0" w:type="auto"/>
            <w:tcBorders>
              <w:top w:val="single" w:sz="4" w:space="0" w:color="auto"/>
            </w:tcBorders>
            <w:tcMar>
              <w:top w:w="0" w:type="dxa"/>
              <w:left w:w="0" w:type="dxa"/>
              <w:bottom w:w="0" w:type="dxa"/>
              <w:right w:w="0" w:type="dxa"/>
            </w:tcMar>
          </w:tcPr>
          <w:p w14:paraId="28973EFA"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Describe the rationale for the review in the context of existing knowledge. </w:t>
            </w:r>
          </w:p>
        </w:tc>
        <w:tc>
          <w:tcPr>
            <w:tcW w:w="0" w:type="auto"/>
            <w:tcBorders>
              <w:top w:val="single" w:sz="4" w:space="0" w:color="auto"/>
              <w:right w:val="single" w:sz="8" w:space="0" w:color="000000"/>
            </w:tcBorders>
            <w:tcMar>
              <w:top w:w="0" w:type="dxa"/>
              <w:left w:w="0" w:type="dxa"/>
              <w:bottom w:w="0" w:type="dxa"/>
              <w:right w:w="0" w:type="dxa"/>
            </w:tcMar>
            <w:vAlign w:val="center"/>
          </w:tcPr>
          <w:p w14:paraId="4D57BA09" w14:textId="5673E969"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4</w:t>
            </w:r>
          </w:p>
        </w:tc>
      </w:tr>
      <w:tr w:rsidR="00B74F67" w:rsidRPr="00B74F67" w14:paraId="20A693C0" w14:textId="77777777" w:rsidTr="0054554B">
        <w:trPr>
          <w:cantSplit/>
          <w:jc w:val="center"/>
        </w:trPr>
        <w:tc>
          <w:tcPr>
            <w:tcW w:w="0" w:type="auto"/>
            <w:tcBorders>
              <w:left w:val="single" w:sz="8" w:space="0" w:color="000000"/>
              <w:bottom w:val="single" w:sz="12" w:space="0" w:color="auto"/>
            </w:tcBorders>
            <w:tcMar>
              <w:top w:w="0" w:type="dxa"/>
              <w:left w:w="0" w:type="dxa"/>
              <w:bottom w:w="0" w:type="dxa"/>
              <w:right w:w="0" w:type="dxa"/>
            </w:tcMar>
          </w:tcPr>
          <w:p w14:paraId="514BDA55"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Objectives</w:t>
            </w:r>
          </w:p>
        </w:tc>
        <w:tc>
          <w:tcPr>
            <w:tcW w:w="0" w:type="auto"/>
            <w:tcBorders>
              <w:bottom w:val="single" w:sz="12" w:space="0" w:color="auto"/>
            </w:tcBorders>
            <w:tcMar>
              <w:top w:w="0" w:type="dxa"/>
              <w:left w:w="0" w:type="dxa"/>
              <w:bottom w:w="0" w:type="dxa"/>
              <w:right w:w="0" w:type="dxa"/>
            </w:tcMar>
            <w:vAlign w:val="center"/>
          </w:tcPr>
          <w:p w14:paraId="6603C771"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4</w:t>
            </w:r>
          </w:p>
        </w:tc>
        <w:tc>
          <w:tcPr>
            <w:tcW w:w="0" w:type="auto"/>
            <w:tcBorders>
              <w:bottom w:val="single" w:sz="12" w:space="0" w:color="auto"/>
            </w:tcBorders>
            <w:tcMar>
              <w:top w:w="0" w:type="dxa"/>
              <w:left w:w="0" w:type="dxa"/>
              <w:bottom w:w="0" w:type="dxa"/>
              <w:right w:w="0" w:type="dxa"/>
            </w:tcMar>
          </w:tcPr>
          <w:p w14:paraId="3A072EB7"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Provide an explicit statement of the objective(s) or question(s) the review addresses.</w:t>
            </w:r>
          </w:p>
        </w:tc>
        <w:tc>
          <w:tcPr>
            <w:tcW w:w="0" w:type="auto"/>
            <w:tcBorders>
              <w:bottom w:val="single" w:sz="12" w:space="0" w:color="auto"/>
              <w:right w:val="single" w:sz="8" w:space="0" w:color="000000"/>
            </w:tcBorders>
            <w:tcMar>
              <w:top w:w="0" w:type="dxa"/>
              <w:left w:w="0" w:type="dxa"/>
              <w:bottom w:w="0" w:type="dxa"/>
              <w:right w:w="0" w:type="dxa"/>
            </w:tcMar>
            <w:vAlign w:val="center"/>
          </w:tcPr>
          <w:p w14:paraId="4097F534" w14:textId="1319F0B8"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4</w:t>
            </w:r>
            <w:r w:rsidR="00C3781F" w:rsidRPr="00B74F67">
              <w:rPr>
                <w:rFonts w:ascii="Arial" w:eastAsia="DejaVu Sans" w:hAnsi="Arial"/>
                <w:sz w:val="18"/>
                <w:szCs w:val="18"/>
              </w:rPr>
              <w:t>-</w:t>
            </w:r>
            <w:r w:rsidRPr="00B74F67">
              <w:rPr>
                <w:rFonts w:ascii="Arial" w:eastAsia="DejaVu Sans" w:hAnsi="Arial"/>
                <w:sz w:val="18"/>
                <w:szCs w:val="18"/>
              </w:rPr>
              <w:t>5</w:t>
            </w:r>
            <w:r w:rsidR="00F55F4C" w:rsidRPr="00B74F67">
              <w:rPr>
                <w:rFonts w:ascii="Arial" w:eastAsia="DejaVu Sans" w:hAnsi="Arial"/>
                <w:sz w:val="18"/>
                <w:szCs w:val="18"/>
              </w:rPr>
              <w:t>, S1-2</w:t>
            </w:r>
          </w:p>
        </w:tc>
      </w:tr>
      <w:tr w:rsidR="00B74F67" w:rsidRPr="00B74F67" w14:paraId="3993FDA8"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317EE7A5"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METHODS</w:t>
            </w:r>
          </w:p>
        </w:tc>
        <w:tc>
          <w:tcPr>
            <w:tcW w:w="0" w:type="auto"/>
            <w:tcBorders>
              <w:top w:val="single" w:sz="12" w:space="0" w:color="auto"/>
              <w:bottom w:val="single" w:sz="4" w:space="0" w:color="auto"/>
            </w:tcBorders>
            <w:tcMar>
              <w:top w:w="0" w:type="dxa"/>
              <w:left w:w="0" w:type="dxa"/>
              <w:bottom w:w="0" w:type="dxa"/>
              <w:right w:w="0" w:type="dxa"/>
            </w:tcMar>
            <w:vAlign w:val="center"/>
          </w:tcPr>
          <w:p w14:paraId="6C8975F0"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707E5F96"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3B25F0CF"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7ADF00DC" w14:textId="77777777" w:rsidTr="0054554B">
        <w:trPr>
          <w:cantSplit/>
          <w:jc w:val="center"/>
        </w:trPr>
        <w:tc>
          <w:tcPr>
            <w:tcW w:w="0" w:type="auto"/>
            <w:tcBorders>
              <w:top w:val="single" w:sz="4" w:space="0" w:color="auto"/>
              <w:left w:val="single" w:sz="8" w:space="0" w:color="000000"/>
            </w:tcBorders>
            <w:tcMar>
              <w:top w:w="0" w:type="dxa"/>
              <w:left w:w="0" w:type="dxa"/>
              <w:bottom w:w="0" w:type="dxa"/>
              <w:right w:w="0" w:type="dxa"/>
            </w:tcMar>
          </w:tcPr>
          <w:p w14:paraId="7D76E24E"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Eligibility criteria</w:t>
            </w:r>
          </w:p>
        </w:tc>
        <w:tc>
          <w:tcPr>
            <w:tcW w:w="0" w:type="auto"/>
            <w:tcBorders>
              <w:top w:val="single" w:sz="4" w:space="0" w:color="auto"/>
            </w:tcBorders>
            <w:tcMar>
              <w:top w:w="0" w:type="dxa"/>
              <w:left w:w="0" w:type="dxa"/>
              <w:bottom w:w="0" w:type="dxa"/>
              <w:right w:w="0" w:type="dxa"/>
            </w:tcMar>
            <w:vAlign w:val="center"/>
          </w:tcPr>
          <w:p w14:paraId="54D4C717"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5</w:t>
            </w:r>
          </w:p>
        </w:tc>
        <w:tc>
          <w:tcPr>
            <w:tcW w:w="0" w:type="auto"/>
            <w:tcBorders>
              <w:top w:val="single" w:sz="4" w:space="0" w:color="auto"/>
            </w:tcBorders>
            <w:tcMar>
              <w:top w:w="0" w:type="dxa"/>
              <w:left w:w="0" w:type="dxa"/>
              <w:bottom w:w="0" w:type="dxa"/>
              <w:right w:w="0" w:type="dxa"/>
            </w:tcMar>
          </w:tcPr>
          <w:p w14:paraId="01E6A7D5"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Specify the inclusion and exclusion criteria for the review and how studies were grouped for the syntheses.</w:t>
            </w:r>
          </w:p>
        </w:tc>
        <w:tc>
          <w:tcPr>
            <w:tcW w:w="0" w:type="auto"/>
            <w:tcBorders>
              <w:top w:val="single" w:sz="4" w:space="0" w:color="auto"/>
              <w:right w:val="single" w:sz="8" w:space="0" w:color="000000"/>
            </w:tcBorders>
            <w:tcMar>
              <w:top w:w="0" w:type="dxa"/>
              <w:left w:w="0" w:type="dxa"/>
              <w:bottom w:w="0" w:type="dxa"/>
              <w:right w:w="0" w:type="dxa"/>
            </w:tcMar>
            <w:vAlign w:val="center"/>
          </w:tcPr>
          <w:p w14:paraId="08C14E21"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S6</w:t>
            </w:r>
          </w:p>
        </w:tc>
      </w:tr>
      <w:tr w:rsidR="00B74F67" w:rsidRPr="00B74F67" w14:paraId="0138D4EE" w14:textId="77777777" w:rsidTr="00B74F67">
        <w:trPr>
          <w:cantSplit/>
          <w:jc w:val="center"/>
        </w:trPr>
        <w:tc>
          <w:tcPr>
            <w:tcW w:w="0" w:type="auto"/>
            <w:tcBorders>
              <w:left w:val="single" w:sz="8" w:space="0" w:color="000000"/>
            </w:tcBorders>
            <w:tcMar>
              <w:top w:w="0" w:type="dxa"/>
              <w:left w:w="0" w:type="dxa"/>
              <w:bottom w:w="0" w:type="dxa"/>
              <w:right w:w="0" w:type="dxa"/>
            </w:tcMar>
          </w:tcPr>
          <w:p w14:paraId="5830E395"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Information sources</w:t>
            </w:r>
          </w:p>
        </w:tc>
        <w:tc>
          <w:tcPr>
            <w:tcW w:w="0" w:type="auto"/>
            <w:tcMar>
              <w:top w:w="0" w:type="dxa"/>
              <w:left w:w="0" w:type="dxa"/>
              <w:bottom w:w="0" w:type="dxa"/>
              <w:right w:w="0" w:type="dxa"/>
            </w:tcMar>
            <w:vAlign w:val="center"/>
          </w:tcPr>
          <w:p w14:paraId="6697BCCB"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6</w:t>
            </w:r>
          </w:p>
        </w:tc>
        <w:tc>
          <w:tcPr>
            <w:tcW w:w="0" w:type="auto"/>
            <w:tcMar>
              <w:top w:w="0" w:type="dxa"/>
              <w:left w:w="0" w:type="dxa"/>
              <w:bottom w:w="0" w:type="dxa"/>
              <w:right w:w="0" w:type="dxa"/>
            </w:tcMar>
          </w:tcPr>
          <w:p w14:paraId="6632A6A3"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Specify all databases, registers, websites, </w:t>
            </w:r>
            <w:proofErr w:type="spellStart"/>
            <w:r w:rsidRPr="00B74F67">
              <w:rPr>
                <w:rFonts w:ascii="Arial" w:eastAsia="DejaVu Sans" w:hAnsi="Arial"/>
                <w:sz w:val="18"/>
                <w:szCs w:val="18"/>
              </w:rPr>
              <w:t>organisations</w:t>
            </w:r>
            <w:proofErr w:type="spellEnd"/>
            <w:r w:rsidRPr="00B74F67">
              <w:rPr>
                <w:rFonts w:ascii="Arial" w:eastAsia="DejaVu Sans" w:hAnsi="Arial"/>
                <w:sz w:val="18"/>
                <w:szCs w:val="18"/>
              </w:rPr>
              <w:t>, reference lists and other sources searched or consulted to identify studies. Specify the date when each source was last searched or consulted.</w:t>
            </w:r>
          </w:p>
        </w:tc>
        <w:tc>
          <w:tcPr>
            <w:tcW w:w="0" w:type="auto"/>
            <w:tcBorders>
              <w:right w:val="single" w:sz="8" w:space="0" w:color="000000"/>
            </w:tcBorders>
            <w:tcMar>
              <w:top w:w="0" w:type="dxa"/>
              <w:left w:w="0" w:type="dxa"/>
              <w:bottom w:w="0" w:type="dxa"/>
              <w:right w:w="0" w:type="dxa"/>
            </w:tcMar>
            <w:vAlign w:val="center"/>
          </w:tcPr>
          <w:p w14:paraId="402FB4D3" w14:textId="318A2AC2"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7</w:t>
            </w:r>
          </w:p>
        </w:tc>
      </w:tr>
      <w:tr w:rsidR="00B74F67" w:rsidRPr="00B74F67" w14:paraId="6293EB43" w14:textId="77777777" w:rsidTr="00B74F67">
        <w:trPr>
          <w:cantSplit/>
          <w:jc w:val="center"/>
        </w:trPr>
        <w:tc>
          <w:tcPr>
            <w:tcW w:w="0" w:type="auto"/>
            <w:tcBorders>
              <w:left w:val="single" w:sz="8" w:space="0" w:color="000000"/>
            </w:tcBorders>
            <w:tcMar>
              <w:top w:w="0" w:type="dxa"/>
              <w:left w:w="0" w:type="dxa"/>
              <w:bottom w:w="0" w:type="dxa"/>
              <w:right w:w="0" w:type="dxa"/>
            </w:tcMar>
          </w:tcPr>
          <w:p w14:paraId="7C4D4C81"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Search strategy</w:t>
            </w:r>
          </w:p>
        </w:tc>
        <w:tc>
          <w:tcPr>
            <w:tcW w:w="0" w:type="auto"/>
            <w:tcMar>
              <w:top w:w="0" w:type="dxa"/>
              <w:left w:w="0" w:type="dxa"/>
              <w:bottom w:w="0" w:type="dxa"/>
              <w:right w:w="0" w:type="dxa"/>
            </w:tcMar>
            <w:vAlign w:val="center"/>
          </w:tcPr>
          <w:p w14:paraId="3C7CEAD9"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7</w:t>
            </w:r>
          </w:p>
        </w:tc>
        <w:tc>
          <w:tcPr>
            <w:tcW w:w="0" w:type="auto"/>
            <w:tcMar>
              <w:top w:w="0" w:type="dxa"/>
              <w:left w:w="0" w:type="dxa"/>
              <w:bottom w:w="0" w:type="dxa"/>
              <w:right w:w="0" w:type="dxa"/>
            </w:tcMar>
          </w:tcPr>
          <w:p w14:paraId="1F4A611F"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the full search strategies for all databases, registers and websites, including any filters and limits used.</w:t>
            </w:r>
          </w:p>
        </w:tc>
        <w:tc>
          <w:tcPr>
            <w:tcW w:w="0" w:type="auto"/>
            <w:tcBorders>
              <w:right w:val="single" w:sz="8" w:space="0" w:color="000000"/>
            </w:tcBorders>
            <w:tcMar>
              <w:top w:w="0" w:type="dxa"/>
              <w:left w:w="0" w:type="dxa"/>
              <w:bottom w:w="0" w:type="dxa"/>
              <w:right w:w="0" w:type="dxa"/>
            </w:tcMar>
            <w:vAlign w:val="center"/>
          </w:tcPr>
          <w:p w14:paraId="037CB762" w14:textId="5BD39263"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7-8</w:t>
            </w:r>
            <w:r w:rsidR="00F55F4C" w:rsidRPr="00B74F67">
              <w:rPr>
                <w:rFonts w:ascii="Arial" w:eastAsia="DejaVu Sans" w:hAnsi="Arial"/>
                <w:sz w:val="18"/>
                <w:szCs w:val="18"/>
              </w:rPr>
              <w:t>, S1-</w:t>
            </w:r>
            <w:r w:rsidRPr="00B74F67">
              <w:rPr>
                <w:rFonts w:ascii="Arial" w:eastAsia="DejaVu Sans" w:hAnsi="Arial"/>
                <w:sz w:val="18"/>
                <w:szCs w:val="18"/>
              </w:rPr>
              <w:t>6</w:t>
            </w:r>
          </w:p>
        </w:tc>
      </w:tr>
      <w:tr w:rsidR="00B74F67" w:rsidRPr="00B74F67" w14:paraId="033D3D0F" w14:textId="77777777" w:rsidTr="00B74F67">
        <w:trPr>
          <w:cantSplit/>
          <w:jc w:val="center"/>
        </w:trPr>
        <w:tc>
          <w:tcPr>
            <w:tcW w:w="0" w:type="auto"/>
            <w:tcBorders>
              <w:left w:val="single" w:sz="8" w:space="0" w:color="000000"/>
            </w:tcBorders>
            <w:tcMar>
              <w:top w:w="0" w:type="dxa"/>
              <w:left w:w="0" w:type="dxa"/>
              <w:bottom w:w="0" w:type="dxa"/>
              <w:right w:w="0" w:type="dxa"/>
            </w:tcMar>
          </w:tcPr>
          <w:p w14:paraId="5FB5602D"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Selection process</w:t>
            </w:r>
          </w:p>
        </w:tc>
        <w:tc>
          <w:tcPr>
            <w:tcW w:w="0" w:type="auto"/>
            <w:tcMar>
              <w:top w:w="0" w:type="dxa"/>
              <w:left w:w="0" w:type="dxa"/>
              <w:bottom w:w="0" w:type="dxa"/>
              <w:right w:w="0" w:type="dxa"/>
            </w:tcMar>
            <w:vAlign w:val="center"/>
          </w:tcPr>
          <w:p w14:paraId="4C377B55"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8</w:t>
            </w:r>
          </w:p>
        </w:tc>
        <w:tc>
          <w:tcPr>
            <w:tcW w:w="0" w:type="auto"/>
            <w:tcMar>
              <w:top w:w="0" w:type="dxa"/>
              <w:left w:w="0" w:type="dxa"/>
              <w:bottom w:w="0" w:type="dxa"/>
              <w:right w:w="0" w:type="dxa"/>
            </w:tcMar>
          </w:tcPr>
          <w:p w14:paraId="078355AE"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tcMar>
              <w:top w:w="0" w:type="dxa"/>
              <w:left w:w="0" w:type="dxa"/>
              <w:bottom w:w="0" w:type="dxa"/>
              <w:right w:w="0" w:type="dxa"/>
            </w:tcMar>
            <w:vAlign w:val="center"/>
          </w:tcPr>
          <w:p w14:paraId="547AB9F8" w14:textId="138D012A"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7</w:t>
            </w:r>
            <w:r w:rsidR="00F55F4C" w:rsidRPr="00B74F67">
              <w:rPr>
                <w:rFonts w:ascii="Arial" w:eastAsia="DejaVu Sans" w:hAnsi="Arial"/>
                <w:sz w:val="18"/>
                <w:szCs w:val="18"/>
              </w:rPr>
              <w:t>-</w:t>
            </w:r>
            <w:r w:rsidRPr="00B74F67">
              <w:rPr>
                <w:rFonts w:ascii="Arial" w:eastAsia="DejaVu Sans" w:hAnsi="Arial"/>
                <w:sz w:val="18"/>
                <w:szCs w:val="18"/>
              </w:rPr>
              <w:t>8</w:t>
            </w:r>
            <w:r w:rsidR="00F55F4C" w:rsidRPr="00B74F67">
              <w:rPr>
                <w:rFonts w:ascii="Arial" w:eastAsia="DejaVu Sans" w:hAnsi="Arial"/>
                <w:sz w:val="18"/>
                <w:szCs w:val="18"/>
              </w:rPr>
              <w:t>, S6</w:t>
            </w:r>
          </w:p>
        </w:tc>
      </w:tr>
      <w:tr w:rsidR="00B74F67" w:rsidRPr="00B74F67" w14:paraId="00B48A8F" w14:textId="77777777" w:rsidTr="00B74F67">
        <w:trPr>
          <w:cantSplit/>
          <w:jc w:val="center"/>
        </w:trPr>
        <w:tc>
          <w:tcPr>
            <w:tcW w:w="0" w:type="auto"/>
            <w:tcBorders>
              <w:left w:val="single" w:sz="8" w:space="0" w:color="000000"/>
            </w:tcBorders>
            <w:tcMar>
              <w:top w:w="0" w:type="dxa"/>
              <w:left w:w="0" w:type="dxa"/>
              <w:bottom w:w="0" w:type="dxa"/>
              <w:right w:w="0" w:type="dxa"/>
            </w:tcMar>
          </w:tcPr>
          <w:p w14:paraId="5F5C1362"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Data collection process</w:t>
            </w:r>
          </w:p>
        </w:tc>
        <w:tc>
          <w:tcPr>
            <w:tcW w:w="0" w:type="auto"/>
            <w:tcMar>
              <w:top w:w="0" w:type="dxa"/>
              <w:left w:w="0" w:type="dxa"/>
              <w:bottom w:w="0" w:type="dxa"/>
              <w:right w:w="0" w:type="dxa"/>
            </w:tcMar>
            <w:vAlign w:val="center"/>
          </w:tcPr>
          <w:p w14:paraId="6A607383"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9</w:t>
            </w:r>
          </w:p>
        </w:tc>
        <w:tc>
          <w:tcPr>
            <w:tcW w:w="0" w:type="auto"/>
            <w:tcMar>
              <w:top w:w="0" w:type="dxa"/>
              <w:left w:w="0" w:type="dxa"/>
              <w:bottom w:w="0" w:type="dxa"/>
              <w:right w:w="0" w:type="dxa"/>
            </w:tcMar>
          </w:tcPr>
          <w:p w14:paraId="113C626D"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tcMar>
              <w:top w:w="0" w:type="dxa"/>
              <w:left w:w="0" w:type="dxa"/>
              <w:bottom w:w="0" w:type="dxa"/>
              <w:right w:w="0" w:type="dxa"/>
            </w:tcMar>
            <w:vAlign w:val="center"/>
          </w:tcPr>
          <w:p w14:paraId="5498B069" w14:textId="4BCA94F1"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03C0EEC0" w14:textId="77777777" w:rsidTr="00B74F67">
        <w:trPr>
          <w:cantSplit/>
          <w:jc w:val="center"/>
        </w:trPr>
        <w:tc>
          <w:tcPr>
            <w:tcW w:w="0" w:type="auto"/>
            <w:tcBorders>
              <w:left w:val="single" w:sz="8" w:space="0" w:color="000000"/>
            </w:tcBorders>
            <w:tcMar>
              <w:top w:w="0" w:type="dxa"/>
              <w:left w:w="0" w:type="dxa"/>
              <w:bottom w:w="0" w:type="dxa"/>
              <w:right w:w="0" w:type="dxa"/>
            </w:tcMar>
          </w:tcPr>
          <w:p w14:paraId="29343E55"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Data items</w:t>
            </w:r>
          </w:p>
        </w:tc>
        <w:tc>
          <w:tcPr>
            <w:tcW w:w="0" w:type="auto"/>
            <w:tcMar>
              <w:top w:w="0" w:type="dxa"/>
              <w:left w:w="0" w:type="dxa"/>
              <w:bottom w:w="0" w:type="dxa"/>
              <w:right w:w="0" w:type="dxa"/>
            </w:tcMar>
            <w:vAlign w:val="center"/>
          </w:tcPr>
          <w:p w14:paraId="54480710"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10a</w:t>
            </w:r>
          </w:p>
        </w:tc>
        <w:tc>
          <w:tcPr>
            <w:tcW w:w="0" w:type="auto"/>
            <w:tcMar>
              <w:top w:w="0" w:type="dxa"/>
              <w:left w:w="0" w:type="dxa"/>
              <w:bottom w:w="0" w:type="dxa"/>
              <w:right w:w="0" w:type="dxa"/>
            </w:tcMar>
          </w:tcPr>
          <w:p w14:paraId="6A43E164"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tcMar>
              <w:top w:w="0" w:type="dxa"/>
              <w:left w:w="0" w:type="dxa"/>
              <w:bottom w:w="0" w:type="dxa"/>
              <w:right w:w="0" w:type="dxa"/>
            </w:tcMar>
            <w:vAlign w:val="center"/>
          </w:tcPr>
          <w:p w14:paraId="492AA320" w14:textId="0C2F5543"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7</w:t>
            </w:r>
          </w:p>
        </w:tc>
      </w:tr>
      <w:tr w:rsidR="00B74F67" w:rsidRPr="00B74F67" w14:paraId="0A293859" w14:textId="77777777" w:rsidTr="00B74F67">
        <w:trPr>
          <w:cantSplit/>
          <w:jc w:val="center"/>
        </w:trPr>
        <w:tc>
          <w:tcPr>
            <w:tcW w:w="0" w:type="auto"/>
            <w:tcBorders>
              <w:left w:val="single" w:sz="8" w:space="0" w:color="000000"/>
            </w:tcBorders>
            <w:tcMar>
              <w:top w:w="0" w:type="dxa"/>
              <w:left w:w="0" w:type="dxa"/>
              <w:bottom w:w="0" w:type="dxa"/>
              <w:right w:w="0" w:type="dxa"/>
            </w:tcMar>
          </w:tcPr>
          <w:p w14:paraId="1B93F359"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15EB6EA2"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10b</w:t>
            </w:r>
          </w:p>
        </w:tc>
        <w:tc>
          <w:tcPr>
            <w:tcW w:w="0" w:type="auto"/>
            <w:tcMar>
              <w:top w:w="0" w:type="dxa"/>
              <w:left w:w="0" w:type="dxa"/>
              <w:bottom w:w="0" w:type="dxa"/>
              <w:right w:w="0" w:type="dxa"/>
            </w:tcMar>
          </w:tcPr>
          <w:p w14:paraId="03FFF367"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tcMar>
              <w:top w:w="0" w:type="dxa"/>
              <w:left w:w="0" w:type="dxa"/>
              <w:bottom w:w="0" w:type="dxa"/>
              <w:right w:w="0" w:type="dxa"/>
            </w:tcMar>
            <w:vAlign w:val="center"/>
          </w:tcPr>
          <w:p w14:paraId="0D2972E3" w14:textId="4DCA9E09"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7-8</w:t>
            </w:r>
          </w:p>
        </w:tc>
      </w:tr>
      <w:tr w:rsidR="00B74F67" w:rsidRPr="00B74F67" w14:paraId="4C9B9925" w14:textId="77777777" w:rsidTr="00B74F67">
        <w:trPr>
          <w:cantSplit/>
          <w:jc w:val="center"/>
        </w:trPr>
        <w:tc>
          <w:tcPr>
            <w:tcW w:w="0" w:type="auto"/>
            <w:tcBorders>
              <w:left w:val="single" w:sz="8" w:space="0" w:color="000000"/>
            </w:tcBorders>
            <w:tcMar>
              <w:top w:w="0" w:type="dxa"/>
              <w:left w:w="0" w:type="dxa"/>
              <w:bottom w:w="0" w:type="dxa"/>
              <w:right w:w="0" w:type="dxa"/>
            </w:tcMar>
          </w:tcPr>
          <w:p w14:paraId="6A63658D"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lastRenderedPageBreak/>
              <w:t>Study risk of bias assessment</w:t>
            </w:r>
          </w:p>
        </w:tc>
        <w:tc>
          <w:tcPr>
            <w:tcW w:w="0" w:type="auto"/>
            <w:tcMar>
              <w:top w:w="0" w:type="dxa"/>
              <w:left w:w="0" w:type="dxa"/>
              <w:bottom w:w="0" w:type="dxa"/>
              <w:right w:w="0" w:type="dxa"/>
            </w:tcMar>
            <w:vAlign w:val="center"/>
          </w:tcPr>
          <w:p w14:paraId="023BCD69"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11</w:t>
            </w:r>
          </w:p>
        </w:tc>
        <w:tc>
          <w:tcPr>
            <w:tcW w:w="0" w:type="auto"/>
            <w:tcMar>
              <w:top w:w="0" w:type="dxa"/>
              <w:left w:w="0" w:type="dxa"/>
              <w:bottom w:w="0" w:type="dxa"/>
              <w:right w:w="0" w:type="dxa"/>
            </w:tcMar>
          </w:tcPr>
          <w:p w14:paraId="4B43D9EF"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tcMar>
              <w:top w:w="0" w:type="dxa"/>
              <w:left w:w="0" w:type="dxa"/>
              <w:bottom w:w="0" w:type="dxa"/>
              <w:right w:w="0" w:type="dxa"/>
            </w:tcMar>
            <w:vAlign w:val="center"/>
          </w:tcPr>
          <w:p w14:paraId="050C86CA" w14:textId="23B5AD71"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1C6D2ACD" w14:textId="77777777" w:rsidTr="00B74F67">
        <w:trPr>
          <w:cantSplit/>
          <w:jc w:val="center"/>
        </w:trPr>
        <w:tc>
          <w:tcPr>
            <w:tcW w:w="0" w:type="auto"/>
            <w:tcBorders>
              <w:left w:val="single" w:sz="8" w:space="0" w:color="000000"/>
            </w:tcBorders>
            <w:tcMar>
              <w:top w:w="0" w:type="dxa"/>
              <w:left w:w="0" w:type="dxa"/>
              <w:bottom w:w="0" w:type="dxa"/>
              <w:right w:w="0" w:type="dxa"/>
            </w:tcMar>
          </w:tcPr>
          <w:p w14:paraId="084F0F44"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Effect measures</w:t>
            </w:r>
          </w:p>
        </w:tc>
        <w:tc>
          <w:tcPr>
            <w:tcW w:w="0" w:type="auto"/>
            <w:tcMar>
              <w:top w:w="0" w:type="dxa"/>
              <w:left w:w="0" w:type="dxa"/>
              <w:bottom w:w="0" w:type="dxa"/>
              <w:right w:w="0" w:type="dxa"/>
            </w:tcMar>
            <w:vAlign w:val="center"/>
          </w:tcPr>
          <w:p w14:paraId="5C09499E"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12</w:t>
            </w:r>
          </w:p>
        </w:tc>
        <w:tc>
          <w:tcPr>
            <w:tcW w:w="0" w:type="auto"/>
            <w:tcMar>
              <w:top w:w="0" w:type="dxa"/>
              <w:left w:w="0" w:type="dxa"/>
              <w:bottom w:w="0" w:type="dxa"/>
              <w:right w:w="0" w:type="dxa"/>
            </w:tcMar>
          </w:tcPr>
          <w:p w14:paraId="6B5A08CA"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Specify for each outcome the effect measure(s) (e.g. risk ratio, mean difference) used in the synthesis or presentation of results.</w:t>
            </w:r>
          </w:p>
        </w:tc>
        <w:tc>
          <w:tcPr>
            <w:tcW w:w="0" w:type="auto"/>
            <w:tcBorders>
              <w:right w:val="single" w:sz="8" w:space="0" w:color="000000"/>
            </w:tcBorders>
            <w:tcMar>
              <w:top w:w="0" w:type="dxa"/>
              <w:left w:w="0" w:type="dxa"/>
              <w:bottom w:w="0" w:type="dxa"/>
              <w:right w:w="0" w:type="dxa"/>
            </w:tcMar>
            <w:vAlign w:val="center"/>
          </w:tcPr>
          <w:p w14:paraId="781017C7" w14:textId="56461E7F"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7</w:t>
            </w:r>
          </w:p>
        </w:tc>
      </w:tr>
      <w:tr w:rsidR="00B74F67" w:rsidRPr="00B74F67" w14:paraId="5F69C650" w14:textId="77777777" w:rsidTr="00B74F67">
        <w:trPr>
          <w:cantSplit/>
          <w:jc w:val="center"/>
        </w:trPr>
        <w:tc>
          <w:tcPr>
            <w:tcW w:w="0" w:type="auto"/>
            <w:tcBorders>
              <w:left w:val="single" w:sz="8" w:space="0" w:color="000000"/>
            </w:tcBorders>
            <w:tcMar>
              <w:top w:w="0" w:type="dxa"/>
              <w:left w:w="0" w:type="dxa"/>
              <w:bottom w:w="0" w:type="dxa"/>
              <w:right w:w="0" w:type="dxa"/>
            </w:tcMar>
          </w:tcPr>
          <w:p w14:paraId="230FB78B"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Synthesis methods</w:t>
            </w:r>
          </w:p>
        </w:tc>
        <w:tc>
          <w:tcPr>
            <w:tcW w:w="0" w:type="auto"/>
            <w:tcMar>
              <w:top w:w="0" w:type="dxa"/>
              <w:left w:w="0" w:type="dxa"/>
              <w:bottom w:w="0" w:type="dxa"/>
              <w:right w:w="0" w:type="dxa"/>
            </w:tcMar>
            <w:vAlign w:val="center"/>
          </w:tcPr>
          <w:p w14:paraId="2D010466"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13a</w:t>
            </w:r>
          </w:p>
        </w:tc>
        <w:tc>
          <w:tcPr>
            <w:tcW w:w="0" w:type="auto"/>
            <w:tcMar>
              <w:top w:w="0" w:type="dxa"/>
              <w:left w:w="0" w:type="dxa"/>
              <w:bottom w:w="0" w:type="dxa"/>
              <w:right w:w="0" w:type="dxa"/>
            </w:tcMar>
          </w:tcPr>
          <w:p w14:paraId="1B1279AD"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tcMar>
              <w:top w:w="0" w:type="dxa"/>
              <w:left w:w="0" w:type="dxa"/>
              <w:bottom w:w="0" w:type="dxa"/>
              <w:right w:w="0" w:type="dxa"/>
            </w:tcMar>
            <w:vAlign w:val="center"/>
          </w:tcPr>
          <w:p w14:paraId="2ED2934D" w14:textId="3D588983"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02EC3313" w14:textId="77777777" w:rsidTr="00B74F67">
        <w:trPr>
          <w:cantSplit/>
          <w:jc w:val="center"/>
        </w:trPr>
        <w:tc>
          <w:tcPr>
            <w:tcW w:w="0" w:type="auto"/>
            <w:vMerge w:val="restart"/>
            <w:tcBorders>
              <w:left w:val="single" w:sz="8" w:space="0" w:color="000000"/>
            </w:tcBorders>
            <w:tcMar>
              <w:top w:w="0" w:type="dxa"/>
              <w:left w:w="0" w:type="dxa"/>
              <w:bottom w:w="0" w:type="dxa"/>
              <w:right w:w="0" w:type="dxa"/>
            </w:tcMar>
          </w:tcPr>
          <w:p w14:paraId="77E9E6FE"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634F88BF"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13b</w:t>
            </w:r>
          </w:p>
        </w:tc>
        <w:tc>
          <w:tcPr>
            <w:tcW w:w="0" w:type="auto"/>
            <w:tcMar>
              <w:top w:w="0" w:type="dxa"/>
              <w:left w:w="0" w:type="dxa"/>
              <w:bottom w:w="0" w:type="dxa"/>
              <w:right w:w="0" w:type="dxa"/>
            </w:tcMar>
          </w:tcPr>
          <w:p w14:paraId="7D3DE591"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tcMar>
              <w:top w:w="0" w:type="dxa"/>
              <w:left w:w="0" w:type="dxa"/>
              <w:bottom w:w="0" w:type="dxa"/>
              <w:right w:w="0" w:type="dxa"/>
            </w:tcMar>
            <w:vAlign w:val="center"/>
          </w:tcPr>
          <w:p w14:paraId="4A9CF83E" w14:textId="06672E7B"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5F859715"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3A701D7E"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7A285073"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13c</w:t>
            </w:r>
          </w:p>
        </w:tc>
        <w:tc>
          <w:tcPr>
            <w:tcW w:w="0" w:type="auto"/>
            <w:tcMar>
              <w:top w:w="0" w:type="dxa"/>
              <w:left w:w="0" w:type="dxa"/>
              <w:bottom w:w="0" w:type="dxa"/>
              <w:right w:w="0" w:type="dxa"/>
            </w:tcMar>
          </w:tcPr>
          <w:p w14:paraId="77A34F46"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methods used to tabulate or visually display results of individual studies and syntheses.</w:t>
            </w:r>
          </w:p>
        </w:tc>
        <w:tc>
          <w:tcPr>
            <w:tcW w:w="0" w:type="auto"/>
            <w:tcBorders>
              <w:right w:val="single" w:sz="8" w:space="0" w:color="000000"/>
            </w:tcBorders>
            <w:tcMar>
              <w:top w:w="0" w:type="dxa"/>
              <w:left w:w="0" w:type="dxa"/>
              <w:bottom w:w="0" w:type="dxa"/>
              <w:right w:w="0" w:type="dxa"/>
            </w:tcMar>
            <w:vAlign w:val="center"/>
          </w:tcPr>
          <w:p w14:paraId="4F25283D" w14:textId="2CEBC8A5"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697499AC"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2301E230"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1A4F11F3"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13d</w:t>
            </w:r>
          </w:p>
        </w:tc>
        <w:tc>
          <w:tcPr>
            <w:tcW w:w="0" w:type="auto"/>
            <w:tcMar>
              <w:top w:w="0" w:type="dxa"/>
              <w:left w:w="0" w:type="dxa"/>
              <w:bottom w:w="0" w:type="dxa"/>
              <w:right w:w="0" w:type="dxa"/>
            </w:tcMar>
          </w:tcPr>
          <w:p w14:paraId="667047D4"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tcMar>
              <w:top w:w="0" w:type="dxa"/>
              <w:left w:w="0" w:type="dxa"/>
              <w:bottom w:w="0" w:type="dxa"/>
              <w:right w:w="0" w:type="dxa"/>
            </w:tcMar>
            <w:vAlign w:val="center"/>
          </w:tcPr>
          <w:p w14:paraId="7C8084D3" w14:textId="2D48489B" w:rsidR="00F55F4C" w:rsidRPr="00B74F67" w:rsidRDefault="00EA6F49" w:rsidP="00B74F67">
            <w:pPr>
              <w:spacing w:before="100" w:after="100"/>
              <w:ind w:left="100" w:right="100"/>
              <w:jc w:val="center"/>
              <w:rPr>
                <w:rFonts w:ascii="Arial" w:hAnsi="Arial"/>
                <w:sz w:val="18"/>
                <w:szCs w:val="18"/>
              </w:rPr>
            </w:pPr>
            <w:r w:rsidRPr="00B74F67">
              <w:rPr>
                <w:rFonts w:ascii="Arial" w:hAnsi="Arial"/>
                <w:sz w:val="18"/>
                <w:szCs w:val="18"/>
              </w:rPr>
              <w:t>8</w:t>
            </w:r>
          </w:p>
        </w:tc>
      </w:tr>
      <w:tr w:rsidR="00B74F67" w:rsidRPr="00B74F67" w14:paraId="4F9634F9"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3938419D"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3E39ED9D"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13e</w:t>
            </w:r>
          </w:p>
        </w:tc>
        <w:tc>
          <w:tcPr>
            <w:tcW w:w="0" w:type="auto"/>
            <w:tcMar>
              <w:top w:w="0" w:type="dxa"/>
              <w:left w:w="0" w:type="dxa"/>
              <w:bottom w:w="0" w:type="dxa"/>
              <w:right w:w="0" w:type="dxa"/>
            </w:tcMar>
          </w:tcPr>
          <w:p w14:paraId="4F5D881C"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methods used to explore possible causes of heterogeneity among study results (e.g. subgroup analysis, meta-regression).</w:t>
            </w:r>
          </w:p>
        </w:tc>
        <w:tc>
          <w:tcPr>
            <w:tcW w:w="0" w:type="auto"/>
            <w:tcBorders>
              <w:right w:val="single" w:sz="8" w:space="0" w:color="000000"/>
            </w:tcBorders>
            <w:tcMar>
              <w:top w:w="0" w:type="dxa"/>
              <w:left w:w="0" w:type="dxa"/>
              <w:bottom w:w="0" w:type="dxa"/>
              <w:right w:w="0" w:type="dxa"/>
            </w:tcMar>
            <w:vAlign w:val="center"/>
          </w:tcPr>
          <w:p w14:paraId="523B7F79"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3AD9A43F"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507B2380"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1F0DC6AF"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13f</w:t>
            </w:r>
          </w:p>
        </w:tc>
        <w:tc>
          <w:tcPr>
            <w:tcW w:w="0" w:type="auto"/>
            <w:tcMar>
              <w:top w:w="0" w:type="dxa"/>
              <w:left w:w="0" w:type="dxa"/>
              <w:bottom w:w="0" w:type="dxa"/>
              <w:right w:w="0" w:type="dxa"/>
            </w:tcMar>
          </w:tcPr>
          <w:p w14:paraId="6E8BF19A"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sensitivity analyses conducted to assess robustness of the synthesized results.</w:t>
            </w:r>
          </w:p>
        </w:tc>
        <w:tc>
          <w:tcPr>
            <w:tcW w:w="0" w:type="auto"/>
            <w:tcBorders>
              <w:right w:val="single" w:sz="8" w:space="0" w:color="000000"/>
            </w:tcBorders>
            <w:tcMar>
              <w:top w:w="0" w:type="dxa"/>
              <w:left w:w="0" w:type="dxa"/>
              <w:bottom w:w="0" w:type="dxa"/>
              <w:right w:w="0" w:type="dxa"/>
            </w:tcMar>
            <w:vAlign w:val="center"/>
          </w:tcPr>
          <w:p w14:paraId="09C08C79"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3956BD3C" w14:textId="77777777" w:rsidTr="00B74F67">
        <w:trPr>
          <w:cantSplit/>
          <w:jc w:val="center"/>
        </w:trPr>
        <w:tc>
          <w:tcPr>
            <w:tcW w:w="0" w:type="auto"/>
            <w:tcBorders>
              <w:left w:val="single" w:sz="8" w:space="0" w:color="000000"/>
            </w:tcBorders>
            <w:tcMar>
              <w:top w:w="0" w:type="dxa"/>
              <w:left w:w="0" w:type="dxa"/>
              <w:bottom w:w="0" w:type="dxa"/>
              <w:right w:w="0" w:type="dxa"/>
            </w:tcMar>
          </w:tcPr>
          <w:p w14:paraId="4A7ED7C2"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Reporting bias assessment</w:t>
            </w:r>
          </w:p>
        </w:tc>
        <w:tc>
          <w:tcPr>
            <w:tcW w:w="0" w:type="auto"/>
            <w:tcMar>
              <w:top w:w="0" w:type="dxa"/>
              <w:left w:w="0" w:type="dxa"/>
              <w:bottom w:w="0" w:type="dxa"/>
              <w:right w:w="0" w:type="dxa"/>
            </w:tcMar>
            <w:vAlign w:val="center"/>
          </w:tcPr>
          <w:p w14:paraId="7F280344"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14</w:t>
            </w:r>
          </w:p>
        </w:tc>
        <w:tc>
          <w:tcPr>
            <w:tcW w:w="0" w:type="auto"/>
            <w:tcMar>
              <w:top w:w="0" w:type="dxa"/>
              <w:left w:w="0" w:type="dxa"/>
              <w:bottom w:w="0" w:type="dxa"/>
              <w:right w:w="0" w:type="dxa"/>
            </w:tcMar>
          </w:tcPr>
          <w:p w14:paraId="3D124715"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any methods used to assess risk of bias due to missing results in a synthesis (arising from reporting biases).</w:t>
            </w:r>
          </w:p>
        </w:tc>
        <w:tc>
          <w:tcPr>
            <w:tcW w:w="0" w:type="auto"/>
            <w:tcBorders>
              <w:right w:val="single" w:sz="8" w:space="0" w:color="000000"/>
            </w:tcBorders>
            <w:tcMar>
              <w:top w:w="0" w:type="dxa"/>
              <w:left w:w="0" w:type="dxa"/>
              <w:bottom w:w="0" w:type="dxa"/>
              <w:right w:w="0" w:type="dxa"/>
            </w:tcMar>
            <w:vAlign w:val="center"/>
          </w:tcPr>
          <w:p w14:paraId="013DC261"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10</w:t>
            </w:r>
          </w:p>
        </w:tc>
      </w:tr>
      <w:tr w:rsidR="00B74F67" w:rsidRPr="00B74F67" w14:paraId="5B902C4E" w14:textId="77777777" w:rsidTr="0054554B">
        <w:trPr>
          <w:cantSplit/>
          <w:jc w:val="center"/>
        </w:trPr>
        <w:tc>
          <w:tcPr>
            <w:tcW w:w="0" w:type="auto"/>
            <w:tcBorders>
              <w:left w:val="single" w:sz="8" w:space="0" w:color="000000"/>
              <w:bottom w:val="single" w:sz="12" w:space="0" w:color="auto"/>
            </w:tcBorders>
            <w:tcMar>
              <w:top w:w="0" w:type="dxa"/>
              <w:left w:w="0" w:type="dxa"/>
              <w:bottom w:w="0" w:type="dxa"/>
              <w:right w:w="0" w:type="dxa"/>
            </w:tcMar>
          </w:tcPr>
          <w:p w14:paraId="4FA670E7"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Certainty assessment</w:t>
            </w:r>
          </w:p>
        </w:tc>
        <w:tc>
          <w:tcPr>
            <w:tcW w:w="0" w:type="auto"/>
            <w:tcBorders>
              <w:bottom w:val="single" w:sz="12" w:space="0" w:color="auto"/>
            </w:tcBorders>
            <w:tcMar>
              <w:top w:w="0" w:type="dxa"/>
              <w:left w:w="0" w:type="dxa"/>
              <w:bottom w:w="0" w:type="dxa"/>
              <w:right w:w="0" w:type="dxa"/>
            </w:tcMar>
            <w:vAlign w:val="center"/>
          </w:tcPr>
          <w:p w14:paraId="3F462582"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15</w:t>
            </w:r>
          </w:p>
        </w:tc>
        <w:tc>
          <w:tcPr>
            <w:tcW w:w="0" w:type="auto"/>
            <w:tcBorders>
              <w:bottom w:val="single" w:sz="12" w:space="0" w:color="auto"/>
            </w:tcBorders>
            <w:tcMar>
              <w:top w:w="0" w:type="dxa"/>
              <w:left w:w="0" w:type="dxa"/>
              <w:bottom w:w="0" w:type="dxa"/>
              <w:right w:w="0" w:type="dxa"/>
            </w:tcMar>
          </w:tcPr>
          <w:p w14:paraId="0119D308"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Describe any </w:t>
            </w:r>
            <w:proofErr w:type="gramStart"/>
            <w:r w:rsidRPr="00B74F67">
              <w:rPr>
                <w:rFonts w:ascii="Arial" w:eastAsia="DejaVu Sans" w:hAnsi="Arial"/>
                <w:sz w:val="18"/>
                <w:szCs w:val="18"/>
              </w:rPr>
              <w:t>methods</w:t>
            </w:r>
            <w:proofErr w:type="gramEnd"/>
            <w:r w:rsidRPr="00B74F67">
              <w:rPr>
                <w:rFonts w:ascii="Arial" w:eastAsia="DejaVu Sans" w:hAnsi="Arial"/>
                <w:sz w:val="18"/>
                <w:szCs w:val="18"/>
              </w:rPr>
              <w:t xml:space="preserve"> used to assess certainty (or confidence) in the body of evidence for an outcome.</w:t>
            </w:r>
          </w:p>
        </w:tc>
        <w:tc>
          <w:tcPr>
            <w:tcW w:w="0" w:type="auto"/>
            <w:tcBorders>
              <w:bottom w:val="single" w:sz="12" w:space="0" w:color="auto"/>
              <w:right w:val="single" w:sz="8" w:space="0" w:color="000000"/>
            </w:tcBorders>
            <w:tcMar>
              <w:top w:w="0" w:type="dxa"/>
              <w:left w:w="0" w:type="dxa"/>
              <w:bottom w:w="0" w:type="dxa"/>
              <w:right w:w="0" w:type="dxa"/>
            </w:tcMar>
            <w:vAlign w:val="center"/>
          </w:tcPr>
          <w:p w14:paraId="56C19579"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56653EF4"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4500A07A"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RESULTS</w:t>
            </w:r>
          </w:p>
        </w:tc>
        <w:tc>
          <w:tcPr>
            <w:tcW w:w="0" w:type="auto"/>
            <w:tcBorders>
              <w:top w:val="single" w:sz="12" w:space="0" w:color="auto"/>
              <w:bottom w:val="single" w:sz="4" w:space="0" w:color="auto"/>
            </w:tcBorders>
            <w:tcMar>
              <w:top w:w="0" w:type="dxa"/>
              <w:left w:w="0" w:type="dxa"/>
              <w:bottom w:w="0" w:type="dxa"/>
              <w:right w:w="0" w:type="dxa"/>
            </w:tcMar>
            <w:vAlign w:val="center"/>
          </w:tcPr>
          <w:p w14:paraId="441930A0"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156B4ED5"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50BBF9A6"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4416EB85" w14:textId="77777777" w:rsidTr="0054554B">
        <w:trPr>
          <w:cantSplit/>
          <w:jc w:val="center"/>
        </w:trPr>
        <w:tc>
          <w:tcPr>
            <w:tcW w:w="0" w:type="auto"/>
            <w:tcBorders>
              <w:top w:val="single" w:sz="4" w:space="0" w:color="auto"/>
              <w:left w:val="single" w:sz="8" w:space="0" w:color="000000"/>
            </w:tcBorders>
            <w:tcMar>
              <w:top w:w="0" w:type="dxa"/>
              <w:left w:w="0" w:type="dxa"/>
              <w:bottom w:w="0" w:type="dxa"/>
              <w:right w:w="0" w:type="dxa"/>
            </w:tcMar>
          </w:tcPr>
          <w:p w14:paraId="052CF4D4"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Study selection</w:t>
            </w:r>
          </w:p>
        </w:tc>
        <w:tc>
          <w:tcPr>
            <w:tcW w:w="0" w:type="auto"/>
            <w:tcBorders>
              <w:top w:val="single" w:sz="4" w:space="0" w:color="auto"/>
            </w:tcBorders>
            <w:tcMar>
              <w:top w:w="0" w:type="dxa"/>
              <w:left w:w="0" w:type="dxa"/>
              <w:bottom w:w="0" w:type="dxa"/>
              <w:right w:w="0" w:type="dxa"/>
            </w:tcMar>
            <w:vAlign w:val="center"/>
          </w:tcPr>
          <w:p w14:paraId="28B928DB"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16a</w:t>
            </w:r>
          </w:p>
        </w:tc>
        <w:tc>
          <w:tcPr>
            <w:tcW w:w="0" w:type="auto"/>
            <w:tcBorders>
              <w:top w:val="single" w:sz="4" w:space="0" w:color="auto"/>
            </w:tcBorders>
            <w:tcMar>
              <w:top w:w="0" w:type="dxa"/>
              <w:left w:w="0" w:type="dxa"/>
              <w:bottom w:w="0" w:type="dxa"/>
              <w:right w:w="0" w:type="dxa"/>
            </w:tcMar>
          </w:tcPr>
          <w:p w14:paraId="62612A1B"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the results of the search and selection process, from the number of records identified in the search to the number of studies included in the review, ideally using a flow diagram.</w:t>
            </w:r>
          </w:p>
        </w:tc>
        <w:tc>
          <w:tcPr>
            <w:tcW w:w="0" w:type="auto"/>
            <w:tcBorders>
              <w:top w:val="single" w:sz="4" w:space="0" w:color="auto"/>
              <w:right w:val="single" w:sz="8" w:space="0" w:color="000000"/>
            </w:tcBorders>
            <w:tcMar>
              <w:top w:w="0" w:type="dxa"/>
              <w:left w:w="0" w:type="dxa"/>
              <w:bottom w:w="0" w:type="dxa"/>
              <w:right w:w="0" w:type="dxa"/>
            </w:tcMar>
            <w:vAlign w:val="center"/>
          </w:tcPr>
          <w:p w14:paraId="449931C3" w14:textId="605710A6"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EA6F49" w:rsidRPr="00B74F67">
              <w:rPr>
                <w:rFonts w:ascii="Arial" w:eastAsia="DejaVu Sans" w:hAnsi="Arial"/>
                <w:sz w:val="18"/>
                <w:szCs w:val="18"/>
              </w:rPr>
              <w:t>1</w:t>
            </w:r>
          </w:p>
        </w:tc>
      </w:tr>
      <w:tr w:rsidR="00B74F67" w:rsidRPr="00B74F67" w14:paraId="182E1C50" w14:textId="77777777" w:rsidTr="00B74F67">
        <w:trPr>
          <w:cantSplit/>
          <w:jc w:val="center"/>
        </w:trPr>
        <w:tc>
          <w:tcPr>
            <w:tcW w:w="0" w:type="auto"/>
            <w:tcBorders>
              <w:left w:val="single" w:sz="8" w:space="0" w:color="000000"/>
            </w:tcBorders>
            <w:tcMar>
              <w:top w:w="0" w:type="dxa"/>
              <w:left w:w="0" w:type="dxa"/>
              <w:bottom w:w="0" w:type="dxa"/>
              <w:right w:w="0" w:type="dxa"/>
            </w:tcMar>
          </w:tcPr>
          <w:p w14:paraId="3E561373"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0734FD38"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16b</w:t>
            </w:r>
          </w:p>
        </w:tc>
        <w:tc>
          <w:tcPr>
            <w:tcW w:w="0" w:type="auto"/>
            <w:tcMar>
              <w:top w:w="0" w:type="dxa"/>
              <w:left w:w="0" w:type="dxa"/>
              <w:bottom w:w="0" w:type="dxa"/>
              <w:right w:w="0" w:type="dxa"/>
            </w:tcMar>
          </w:tcPr>
          <w:p w14:paraId="16E30A0A"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Cite studies that might appear to meet the inclusion criteria, but which were excluded, and explain why they were excluded.</w:t>
            </w:r>
          </w:p>
        </w:tc>
        <w:tc>
          <w:tcPr>
            <w:tcW w:w="0" w:type="auto"/>
            <w:tcBorders>
              <w:right w:val="single" w:sz="8" w:space="0" w:color="000000"/>
            </w:tcBorders>
            <w:tcMar>
              <w:top w:w="0" w:type="dxa"/>
              <w:left w:w="0" w:type="dxa"/>
              <w:bottom w:w="0" w:type="dxa"/>
              <w:right w:w="0" w:type="dxa"/>
            </w:tcMar>
            <w:vAlign w:val="center"/>
          </w:tcPr>
          <w:p w14:paraId="1F04DA0E" w14:textId="2EF5D60F"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Figure</w:t>
            </w:r>
            <w:r w:rsidR="00F55F4C" w:rsidRPr="00B74F67">
              <w:rPr>
                <w:rFonts w:ascii="Arial" w:eastAsia="DejaVu Sans" w:hAnsi="Arial"/>
                <w:sz w:val="18"/>
                <w:szCs w:val="18"/>
              </w:rPr>
              <w:t xml:space="preserve"> 3</w:t>
            </w:r>
          </w:p>
        </w:tc>
      </w:tr>
      <w:tr w:rsidR="00B74F67" w:rsidRPr="00B74F67" w14:paraId="6358222C" w14:textId="77777777" w:rsidTr="00B74F67">
        <w:trPr>
          <w:cantSplit/>
          <w:jc w:val="center"/>
        </w:trPr>
        <w:tc>
          <w:tcPr>
            <w:tcW w:w="0" w:type="auto"/>
            <w:tcBorders>
              <w:left w:val="single" w:sz="8" w:space="0" w:color="000000"/>
            </w:tcBorders>
            <w:tcMar>
              <w:top w:w="0" w:type="dxa"/>
              <w:left w:w="0" w:type="dxa"/>
              <w:bottom w:w="0" w:type="dxa"/>
              <w:right w:w="0" w:type="dxa"/>
            </w:tcMar>
          </w:tcPr>
          <w:p w14:paraId="3C00D8A4"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Study characteristics</w:t>
            </w:r>
          </w:p>
        </w:tc>
        <w:tc>
          <w:tcPr>
            <w:tcW w:w="0" w:type="auto"/>
            <w:tcMar>
              <w:top w:w="0" w:type="dxa"/>
              <w:left w:w="0" w:type="dxa"/>
              <w:bottom w:w="0" w:type="dxa"/>
              <w:right w:w="0" w:type="dxa"/>
            </w:tcMar>
            <w:vAlign w:val="center"/>
          </w:tcPr>
          <w:p w14:paraId="0783F289"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17</w:t>
            </w:r>
          </w:p>
        </w:tc>
        <w:tc>
          <w:tcPr>
            <w:tcW w:w="0" w:type="auto"/>
            <w:tcMar>
              <w:top w:w="0" w:type="dxa"/>
              <w:left w:w="0" w:type="dxa"/>
              <w:bottom w:w="0" w:type="dxa"/>
              <w:right w:w="0" w:type="dxa"/>
            </w:tcMar>
          </w:tcPr>
          <w:p w14:paraId="6BFC14E9"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Cite each </w:t>
            </w:r>
            <w:proofErr w:type="gramStart"/>
            <w:r w:rsidRPr="00B74F67">
              <w:rPr>
                <w:rFonts w:ascii="Arial" w:eastAsia="DejaVu Sans" w:hAnsi="Arial"/>
                <w:sz w:val="18"/>
                <w:szCs w:val="18"/>
              </w:rPr>
              <w:t>included</w:t>
            </w:r>
            <w:proofErr w:type="gramEnd"/>
            <w:r w:rsidRPr="00B74F67">
              <w:rPr>
                <w:rFonts w:ascii="Arial" w:eastAsia="DejaVu Sans" w:hAnsi="Arial"/>
                <w:sz w:val="18"/>
                <w:szCs w:val="18"/>
              </w:rPr>
              <w:t xml:space="preserve"> study and </w:t>
            </w:r>
            <w:proofErr w:type="gramStart"/>
            <w:r w:rsidRPr="00B74F67">
              <w:rPr>
                <w:rFonts w:ascii="Arial" w:eastAsia="DejaVu Sans" w:hAnsi="Arial"/>
                <w:sz w:val="18"/>
                <w:szCs w:val="18"/>
              </w:rPr>
              <w:t>present</w:t>
            </w:r>
            <w:proofErr w:type="gramEnd"/>
            <w:r w:rsidRPr="00B74F67">
              <w:rPr>
                <w:rFonts w:ascii="Arial" w:eastAsia="DejaVu Sans" w:hAnsi="Arial"/>
                <w:sz w:val="18"/>
                <w:szCs w:val="18"/>
              </w:rPr>
              <w:t xml:space="preserve"> its characteristics.</w:t>
            </w:r>
          </w:p>
        </w:tc>
        <w:tc>
          <w:tcPr>
            <w:tcW w:w="0" w:type="auto"/>
            <w:tcBorders>
              <w:right w:val="single" w:sz="8" w:space="0" w:color="000000"/>
            </w:tcBorders>
            <w:tcMar>
              <w:top w:w="0" w:type="dxa"/>
              <w:left w:w="0" w:type="dxa"/>
              <w:bottom w:w="0" w:type="dxa"/>
              <w:right w:w="0" w:type="dxa"/>
            </w:tcMar>
            <w:vAlign w:val="center"/>
          </w:tcPr>
          <w:p w14:paraId="40BB0FC0" w14:textId="71FE6316"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 xml:space="preserve">S. </w:t>
            </w:r>
            <w:r w:rsidR="00F55F4C" w:rsidRPr="00B74F67">
              <w:rPr>
                <w:rFonts w:ascii="Arial" w:eastAsia="DejaVu Sans" w:hAnsi="Arial"/>
                <w:sz w:val="18"/>
                <w:szCs w:val="18"/>
              </w:rPr>
              <w:t>tables S3, S4, S5</w:t>
            </w:r>
          </w:p>
        </w:tc>
      </w:tr>
      <w:tr w:rsidR="00B74F67" w:rsidRPr="00B74F67" w14:paraId="50446B56" w14:textId="77777777" w:rsidTr="00B74F67">
        <w:trPr>
          <w:cantSplit/>
          <w:jc w:val="center"/>
        </w:trPr>
        <w:tc>
          <w:tcPr>
            <w:tcW w:w="0" w:type="auto"/>
            <w:tcBorders>
              <w:left w:val="single" w:sz="8" w:space="0" w:color="000000"/>
            </w:tcBorders>
            <w:tcMar>
              <w:top w:w="0" w:type="dxa"/>
              <w:left w:w="0" w:type="dxa"/>
              <w:bottom w:w="0" w:type="dxa"/>
              <w:right w:w="0" w:type="dxa"/>
            </w:tcMar>
          </w:tcPr>
          <w:p w14:paraId="4723E1A1"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Risk of bias in studies</w:t>
            </w:r>
          </w:p>
        </w:tc>
        <w:tc>
          <w:tcPr>
            <w:tcW w:w="0" w:type="auto"/>
            <w:tcMar>
              <w:top w:w="0" w:type="dxa"/>
              <w:left w:w="0" w:type="dxa"/>
              <w:bottom w:w="0" w:type="dxa"/>
              <w:right w:w="0" w:type="dxa"/>
            </w:tcMar>
            <w:vAlign w:val="center"/>
          </w:tcPr>
          <w:p w14:paraId="4693A9B1"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18</w:t>
            </w:r>
          </w:p>
        </w:tc>
        <w:tc>
          <w:tcPr>
            <w:tcW w:w="0" w:type="auto"/>
            <w:tcMar>
              <w:top w:w="0" w:type="dxa"/>
              <w:left w:w="0" w:type="dxa"/>
              <w:bottom w:w="0" w:type="dxa"/>
              <w:right w:w="0" w:type="dxa"/>
            </w:tcMar>
          </w:tcPr>
          <w:p w14:paraId="29E1BABA"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assessments of risk of bias for each included study.</w:t>
            </w:r>
          </w:p>
        </w:tc>
        <w:tc>
          <w:tcPr>
            <w:tcW w:w="0" w:type="auto"/>
            <w:tcBorders>
              <w:right w:val="single" w:sz="8" w:space="0" w:color="000000"/>
            </w:tcBorders>
            <w:tcMar>
              <w:top w:w="0" w:type="dxa"/>
              <w:left w:w="0" w:type="dxa"/>
              <w:bottom w:w="0" w:type="dxa"/>
              <w:right w:w="0" w:type="dxa"/>
            </w:tcMar>
            <w:vAlign w:val="center"/>
          </w:tcPr>
          <w:p w14:paraId="53C539BA" w14:textId="487942FE"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11</w:t>
            </w:r>
          </w:p>
        </w:tc>
      </w:tr>
      <w:tr w:rsidR="00B74F67" w:rsidRPr="00B74F67" w14:paraId="09C8910D" w14:textId="77777777" w:rsidTr="00B74F67">
        <w:trPr>
          <w:cantSplit/>
          <w:jc w:val="center"/>
        </w:trPr>
        <w:tc>
          <w:tcPr>
            <w:tcW w:w="0" w:type="auto"/>
            <w:tcBorders>
              <w:left w:val="single" w:sz="8" w:space="0" w:color="000000"/>
            </w:tcBorders>
            <w:tcMar>
              <w:top w:w="0" w:type="dxa"/>
              <w:left w:w="0" w:type="dxa"/>
              <w:bottom w:w="0" w:type="dxa"/>
              <w:right w:w="0" w:type="dxa"/>
            </w:tcMar>
          </w:tcPr>
          <w:p w14:paraId="6BD6A91E"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Results of individual studies</w:t>
            </w:r>
          </w:p>
        </w:tc>
        <w:tc>
          <w:tcPr>
            <w:tcW w:w="0" w:type="auto"/>
            <w:tcMar>
              <w:top w:w="0" w:type="dxa"/>
              <w:left w:w="0" w:type="dxa"/>
              <w:bottom w:w="0" w:type="dxa"/>
              <w:right w:w="0" w:type="dxa"/>
            </w:tcMar>
            <w:vAlign w:val="center"/>
          </w:tcPr>
          <w:p w14:paraId="2522CCCD"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19</w:t>
            </w:r>
          </w:p>
        </w:tc>
        <w:tc>
          <w:tcPr>
            <w:tcW w:w="0" w:type="auto"/>
            <w:tcMar>
              <w:top w:w="0" w:type="dxa"/>
              <w:left w:w="0" w:type="dxa"/>
              <w:bottom w:w="0" w:type="dxa"/>
              <w:right w:w="0" w:type="dxa"/>
            </w:tcMar>
          </w:tcPr>
          <w:p w14:paraId="43179356"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For all outcomes, present, for each study: (a) summary statistics for each group (where appropriate) and (b) an effect </w:t>
            </w:r>
            <w:proofErr w:type="gramStart"/>
            <w:r w:rsidRPr="00B74F67">
              <w:rPr>
                <w:rFonts w:ascii="Arial" w:eastAsia="DejaVu Sans" w:hAnsi="Arial"/>
                <w:sz w:val="18"/>
                <w:szCs w:val="18"/>
              </w:rPr>
              <w:t>estimate</w:t>
            </w:r>
            <w:proofErr w:type="gramEnd"/>
            <w:r w:rsidRPr="00B74F67">
              <w:rPr>
                <w:rFonts w:ascii="Arial" w:eastAsia="DejaVu Sans" w:hAnsi="Arial"/>
                <w:sz w:val="18"/>
                <w:szCs w:val="18"/>
              </w:rPr>
              <w:t xml:space="preserve"> and its precision (e.g. confidence/credible interval), ideally using structured tables or plots.</w:t>
            </w:r>
          </w:p>
        </w:tc>
        <w:tc>
          <w:tcPr>
            <w:tcW w:w="0" w:type="auto"/>
            <w:tcBorders>
              <w:right w:val="single" w:sz="8" w:space="0" w:color="000000"/>
            </w:tcBorders>
            <w:tcMar>
              <w:top w:w="0" w:type="dxa"/>
              <w:left w:w="0" w:type="dxa"/>
              <w:bottom w:w="0" w:type="dxa"/>
              <w:right w:w="0" w:type="dxa"/>
            </w:tcMar>
            <w:vAlign w:val="center"/>
          </w:tcPr>
          <w:p w14:paraId="7A7C334A" w14:textId="1E5B82E2" w:rsidR="00F55F4C" w:rsidRPr="00B74F67" w:rsidRDefault="00EA6F49" w:rsidP="00B74F67">
            <w:pPr>
              <w:spacing w:before="100" w:after="100"/>
              <w:ind w:left="100" w:right="100"/>
              <w:jc w:val="center"/>
              <w:rPr>
                <w:rFonts w:ascii="Arial" w:hAnsi="Arial"/>
                <w:sz w:val="18"/>
                <w:szCs w:val="18"/>
              </w:rPr>
            </w:pPr>
            <w:r w:rsidRPr="00B74F67">
              <w:rPr>
                <w:rFonts w:ascii="Arial" w:eastAsia="DejaVu Sans" w:hAnsi="Arial"/>
                <w:sz w:val="18"/>
                <w:szCs w:val="18"/>
              </w:rPr>
              <w:t xml:space="preserve">S. </w:t>
            </w:r>
            <w:r w:rsidR="00F55F4C" w:rsidRPr="00B74F67">
              <w:rPr>
                <w:rFonts w:ascii="Arial" w:eastAsia="DejaVu Sans" w:hAnsi="Arial"/>
                <w:sz w:val="18"/>
                <w:szCs w:val="18"/>
              </w:rPr>
              <w:t>tables S3, S4, S5</w:t>
            </w:r>
          </w:p>
        </w:tc>
      </w:tr>
      <w:tr w:rsidR="00B74F67" w:rsidRPr="00B74F67" w14:paraId="1A41D506" w14:textId="77777777" w:rsidTr="00B74F67">
        <w:trPr>
          <w:cantSplit/>
          <w:jc w:val="center"/>
        </w:trPr>
        <w:tc>
          <w:tcPr>
            <w:tcW w:w="0" w:type="auto"/>
            <w:tcBorders>
              <w:left w:val="single" w:sz="8" w:space="0" w:color="000000"/>
            </w:tcBorders>
            <w:tcMar>
              <w:top w:w="0" w:type="dxa"/>
              <w:left w:w="0" w:type="dxa"/>
              <w:bottom w:w="0" w:type="dxa"/>
              <w:right w:w="0" w:type="dxa"/>
            </w:tcMar>
          </w:tcPr>
          <w:p w14:paraId="6E715A3D"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lastRenderedPageBreak/>
              <w:t>Results of syntheses</w:t>
            </w:r>
          </w:p>
        </w:tc>
        <w:tc>
          <w:tcPr>
            <w:tcW w:w="0" w:type="auto"/>
            <w:tcMar>
              <w:top w:w="0" w:type="dxa"/>
              <w:left w:w="0" w:type="dxa"/>
              <w:bottom w:w="0" w:type="dxa"/>
              <w:right w:w="0" w:type="dxa"/>
            </w:tcMar>
            <w:vAlign w:val="center"/>
          </w:tcPr>
          <w:p w14:paraId="0D9FD10C"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20a</w:t>
            </w:r>
          </w:p>
        </w:tc>
        <w:tc>
          <w:tcPr>
            <w:tcW w:w="0" w:type="auto"/>
            <w:tcMar>
              <w:top w:w="0" w:type="dxa"/>
              <w:left w:w="0" w:type="dxa"/>
              <w:bottom w:w="0" w:type="dxa"/>
              <w:right w:w="0" w:type="dxa"/>
            </w:tcMar>
          </w:tcPr>
          <w:p w14:paraId="472368A4" w14:textId="5A85186A"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For each synthesis, briefly </w:t>
            </w:r>
            <w:r w:rsidR="00EA6F49" w:rsidRPr="00B74F67">
              <w:rPr>
                <w:rFonts w:ascii="Arial" w:eastAsia="DejaVu Sans" w:hAnsi="Arial"/>
                <w:sz w:val="18"/>
                <w:szCs w:val="18"/>
              </w:rPr>
              <w:t>summarize</w:t>
            </w:r>
            <w:r w:rsidRPr="00B74F67">
              <w:rPr>
                <w:rFonts w:ascii="Arial" w:eastAsia="DejaVu Sans" w:hAnsi="Arial"/>
                <w:sz w:val="18"/>
                <w:szCs w:val="18"/>
              </w:rPr>
              <w:t xml:space="preserve"> the characteristics and risk of bias among contributing studies.</w:t>
            </w:r>
          </w:p>
        </w:tc>
        <w:tc>
          <w:tcPr>
            <w:tcW w:w="0" w:type="auto"/>
            <w:tcBorders>
              <w:right w:val="single" w:sz="8" w:space="0" w:color="000000"/>
            </w:tcBorders>
            <w:tcMar>
              <w:top w:w="0" w:type="dxa"/>
              <w:left w:w="0" w:type="dxa"/>
              <w:bottom w:w="0" w:type="dxa"/>
              <w:right w:w="0" w:type="dxa"/>
            </w:tcMar>
            <w:vAlign w:val="center"/>
          </w:tcPr>
          <w:p w14:paraId="347226A8" w14:textId="21FA9E48" w:rsidR="00F55F4C" w:rsidRPr="00B74F67" w:rsidRDefault="00B74F67" w:rsidP="00B74F67">
            <w:pPr>
              <w:spacing w:before="100" w:after="100"/>
              <w:ind w:left="100" w:right="100"/>
              <w:jc w:val="center"/>
              <w:rPr>
                <w:rFonts w:ascii="Arial" w:hAnsi="Arial"/>
                <w:sz w:val="18"/>
                <w:szCs w:val="18"/>
              </w:rPr>
            </w:pPr>
            <w:r w:rsidRPr="00B74F67">
              <w:rPr>
                <w:rFonts w:ascii="Arial" w:eastAsia="DejaVu Sans" w:hAnsi="Arial"/>
                <w:sz w:val="18"/>
                <w:szCs w:val="18"/>
              </w:rPr>
              <w:t>Box 2</w:t>
            </w:r>
          </w:p>
        </w:tc>
      </w:tr>
      <w:tr w:rsidR="00B74F67" w:rsidRPr="00B74F67" w14:paraId="64005144" w14:textId="77777777" w:rsidTr="00B74F67">
        <w:trPr>
          <w:cantSplit/>
          <w:jc w:val="center"/>
        </w:trPr>
        <w:tc>
          <w:tcPr>
            <w:tcW w:w="0" w:type="auto"/>
            <w:vMerge w:val="restart"/>
            <w:tcBorders>
              <w:left w:val="single" w:sz="8" w:space="0" w:color="000000"/>
            </w:tcBorders>
            <w:tcMar>
              <w:top w:w="0" w:type="dxa"/>
              <w:left w:w="0" w:type="dxa"/>
              <w:bottom w:w="0" w:type="dxa"/>
              <w:right w:w="0" w:type="dxa"/>
            </w:tcMar>
          </w:tcPr>
          <w:p w14:paraId="6A96006C"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179B26BF"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20b</w:t>
            </w:r>
          </w:p>
        </w:tc>
        <w:tc>
          <w:tcPr>
            <w:tcW w:w="0" w:type="auto"/>
            <w:tcMar>
              <w:top w:w="0" w:type="dxa"/>
              <w:left w:w="0" w:type="dxa"/>
              <w:bottom w:w="0" w:type="dxa"/>
              <w:right w:w="0" w:type="dxa"/>
            </w:tcMar>
          </w:tcPr>
          <w:p w14:paraId="362A3C5D"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tcMar>
              <w:top w:w="0" w:type="dxa"/>
              <w:left w:w="0" w:type="dxa"/>
              <w:bottom w:w="0" w:type="dxa"/>
              <w:right w:w="0" w:type="dxa"/>
            </w:tcMar>
            <w:vAlign w:val="center"/>
          </w:tcPr>
          <w:p w14:paraId="0D5A807F" w14:textId="3C355F49" w:rsidR="00F55F4C" w:rsidRPr="00B74F67" w:rsidRDefault="00B74F67" w:rsidP="00B74F67">
            <w:pPr>
              <w:spacing w:before="100" w:after="100"/>
              <w:ind w:left="100" w:right="100"/>
              <w:jc w:val="center"/>
              <w:rPr>
                <w:rFonts w:ascii="Arial" w:hAnsi="Arial"/>
                <w:sz w:val="18"/>
                <w:szCs w:val="18"/>
              </w:rPr>
            </w:pPr>
            <w:r w:rsidRPr="00B74F67">
              <w:rPr>
                <w:rFonts w:ascii="Arial" w:eastAsia="DejaVu Sans" w:hAnsi="Arial"/>
                <w:sz w:val="18"/>
                <w:szCs w:val="18"/>
              </w:rPr>
              <w:t xml:space="preserve">S. </w:t>
            </w:r>
            <w:r w:rsidR="00F55F4C" w:rsidRPr="00B74F67">
              <w:rPr>
                <w:rFonts w:ascii="Arial" w:eastAsia="DejaVu Sans" w:hAnsi="Arial"/>
                <w:sz w:val="18"/>
                <w:szCs w:val="18"/>
              </w:rPr>
              <w:t>tables S3, S4, S5</w:t>
            </w:r>
          </w:p>
        </w:tc>
      </w:tr>
      <w:tr w:rsidR="00B74F67" w:rsidRPr="00B74F67" w14:paraId="170ECD19"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7B3A8254"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0EA6CE8C"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20c</w:t>
            </w:r>
          </w:p>
        </w:tc>
        <w:tc>
          <w:tcPr>
            <w:tcW w:w="0" w:type="auto"/>
            <w:tcMar>
              <w:top w:w="0" w:type="dxa"/>
              <w:left w:w="0" w:type="dxa"/>
              <w:bottom w:w="0" w:type="dxa"/>
              <w:right w:w="0" w:type="dxa"/>
            </w:tcMar>
          </w:tcPr>
          <w:p w14:paraId="304E986B"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results of all investigations of possible causes of heterogeneity among study results.</w:t>
            </w:r>
          </w:p>
        </w:tc>
        <w:tc>
          <w:tcPr>
            <w:tcW w:w="0" w:type="auto"/>
            <w:tcBorders>
              <w:right w:val="single" w:sz="8" w:space="0" w:color="000000"/>
            </w:tcBorders>
            <w:tcMar>
              <w:top w:w="0" w:type="dxa"/>
              <w:left w:w="0" w:type="dxa"/>
              <w:bottom w:w="0" w:type="dxa"/>
              <w:right w:w="0" w:type="dxa"/>
            </w:tcMar>
            <w:vAlign w:val="center"/>
          </w:tcPr>
          <w:p w14:paraId="523A0641" w14:textId="214381B1"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B74F67" w:rsidRPr="00B74F67">
              <w:rPr>
                <w:rFonts w:ascii="Arial" w:eastAsia="DejaVu Sans" w:hAnsi="Arial"/>
                <w:sz w:val="18"/>
                <w:szCs w:val="18"/>
              </w:rPr>
              <w:t>1</w:t>
            </w:r>
          </w:p>
        </w:tc>
      </w:tr>
      <w:tr w:rsidR="00B74F67" w:rsidRPr="00B74F67" w14:paraId="10A099DB"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2DDEF79F"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5DCE69CC"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20d</w:t>
            </w:r>
          </w:p>
        </w:tc>
        <w:tc>
          <w:tcPr>
            <w:tcW w:w="0" w:type="auto"/>
            <w:tcMar>
              <w:top w:w="0" w:type="dxa"/>
              <w:left w:w="0" w:type="dxa"/>
              <w:bottom w:w="0" w:type="dxa"/>
              <w:right w:w="0" w:type="dxa"/>
            </w:tcMar>
          </w:tcPr>
          <w:p w14:paraId="52BDAB8C"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results of all sensitivity analyses conducted to assess the robustness of the synthesized results.</w:t>
            </w:r>
          </w:p>
        </w:tc>
        <w:tc>
          <w:tcPr>
            <w:tcW w:w="0" w:type="auto"/>
            <w:tcBorders>
              <w:right w:val="single" w:sz="8" w:space="0" w:color="000000"/>
            </w:tcBorders>
            <w:tcMar>
              <w:top w:w="0" w:type="dxa"/>
              <w:left w:w="0" w:type="dxa"/>
              <w:bottom w:w="0" w:type="dxa"/>
              <w:right w:w="0" w:type="dxa"/>
            </w:tcMar>
            <w:vAlign w:val="center"/>
          </w:tcPr>
          <w:p w14:paraId="516AFE0A"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7B01C4D2" w14:textId="77777777" w:rsidTr="00B74F67">
        <w:trPr>
          <w:cantSplit/>
          <w:jc w:val="center"/>
        </w:trPr>
        <w:tc>
          <w:tcPr>
            <w:tcW w:w="0" w:type="auto"/>
            <w:tcBorders>
              <w:left w:val="single" w:sz="8" w:space="0" w:color="000000"/>
            </w:tcBorders>
            <w:tcMar>
              <w:top w:w="0" w:type="dxa"/>
              <w:left w:w="0" w:type="dxa"/>
              <w:bottom w:w="0" w:type="dxa"/>
              <w:right w:w="0" w:type="dxa"/>
            </w:tcMar>
          </w:tcPr>
          <w:p w14:paraId="7C3B2053"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Reporting biases</w:t>
            </w:r>
          </w:p>
        </w:tc>
        <w:tc>
          <w:tcPr>
            <w:tcW w:w="0" w:type="auto"/>
            <w:tcMar>
              <w:top w:w="0" w:type="dxa"/>
              <w:left w:w="0" w:type="dxa"/>
              <w:bottom w:w="0" w:type="dxa"/>
              <w:right w:w="0" w:type="dxa"/>
            </w:tcMar>
            <w:vAlign w:val="center"/>
          </w:tcPr>
          <w:p w14:paraId="03541215"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21</w:t>
            </w:r>
          </w:p>
        </w:tc>
        <w:tc>
          <w:tcPr>
            <w:tcW w:w="0" w:type="auto"/>
            <w:tcMar>
              <w:top w:w="0" w:type="dxa"/>
              <w:left w:w="0" w:type="dxa"/>
              <w:bottom w:w="0" w:type="dxa"/>
              <w:right w:w="0" w:type="dxa"/>
            </w:tcMar>
          </w:tcPr>
          <w:p w14:paraId="4B4661E8"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assessments of risk of bias due to missing results (arising from reporting biases) for each synthesis assessed.</w:t>
            </w:r>
          </w:p>
        </w:tc>
        <w:tc>
          <w:tcPr>
            <w:tcW w:w="0" w:type="auto"/>
            <w:tcBorders>
              <w:right w:val="single" w:sz="8" w:space="0" w:color="000000"/>
            </w:tcBorders>
            <w:tcMar>
              <w:top w:w="0" w:type="dxa"/>
              <w:left w:w="0" w:type="dxa"/>
              <w:bottom w:w="0" w:type="dxa"/>
              <w:right w:w="0" w:type="dxa"/>
            </w:tcMar>
            <w:vAlign w:val="center"/>
          </w:tcPr>
          <w:p w14:paraId="6626D68D" w14:textId="3727D30C"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B74F67" w:rsidRPr="00B74F67">
              <w:rPr>
                <w:rFonts w:ascii="Arial" w:eastAsia="DejaVu Sans" w:hAnsi="Arial"/>
                <w:sz w:val="18"/>
                <w:szCs w:val="18"/>
              </w:rPr>
              <w:t>1</w:t>
            </w:r>
          </w:p>
        </w:tc>
      </w:tr>
      <w:tr w:rsidR="00B74F67" w:rsidRPr="00B74F67" w14:paraId="44BF6155" w14:textId="77777777" w:rsidTr="0054554B">
        <w:trPr>
          <w:cantSplit/>
          <w:jc w:val="center"/>
        </w:trPr>
        <w:tc>
          <w:tcPr>
            <w:tcW w:w="0" w:type="auto"/>
            <w:tcBorders>
              <w:left w:val="single" w:sz="8" w:space="0" w:color="000000"/>
              <w:bottom w:val="single" w:sz="12" w:space="0" w:color="auto"/>
            </w:tcBorders>
            <w:tcMar>
              <w:top w:w="0" w:type="dxa"/>
              <w:left w:w="0" w:type="dxa"/>
              <w:bottom w:w="0" w:type="dxa"/>
              <w:right w:w="0" w:type="dxa"/>
            </w:tcMar>
          </w:tcPr>
          <w:p w14:paraId="0DE8B82F"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Certainty of evidence</w:t>
            </w:r>
          </w:p>
        </w:tc>
        <w:tc>
          <w:tcPr>
            <w:tcW w:w="0" w:type="auto"/>
            <w:tcBorders>
              <w:bottom w:val="single" w:sz="12" w:space="0" w:color="auto"/>
            </w:tcBorders>
            <w:tcMar>
              <w:top w:w="0" w:type="dxa"/>
              <w:left w:w="0" w:type="dxa"/>
              <w:bottom w:w="0" w:type="dxa"/>
              <w:right w:w="0" w:type="dxa"/>
            </w:tcMar>
            <w:vAlign w:val="center"/>
          </w:tcPr>
          <w:p w14:paraId="33EE9B59"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22</w:t>
            </w:r>
          </w:p>
        </w:tc>
        <w:tc>
          <w:tcPr>
            <w:tcW w:w="0" w:type="auto"/>
            <w:tcBorders>
              <w:bottom w:val="single" w:sz="12" w:space="0" w:color="auto"/>
            </w:tcBorders>
            <w:tcMar>
              <w:top w:w="0" w:type="dxa"/>
              <w:left w:w="0" w:type="dxa"/>
              <w:bottom w:w="0" w:type="dxa"/>
              <w:right w:w="0" w:type="dxa"/>
            </w:tcMar>
          </w:tcPr>
          <w:p w14:paraId="63CA689E"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Present assessments of certainty (or confidence) in the body of evidence for each outcome assessed.</w:t>
            </w:r>
          </w:p>
        </w:tc>
        <w:tc>
          <w:tcPr>
            <w:tcW w:w="0" w:type="auto"/>
            <w:tcBorders>
              <w:bottom w:val="single" w:sz="12" w:space="0" w:color="auto"/>
              <w:right w:val="single" w:sz="8" w:space="0" w:color="000000"/>
            </w:tcBorders>
            <w:tcMar>
              <w:top w:w="0" w:type="dxa"/>
              <w:left w:w="0" w:type="dxa"/>
              <w:bottom w:w="0" w:type="dxa"/>
              <w:right w:w="0" w:type="dxa"/>
            </w:tcMar>
            <w:vAlign w:val="center"/>
          </w:tcPr>
          <w:p w14:paraId="671C5395"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43E9B218"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7D05CA6C"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DISCUSSION</w:t>
            </w:r>
          </w:p>
        </w:tc>
        <w:tc>
          <w:tcPr>
            <w:tcW w:w="0" w:type="auto"/>
            <w:tcBorders>
              <w:top w:val="single" w:sz="12" w:space="0" w:color="auto"/>
              <w:bottom w:val="single" w:sz="4" w:space="0" w:color="auto"/>
            </w:tcBorders>
            <w:tcMar>
              <w:top w:w="0" w:type="dxa"/>
              <w:left w:w="0" w:type="dxa"/>
              <w:bottom w:w="0" w:type="dxa"/>
              <w:right w:w="0" w:type="dxa"/>
            </w:tcMar>
            <w:vAlign w:val="center"/>
          </w:tcPr>
          <w:p w14:paraId="62339B8D"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70E3560C"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5C6904CA"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414F341E" w14:textId="77777777" w:rsidTr="0054554B">
        <w:trPr>
          <w:cantSplit/>
          <w:jc w:val="center"/>
        </w:trPr>
        <w:tc>
          <w:tcPr>
            <w:tcW w:w="0" w:type="auto"/>
            <w:tcBorders>
              <w:top w:val="single" w:sz="4" w:space="0" w:color="auto"/>
              <w:left w:val="single" w:sz="8" w:space="0" w:color="000000"/>
            </w:tcBorders>
            <w:tcMar>
              <w:top w:w="0" w:type="dxa"/>
              <w:left w:w="0" w:type="dxa"/>
              <w:bottom w:w="0" w:type="dxa"/>
              <w:right w:w="0" w:type="dxa"/>
            </w:tcMar>
          </w:tcPr>
          <w:p w14:paraId="77620E18"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Discussion</w:t>
            </w:r>
          </w:p>
        </w:tc>
        <w:tc>
          <w:tcPr>
            <w:tcW w:w="0" w:type="auto"/>
            <w:tcBorders>
              <w:top w:val="single" w:sz="4" w:space="0" w:color="auto"/>
            </w:tcBorders>
            <w:tcMar>
              <w:top w:w="0" w:type="dxa"/>
              <w:left w:w="0" w:type="dxa"/>
              <w:bottom w:w="0" w:type="dxa"/>
              <w:right w:w="0" w:type="dxa"/>
            </w:tcMar>
            <w:vAlign w:val="center"/>
          </w:tcPr>
          <w:p w14:paraId="07C3A496"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23a</w:t>
            </w:r>
          </w:p>
        </w:tc>
        <w:tc>
          <w:tcPr>
            <w:tcW w:w="0" w:type="auto"/>
            <w:tcBorders>
              <w:top w:val="single" w:sz="4" w:space="0" w:color="auto"/>
            </w:tcBorders>
            <w:tcMar>
              <w:top w:w="0" w:type="dxa"/>
              <w:left w:w="0" w:type="dxa"/>
              <w:bottom w:w="0" w:type="dxa"/>
              <w:right w:w="0" w:type="dxa"/>
            </w:tcMar>
          </w:tcPr>
          <w:p w14:paraId="778DB753"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Provide a general interpretation of the results in the context of other evidence.</w:t>
            </w:r>
          </w:p>
        </w:tc>
        <w:tc>
          <w:tcPr>
            <w:tcW w:w="0" w:type="auto"/>
            <w:tcBorders>
              <w:top w:val="single" w:sz="4" w:space="0" w:color="auto"/>
              <w:right w:val="single" w:sz="8" w:space="0" w:color="000000"/>
            </w:tcBorders>
            <w:tcMar>
              <w:top w:w="0" w:type="dxa"/>
              <w:left w:w="0" w:type="dxa"/>
              <w:bottom w:w="0" w:type="dxa"/>
              <w:right w:w="0" w:type="dxa"/>
            </w:tcMar>
            <w:vAlign w:val="center"/>
          </w:tcPr>
          <w:p w14:paraId="12BEEB22" w14:textId="36DB4E36"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B74F67" w:rsidRPr="00B74F67">
              <w:rPr>
                <w:rFonts w:ascii="Arial" w:eastAsia="DejaVu Sans" w:hAnsi="Arial"/>
                <w:sz w:val="18"/>
                <w:szCs w:val="18"/>
              </w:rPr>
              <w:t>3-17</w:t>
            </w:r>
          </w:p>
        </w:tc>
      </w:tr>
      <w:tr w:rsidR="00B74F67" w:rsidRPr="00B74F67" w14:paraId="78BAB3AA" w14:textId="77777777" w:rsidTr="00B74F67">
        <w:trPr>
          <w:cantSplit/>
          <w:jc w:val="center"/>
        </w:trPr>
        <w:tc>
          <w:tcPr>
            <w:tcW w:w="0" w:type="auto"/>
            <w:vMerge w:val="restart"/>
            <w:tcBorders>
              <w:left w:val="single" w:sz="8" w:space="0" w:color="000000"/>
            </w:tcBorders>
            <w:tcMar>
              <w:top w:w="0" w:type="dxa"/>
              <w:left w:w="0" w:type="dxa"/>
              <w:bottom w:w="0" w:type="dxa"/>
              <w:right w:w="0" w:type="dxa"/>
            </w:tcMar>
          </w:tcPr>
          <w:p w14:paraId="168F48A7"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11E2FBC6"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23b</w:t>
            </w:r>
          </w:p>
        </w:tc>
        <w:tc>
          <w:tcPr>
            <w:tcW w:w="0" w:type="auto"/>
            <w:tcMar>
              <w:top w:w="0" w:type="dxa"/>
              <w:left w:w="0" w:type="dxa"/>
              <w:bottom w:w="0" w:type="dxa"/>
              <w:right w:w="0" w:type="dxa"/>
            </w:tcMar>
          </w:tcPr>
          <w:p w14:paraId="4BE18AE2"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Discuss any limitations of the evidence included in the review.</w:t>
            </w:r>
          </w:p>
        </w:tc>
        <w:tc>
          <w:tcPr>
            <w:tcW w:w="0" w:type="auto"/>
            <w:tcBorders>
              <w:right w:val="single" w:sz="8" w:space="0" w:color="000000"/>
            </w:tcBorders>
            <w:tcMar>
              <w:top w:w="0" w:type="dxa"/>
              <w:left w:w="0" w:type="dxa"/>
              <w:bottom w:w="0" w:type="dxa"/>
              <w:right w:w="0" w:type="dxa"/>
            </w:tcMar>
            <w:vAlign w:val="center"/>
          </w:tcPr>
          <w:p w14:paraId="2699E389" w14:textId="6DB7C335"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B74F67" w:rsidRPr="00B74F67">
              <w:rPr>
                <w:rFonts w:ascii="Arial" w:eastAsia="DejaVu Sans" w:hAnsi="Arial"/>
                <w:sz w:val="18"/>
                <w:szCs w:val="18"/>
              </w:rPr>
              <w:t>6</w:t>
            </w:r>
          </w:p>
        </w:tc>
      </w:tr>
      <w:tr w:rsidR="00B74F67" w:rsidRPr="00B74F67" w14:paraId="45CE84C1"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2D8B8A1A"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5D3DDF56"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23c</w:t>
            </w:r>
          </w:p>
        </w:tc>
        <w:tc>
          <w:tcPr>
            <w:tcW w:w="0" w:type="auto"/>
            <w:tcMar>
              <w:top w:w="0" w:type="dxa"/>
              <w:left w:w="0" w:type="dxa"/>
              <w:bottom w:w="0" w:type="dxa"/>
              <w:right w:w="0" w:type="dxa"/>
            </w:tcMar>
          </w:tcPr>
          <w:p w14:paraId="29ADC28E"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Discuss any limitations of the review processes used.</w:t>
            </w:r>
          </w:p>
        </w:tc>
        <w:tc>
          <w:tcPr>
            <w:tcW w:w="0" w:type="auto"/>
            <w:tcBorders>
              <w:right w:val="single" w:sz="8" w:space="0" w:color="000000"/>
            </w:tcBorders>
            <w:tcMar>
              <w:top w:w="0" w:type="dxa"/>
              <w:left w:w="0" w:type="dxa"/>
              <w:bottom w:w="0" w:type="dxa"/>
              <w:right w:w="0" w:type="dxa"/>
            </w:tcMar>
            <w:vAlign w:val="center"/>
          </w:tcPr>
          <w:p w14:paraId="0A0D9309" w14:textId="6AD23E20"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16</w:t>
            </w:r>
          </w:p>
        </w:tc>
      </w:tr>
      <w:tr w:rsidR="00B74F67" w:rsidRPr="00B74F67" w14:paraId="77FF9475" w14:textId="77777777" w:rsidTr="0054554B">
        <w:trPr>
          <w:cantSplit/>
          <w:jc w:val="center"/>
        </w:trPr>
        <w:tc>
          <w:tcPr>
            <w:tcW w:w="0" w:type="auto"/>
            <w:vMerge/>
            <w:tcBorders>
              <w:left w:val="single" w:sz="8" w:space="0" w:color="000000"/>
              <w:bottom w:val="single" w:sz="12" w:space="0" w:color="auto"/>
            </w:tcBorders>
            <w:tcMar>
              <w:top w:w="0" w:type="dxa"/>
              <w:left w:w="0" w:type="dxa"/>
              <w:bottom w:w="0" w:type="dxa"/>
              <w:right w:w="0" w:type="dxa"/>
            </w:tcMar>
          </w:tcPr>
          <w:p w14:paraId="1EC7BAB4" w14:textId="77777777" w:rsidR="00F55F4C" w:rsidRPr="00B74F67" w:rsidRDefault="00F55F4C" w:rsidP="009175EA">
            <w:pPr>
              <w:spacing w:before="100" w:after="100"/>
              <w:ind w:left="100" w:right="100"/>
              <w:rPr>
                <w:rFonts w:ascii="Arial" w:hAnsi="Arial"/>
              </w:rPr>
            </w:pPr>
          </w:p>
        </w:tc>
        <w:tc>
          <w:tcPr>
            <w:tcW w:w="0" w:type="auto"/>
            <w:tcBorders>
              <w:bottom w:val="single" w:sz="12" w:space="0" w:color="auto"/>
            </w:tcBorders>
            <w:tcMar>
              <w:top w:w="0" w:type="dxa"/>
              <w:left w:w="0" w:type="dxa"/>
              <w:bottom w:w="0" w:type="dxa"/>
              <w:right w:w="0" w:type="dxa"/>
            </w:tcMar>
            <w:vAlign w:val="center"/>
          </w:tcPr>
          <w:p w14:paraId="6F525604"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23d</w:t>
            </w:r>
          </w:p>
        </w:tc>
        <w:tc>
          <w:tcPr>
            <w:tcW w:w="0" w:type="auto"/>
            <w:tcBorders>
              <w:bottom w:val="single" w:sz="12" w:space="0" w:color="auto"/>
            </w:tcBorders>
            <w:tcMar>
              <w:top w:w="0" w:type="dxa"/>
              <w:left w:w="0" w:type="dxa"/>
              <w:bottom w:w="0" w:type="dxa"/>
              <w:right w:w="0" w:type="dxa"/>
            </w:tcMar>
          </w:tcPr>
          <w:p w14:paraId="44BAD45C"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Discuss implications of the results for practice, policy, and future research.</w:t>
            </w:r>
          </w:p>
        </w:tc>
        <w:tc>
          <w:tcPr>
            <w:tcW w:w="0" w:type="auto"/>
            <w:tcBorders>
              <w:bottom w:val="single" w:sz="12" w:space="0" w:color="auto"/>
              <w:right w:val="single" w:sz="8" w:space="0" w:color="000000"/>
            </w:tcBorders>
            <w:tcMar>
              <w:top w:w="0" w:type="dxa"/>
              <w:left w:w="0" w:type="dxa"/>
              <w:bottom w:w="0" w:type="dxa"/>
              <w:right w:w="0" w:type="dxa"/>
            </w:tcMar>
            <w:vAlign w:val="center"/>
          </w:tcPr>
          <w:p w14:paraId="4E719F78" w14:textId="11C4D665"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16-17</w:t>
            </w:r>
          </w:p>
        </w:tc>
      </w:tr>
      <w:tr w:rsidR="00B74F67" w:rsidRPr="00B74F67" w14:paraId="79800DED" w14:textId="77777777" w:rsidTr="0054554B">
        <w:trPr>
          <w:cantSplit/>
          <w:jc w:val="center"/>
        </w:trPr>
        <w:tc>
          <w:tcPr>
            <w:tcW w:w="0" w:type="auto"/>
            <w:tcBorders>
              <w:top w:val="single" w:sz="12" w:space="0" w:color="auto"/>
              <w:left w:val="single" w:sz="8" w:space="0" w:color="000000"/>
              <w:bottom w:val="single" w:sz="4" w:space="0" w:color="auto"/>
            </w:tcBorders>
            <w:tcMar>
              <w:top w:w="0" w:type="dxa"/>
              <w:left w:w="0" w:type="dxa"/>
              <w:bottom w:w="0" w:type="dxa"/>
              <w:right w:w="0" w:type="dxa"/>
            </w:tcMar>
          </w:tcPr>
          <w:p w14:paraId="22EF52DA"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OTHER INFORMATION</w:t>
            </w:r>
          </w:p>
        </w:tc>
        <w:tc>
          <w:tcPr>
            <w:tcW w:w="0" w:type="auto"/>
            <w:tcBorders>
              <w:top w:val="single" w:sz="12" w:space="0" w:color="auto"/>
              <w:bottom w:val="single" w:sz="4" w:space="0" w:color="auto"/>
            </w:tcBorders>
            <w:tcMar>
              <w:top w:w="0" w:type="dxa"/>
              <w:left w:w="0" w:type="dxa"/>
              <w:bottom w:w="0" w:type="dxa"/>
              <w:right w:w="0" w:type="dxa"/>
            </w:tcMar>
            <w:vAlign w:val="center"/>
          </w:tcPr>
          <w:p w14:paraId="524A42E5" w14:textId="77777777" w:rsidR="00F55F4C" w:rsidRPr="00B74F67" w:rsidRDefault="00F55F4C" w:rsidP="00B74F67">
            <w:pPr>
              <w:spacing w:before="100" w:after="100"/>
              <w:ind w:left="100" w:right="100"/>
              <w:jc w:val="center"/>
              <w:rPr>
                <w:rFonts w:ascii="Arial" w:hAnsi="Arial"/>
                <w:sz w:val="18"/>
                <w:szCs w:val="18"/>
              </w:rPr>
            </w:pPr>
          </w:p>
        </w:tc>
        <w:tc>
          <w:tcPr>
            <w:tcW w:w="0" w:type="auto"/>
            <w:tcBorders>
              <w:top w:val="single" w:sz="12" w:space="0" w:color="auto"/>
              <w:bottom w:val="single" w:sz="4" w:space="0" w:color="auto"/>
            </w:tcBorders>
            <w:tcMar>
              <w:top w:w="0" w:type="dxa"/>
              <w:left w:w="0" w:type="dxa"/>
              <w:bottom w:w="0" w:type="dxa"/>
              <w:right w:w="0" w:type="dxa"/>
            </w:tcMar>
          </w:tcPr>
          <w:p w14:paraId="05F532E5" w14:textId="77777777" w:rsidR="00F55F4C" w:rsidRPr="00B74F67" w:rsidRDefault="00F55F4C" w:rsidP="009175EA">
            <w:pPr>
              <w:spacing w:before="100" w:after="100"/>
              <w:ind w:left="100" w:right="100"/>
              <w:rPr>
                <w:rFonts w:ascii="Arial" w:hAnsi="Arial"/>
              </w:rPr>
            </w:pPr>
          </w:p>
        </w:tc>
        <w:tc>
          <w:tcPr>
            <w:tcW w:w="0" w:type="auto"/>
            <w:tcBorders>
              <w:top w:val="single" w:sz="12" w:space="0" w:color="auto"/>
              <w:bottom w:val="single" w:sz="4" w:space="0" w:color="auto"/>
              <w:right w:val="single" w:sz="8" w:space="0" w:color="000000"/>
            </w:tcBorders>
            <w:tcMar>
              <w:top w:w="0" w:type="dxa"/>
              <w:left w:w="0" w:type="dxa"/>
              <w:bottom w:w="0" w:type="dxa"/>
              <w:right w:w="0" w:type="dxa"/>
            </w:tcMar>
            <w:vAlign w:val="center"/>
          </w:tcPr>
          <w:p w14:paraId="2AAE3DA8" w14:textId="77777777" w:rsidR="00F55F4C" w:rsidRPr="00B74F67" w:rsidRDefault="00F55F4C" w:rsidP="00B74F67">
            <w:pPr>
              <w:spacing w:before="100" w:after="100"/>
              <w:ind w:left="100" w:right="100"/>
              <w:jc w:val="center"/>
              <w:rPr>
                <w:rFonts w:ascii="Arial" w:hAnsi="Arial"/>
                <w:sz w:val="18"/>
                <w:szCs w:val="18"/>
              </w:rPr>
            </w:pPr>
          </w:p>
        </w:tc>
      </w:tr>
      <w:tr w:rsidR="00B74F67" w:rsidRPr="00B74F67" w14:paraId="0B19F61E" w14:textId="77777777" w:rsidTr="0054554B">
        <w:trPr>
          <w:cantSplit/>
          <w:jc w:val="center"/>
        </w:trPr>
        <w:tc>
          <w:tcPr>
            <w:tcW w:w="0" w:type="auto"/>
            <w:tcBorders>
              <w:top w:val="single" w:sz="4" w:space="0" w:color="auto"/>
              <w:left w:val="single" w:sz="8" w:space="0" w:color="000000"/>
            </w:tcBorders>
            <w:tcMar>
              <w:top w:w="0" w:type="dxa"/>
              <w:left w:w="0" w:type="dxa"/>
              <w:bottom w:w="0" w:type="dxa"/>
              <w:right w:w="0" w:type="dxa"/>
            </w:tcMar>
          </w:tcPr>
          <w:p w14:paraId="40A32A45"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Registration and protocol</w:t>
            </w:r>
          </w:p>
        </w:tc>
        <w:tc>
          <w:tcPr>
            <w:tcW w:w="0" w:type="auto"/>
            <w:tcBorders>
              <w:top w:val="single" w:sz="4" w:space="0" w:color="auto"/>
            </w:tcBorders>
            <w:tcMar>
              <w:top w:w="0" w:type="dxa"/>
              <w:left w:w="0" w:type="dxa"/>
              <w:bottom w:w="0" w:type="dxa"/>
              <w:right w:w="0" w:type="dxa"/>
            </w:tcMar>
            <w:vAlign w:val="center"/>
          </w:tcPr>
          <w:p w14:paraId="4E996591"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24a</w:t>
            </w:r>
          </w:p>
        </w:tc>
        <w:tc>
          <w:tcPr>
            <w:tcW w:w="0" w:type="auto"/>
            <w:tcBorders>
              <w:top w:val="single" w:sz="4" w:space="0" w:color="auto"/>
            </w:tcBorders>
            <w:tcMar>
              <w:top w:w="0" w:type="dxa"/>
              <w:left w:w="0" w:type="dxa"/>
              <w:bottom w:w="0" w:type="dxa"/>
              <w:right w:w="0" w:type="dxa"/>
            </w:tcMar>
          </w:tcPr>
          <w:p w14:paraId="6DDA56F8"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Provide registration information for the review, including register name and registration number, or state that the review was not registered. </w:t>
            </w:r>
          </w:p>
        </w:tc>
        <w:tc>
          <w:tcPr>
            <w:tcW w:w="0" w:type="auto"/>
            <w:tcBorders>
              <w:top w:val="single" w:sz="4" w:space="0" w:color="auto"/>
              <w:right w:val="single" w:sz="8" w:space="0" w:color="000000"/>
            </w:tcBorders>
            <w:tcMar>
              <w:top w:w="0" w:type="dxa"/>
              <w:left w:w="0" w:type="dxa"/>
              <w:bottom w:w="0" w:type="dxa"/>
              <w:right w:w="0" w:type="dxa"/>
            </w:tcMar>
            <w:vAlign w:val="center"/>
          </w:tcPr>
          <w:p w14:paraId="6C476C7D" w14:textId="4FCF0EA2"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11</w:t>
            </w:r>
          </w:p>
        </w:tc>
      </w:tr>
      <w:tr w:rsidR="00B74F67" w:rsidRPr="00B74F67" w14:paraId="1B23EE87" w14:textId="77777777" w:rsidTr="00B74F67">
        <w:trPr>
          <w:cantSplit/>
          <w:jc w:val="center"/>
        </w:trPr>
        <w:tc>
          <w:tcPr>
            <w:tcW w:w="0" w:type="auto"/>
            <w:vMerge w:val="restart"/>
            <w:tcBorders>
              <w:left w:val="single" w:sz="8" w:space="0" w:color="000000"/>
            </w:tcBorders>
            <w:tcMar>
              <w:top w:w="0" w:type="dxa"/>
              <w:left w:w="0" w:type="dxa"/>
              <w:bottom w:w="0" w:type="dxa"/>
              <w:right w:w="0" w:type="dxa"/>
            </w:tcMar>
          </w:tcPr>
          <w:p w14:paraId="7E03965D"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6AAC7A33"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24b</w:t>
            </w:r>
          </w:p>
        </w:tc>
        <w:tc>
          <w:tcPr>
            <w:tcW w:w="0" w:type="auto"/>
            <w:tcMar>
              <w:top w:w="0" w:type="dxa"/>
              <w:left w:w="0" w:type="dxa"/>
              <w:bottom w:w="0" w:type="dxa"/>
              <w:right w:w="0" w:type="dxa"/>
            </w:tcMar>
          </w:tcPr>
          <w:p w14:paraId="75D8DFA6"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Indicate where the review protocol can be accessed, or state that a protocol was not prepared.</w:t>
            </w:r>
          </w:p>
        </w:tc>
        <w:tc>
          <w:tcPr>
            <w:tcW w:w="0" w:type="auto"/>
            <w:tcBorders>
              <w:right w:val="single" w:sz="8" w:space="0" w:color="000000"/>
            </w:tcBorders>
            <w:tcMar>
              <w:top w:w="0" w:type="dxa"/>
              <w:left w:w="0" w:type="dxa"/>
              <w:bottom w:w="0" w:type="dxa"/>
              <w:right w:w="0" w:type="dxa"/>
            </w:tcMar>
            <w:vAlign w:val="center"/>
          </w:tcPr>
          <w:p w14:paraId="1C08DD71" w14:textId="708A7EB0"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11</w:t>
            </w:r>
          </w:p>
        </w:tc>
      </w:tr>
      <w:tr w:rsidR="00B74F67" w:rsidRPr="00B74F67" w14:paraId="0B50993F" w14:textId="77777777" w:rsidTr="00B74F67">
        <w:trPr>
          <w:cantSplit/>
          <w:jc w:val="center"/>
        </w:trPr>
        <w:tc>
          <w:tcPr>
            <w:tcW w:w="0" w:type="auto"/>
            <w:vMerge/>
            <w:tcBorders>
              <w:left w:val="single" w:sz="8" w:space="0" w:color="000000"/>
            </w:tcBorders>
            <w:tcMar>
              <w:top w:w="0" w:type="dxa"/>
              <w:left w:w="0" w:type="dxa"/>
              <w:bottom w:w="0" w:type="dxa"/>
              <w:right w:w="0" w:type="dxa"/>
            </w:tcMar>
          </w:tcPr>
          <w:p w14:paraId="4C82668B" w14:textId="77777777" w:rsidR="00F55F4C" w:rsidRPr="00B74F67" w:rsidRDefault="00F55F4C" w:rsidP="009175EA">
            <w:pPr>
              <w:spacing w:before="100" w:after="100"/>
              <w:ind w:left="100" w:right="100"/>
              <w:rPr>
                <w:rFonts w:ascii="Arial" w:hAnsi="Arial"/>
              </w:rPr>
            </w:pPr>
          </w:p>
        </w:tc>
        <w:tc>
          <w:tcPr>
            <w:tcW w:w="0" w:type="auto"/>
            <w:tcMar>
              <w:top w:w="0" w:type="dxa"/>
              <w:left w:w="0" w:type="dxa"/>
              <w:bottom w:w="0" w:type="dxa"/>
              <w:right w:w="0" w:type="dxa"/>
            </w:tcMar>
            <w:vAlign w:val="center"/>
          </w:tcPr>
          <w:p w14:paraId="41A4B07F"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24c</w:t>
            </w:r>
          </w:p>
        </w:tc>
        <w:tc>
          <w:tcPr>
            <w:tcW w:w="0" w:type="auto"/>
            <w:tcMar>
              <w:top w:w="0" w:type="dxa"/>
              <w:left w:w="0" w:type="dxa"/>
              <w:bottom w:w="0" w:type="dxa"/>
              <w:right w:w="0" w:type="dxa"/>
            </w:tcMar>
          </w:tcPr>
          <w:p w14:paraId="6613D558"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and explain any amendments to information provided at registration or in the protocol.</w:t>
            </w:r>
          </w:p>
        </w:tc>
        <w:tc>
          <w:tcPr>
            <w:tcW w:w="0" w:type="auto"/>
            <w:tcBorders>
              <w:right w:val="single" w:sz="8" w:space="0" w:color="000000"/>
            </w:tcBorders>
            <w:tcMar>
              <w:top w:w="0" w:type="dxa"/>
              <w:left w:w="0" w:type="dxa"/>
              <w:bottom w:w="0" w:type="dxa"/>
              <w:right w:w="0" w:type="dxa"/>
            </w:tcMar>
            <w:vAlign w:val="center"/>
          </w:tcPr>
          <w:p w14:paraId="21EC8FAD" w14:textId="77777777" w:rsidR="00F55F4C" w:rsidRPr="00B74F67" w:rsidRDefault="00F55F4C" w:rsidP="00B74F67">
            <w:pPr>
              <w:spacing w:before="100" w:after="100"/>
              <w:ind w:left="100" w:right="100"/>
              <w:jc w:val="center"/>
              <w:rPr>
                <w:rFonts w:ascii="Arial" w:hAnsi="Arial"/>
                <w:sz w:val="18"/>
                <w:szCs w:val="18"/>
              </w:rPr>
            </w:pPr>
            <w:proofErr w:type="spellStart"/>
            <w:r w:rsidRPr="00B74F67">
              <w:rPr>
                <w:rFonts w:ascii="Arial" w:eastAsia="DejaVu Sans" w:hAnsi="Arial"/>
                <w:sz w:val="18"/>
                <w:szCs w:val="18"/>
              </w:rPr>
              <w:t>na</w:t>
            </w:r>
            <w:proofErr w:type="spellEnd"/>
          </w:p>
        </w:tc>
      </w:tr>
      <w:tr w:rsidR="00B74F67" w:rsidRPr="00B74F67" w14:paraId="101DF275" w14:textId="77777777" w:rsidTr="00B74F67">
        <w:trPr>
          <w:cantSplit/>
          <w:jc w:val="center"/>
        </w:trPr>
        <w:tc>
          <w:tcPr>
            <w:tcW w:w="0" w:type="auto"/>
            <w:tcBorders>
              <w:left w:val="single" w:sz="8" w:space="0" w:color="000000"/>
            </w:tcBorders>
            <w:tcMar>
              <w:top w:w="0" w:type="dxa"/>
              <w:left w:w="0" w:type="dxa"/>
              <w:bottom w:w="0" w:type="dxa"/>
              <w:right w:w="0" w:type="dxa"/>
            </w:tcMar>
          </w:tcPr>
          <w:p w14:paraId="2E13BE9C"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Support</w:t>
            </w:r>
          </w:p>
        </w:tc>
        <w:tc>
          <w:tcPr>
            <w:tcW w:w="0" w:type="auto"/>
            <w:tcMar>
              <w:top w:w="0" w:type="dxa"/>
              <w:left w:w="0" w:type="dxa"/>
              <w:bottom w:w="0" w:type="dxa"/>
              <w:right w:w="0" w:type="dxa"/>
            </w:tcMar>
            <w:vAlign w:val="center"/>
          </w:tcPr>
          <w:p w14:paraId="46842D67"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25</w:t>
            </w:r>
          </w:p>
        </w:tc>
        <w:tc>
          <w:tcPr>
            <w:tcW w:w="0" w:type="auto"/>
            <w:tcMar>
              <w:top w:w="0" w:type="dxa"/>
              <w:left w:w="0" w:type="dxa"/>
              <w:bottom w:w="0" w:type="dxa"/>
              <w:right w:w="0" w:type="dxa"/>
            </w:tcMar>
          </w:tcPr>
          <w:p w14:paraId="57CEB43D"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Describe sources of financial or non-financial support for the review, and the role of the funders or sponsors in the review.</w:t>
            </w:r>
          </w:p>
        </w:tc>
        <w:tc>
          <w:tcPr>
            <w:tcW w:w="0" w:type="auto"/>
            <w:tcBorders>
              <w:right w:val="single" w:sz="8" w:space="0" w:color="000000"/>
            </w:tcBorders>
            <w:tcMar>
              <w:top w:w="0" w:type="dxa"/>
              <w:left w:w="0" w:type="dxa"/>
              <w:bottom w:w="0" w:type="dxa"/>
              <w:right w:w="0" w:type="dxa"/>
            </w:tcMar>
            <w:vAlign w:val="center"/>
          </w:tcPr>
          <w:p w14:paraId="2FE5709D" w14:textId="628B572B"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1</w:t>
            </w:r>
            <w:r w:rsidR="00B74F67" w:rsidRPr="00B74F67">
              <w:rPr>
                <w:rFonts w:ascii="Arial" w:eastAsia="DejaVu Sans" w:hAnsi="Arial"/>
                <w:sz w:val="18"/>
                <w:szCs w:val="18"/>
              </w:rPr>
              <w:t>9</w:t>
            </w:r>
          </w:p>
        </w:tc>
      </w:tr>
      <w:tr w:rsidR="00B74F67" w:rsidRPr="00B74F67" w14:paraId="63A7F85D" w14:textId="77777777" w:rsidTr="00B74F67">
        <w:trPr>
          <w:cantSplit/>
          <w:jc w:val="center"/>
        </w:trPr>
        <w:tc>
          <w:tcPr>
            <w:tcW w:w="0" w:type="auto"/>
            <w:tcBorders>
              <w:left w:val="single" w:sz="8" w:space="0" w:color="000000"/>
            </w:tcBorders>
            <w:tcMar>
              <w:top w:w="0" w:type="dxa"/>
              <w:left w:w="0" w:type="dxa"/>
              <w:bottom w:w="0" w:type="dxa"/>
              <w:right w:w="0" w:type="dxa"/>
            </w:tcMar>
          </w:tcPr>
          <w:p w14:paraId="67EB278D"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Competing interests</w:t>
            </w:r>
          </w:p>
        </w:tc>
        <w:tc>
          <w:tcPr>
            <w:tcW w:w="0" w:type="auto"/>
            <w:tcMar>
              <w:top w:w="0" w:type="dxa"/>
              <w:left w:w="0" w:type="dxa"/>
              <w:bottom w:w="0" w:type="dxa"/>
              <w:right w:w="0" w:type="dxa"/>
            </w:tcMar>
            <w:vAlign w:val="center"/>
          </w:tcPr>
          <w:p w14:paraId="43593D24"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26</w:t>
            </w:r>
          </w:p>
        </w:tc>
        <w:tc>
          <w:tcPr>
            <w:tcW w:w="0" w:type="auto"/>
            <w:tcMar>
              <w:top w:w="0" w:type="dxa"/>
              <w:left w:w="0" w:type="dxa"/>
              <w:bottom w:w="0" w:type="dxa"/>
              <w:right w:w="0" w:type="dxa"/>
            </w:tcMar>
          </w:tcPr>
          <w:p w14:paraId="518B5DA7"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Declare any competing interests of review authors.</w:t>
            </w:r>
          </w:p>
        </w:tc>
        <w:tc>
          <w:tcPr>
            <w:tcW w:w="0" w:type="auto"/>
            <w:tcBorders>
              <w:right w:val="single" w:sz="8" w:space="0" w:color="000000"/>
            </w:tcBorders>
            <w:tcMar>
              <w:top w:w="0" w:type="dxa"/>
              <w:left w:w="0" w:type="dxa"/>
              <w:bottom w:w="0" w:type="dxa"/>
              <w:right w:w="0" w:type="dxa"/>
            </w:tcMar>
            <w:vAlign w:val="center"/>
          </w:tcPr>
          <w:p w14:paraId="6A94A5C2" w14:textId="7BE21E78" w:rsidR="00F55F4C" w:rsidRPr="00B74F67" w:rsidRDefault="00B74F67" w:rsidP="00B74F67">
            <w:pPr>
              <w:spacing w:before="100" w:after="100"/>
              <w:ind w:left="100" w:right="100"/>
              <w:jc w:val="center"/>
              <w:rPr>
                <w:rFonts w:ascii="Arial" w:hAnsi="Arial"/>
                <w:sz w:val="18"/>
                <w:szCs w:val="18"/>
              </w:rPr>
            </w:pPr>
            <w:r w:rsidRPr="00B74F67">
              <w:rPr>
                <w:rFonts w:ascii="Arial" w:hAnsi="Arial"/>
                <w:sz w:val="18"/>
                <w:szCs w:val="18"/>
              </w:rPr>
              <w:t>19</w:t>
            </w:r>
          </w:p>
        </w:tc>
      </w:tr>
      <w:tr w:rsidR="00B74F67" w:rsidRPr="00B74F67" w14:paraId="7C8DAE37" w14:textId="77777777" w:rsidTr="0054554B">
        <w:trPr>
          <w:cantSplit/>
          <w:jc w:val="center"/>
        </w:trPr>
        <w:tc>
          <w:tcPr>
            <w:tcW w:w="0" w:type="auto"/>
            <w:tcBorders>
              <w:left w:val="single" w:sz="8" w:space="0" w:color="000000"/>
              <w:bottom w:val="single" w:sz="12" w:space="0" w:color="auto"/>
            </w:tcBorders>
            <w:tcMar>
              <w:top w:w="0" w:type="dxa"/>
              <w:left w:w="0" w:type="dxa"/>
              <w:bottom w:w="0" w:type="dxa"/>
              <w:right w:w="0" w:type="dxa"/>
            </w:tcMar>
          </w:tcPr>
          <w:p w14:paraId="3DEFEF69" w14:textId="77777777" w:rsidR="00F55F4C" w:rsidRPr="00B74F67" w:rsidRDefault="00F55F4C" w:rsidP="009175EA">
            <w:pPr>
              <w:spacing w:before="100" w:after="100"/>
              <w:ind w:left="100" w:right="100"/>
              <w:rPr>
                <w:rFonts w:ascii="Arial" w:hAnsi="Arial"/>
              </w:rPr>
            </w:pPr>
            <w:r w:rsidRPr="00B74F67">
              <w:rPr>
                <w:rFonts w:ascii="Arial" w:eastAsia="DejaVu Sans" w:hAnsi="Arial"/>
                <w:b/>
                <w:sz w:val="18"/>
                <w:szCs w:val="18"/>
              </w:rPr>
              <w:t>Availability of data, code and other materials</w:t>
            </w:r>
          </w:p>
        </w:tc>
        <w:tc>
          <w:tcPr>
            <w:tcW w:w="0" w:type="auto"/>
            <w:tcBorders>
              <w:bottom w:val="single" w:sz="12" w:space="0" w:color="auto"/>
            </w:tcBorders>
            <w:tcMar>
              <w:top w:w="0" w:type="dxa"/>
              <w:left w:w="0" w:type="dxa"/>
              <w:bottom w:w="0" w:type="dxa"/>
              <w:right w:w="0" w:type="dxa"/>
            </w:tcMar>
            <w:vAlign w:val="center"/>
          </w:tcPr>
          <w:p w14:paraId="38C07100" w14:textId="77777777" w:rsidR="00F55F4C" w:rsidRPr="00B74F67" w:rsidRDefault="00F55F4C" w:rsidP="00B74F67">
            <w:pPr>
              <w:spacing w:before="100" w:after="100"/>
              <w:ind w:left="100" w:right="100"/>
              <w:jc w:val="center"/>
              <w:rPr>
                <w:rFonts w:ascii="Arial" w:hAnsi="Arial"/>
                <w:sz w:val="18"/>
                <w:szCs w:val="18"/>
              </w:rPr>
            </w:pPr>
            <w:r w:rsidRPr="00B74F67">
              <w:rPr>
                <w:rFonts w:ascii="Arial" w:eastAsia="DejaVu Sans" w:hAnsi="Arial"/>
                <w:sz w:val="18"/>
                <w:szCs w:val="18"/>
              </w:rPr>
              <w:t>27</w:t>
            </w:r>
          </w:p>
        </w:tc>
        <w:tc>
          <w:tcPr>
            <w:tcW w:w="0" w:type="auto"/>
            <w:tcBorders>
              <w:bottom w:val="single" w:sz="12" w:space="0" w:color="auto"/>
            </w:tcBorders>
            <w:tcMar>
              <w:top w:w="0" w:type="dxa"/>
              <w:left w:w="0" w:type="dxa"/>
              <w:bottom w:w="0" w:type="dxa"/>
              <w:right w:w="0" w:type="dxa"/>
            </w:tcMar>
          </w:tcPr>
          <w:p w14:paraId="49BBEF61" w14:textId="77777777" w:rsidR="00F55F4C" w:rsidRPr="00B74F67" w:rsidRDefault="00F55F4C" w:rsidP="009175EA">
            <w:pPr>
              <w:spacing w:before="100" w:after="100"/>
              <w:ind w:left="100" w:right="100"/>
              <w:rPr>
                <w:rFonts w:ascii="Arial" w:hAnsi="Arial"/>
              </w:rPr>
            </w:pPr>
            <w:r w:rsidRPr="00B74F67">
              <w:rPr>
                <w:rFonts w:ascii="Arial" w:eastAsia="DejaVu Sans" w:hAnsi="Arial"/>
                <w:sz w:val="18"/>
                <w:szCs w:val="18"/>
              </w:rPr>
              <w:t xml:space="preserve">Report which of the following are publicly available and where they can be </w:t>
            </w:r>
            <w:proofErr w:type="gramStart"/>
            <w:r w:rsidRPr="00B74F67">
              <w:rPr>
                <w:rFonts w:ascii="Arial" w:eastAsia="DejaVu Sans" w:hAnsi="Arial"/>
                <w:sz w:val="18"/>
                <w:szCs w:val="18"/>
              </w:rPr>
              <w:t>found:</w:t>
            </w:r>
            <w:proofErr w:type="gramEnd"/>
            <w:r w:rsidRPr="00B74F67">
              <w:rPr>
                <w:rFonts w:ascii="Arial" w:eastAsia="DejaVu Sans" w:hAnsi="Arial"/>
                <w:sz w:val="18"/>
                <w:szCs w:val="18"/>
              </w:rPr>
              <w:t xml:space="preserve"> template data collection forms; data extracted from included studies; data used for all analyses; analytic code; any other materials used in the review.</w:t>
            </w:r>
          </w:p>
        </w:tc>
        <w:tc>
          <w:tcPr>
            <w:tcW w:w="0" w:type="auto"/>
            <w:tcBorders>
              <w:bottom w:val="single" w:sz="12" w:space="0" w:color="auto"/>
              <w:right w:val="single" w:sz="8" w:space="0" w:color="000000"/>
            </w:tcBorders>
            <w:tcMar>
              <w:top w:w="0" w:type="dxa"/>
              <w:left w:w="0" w:type="dxa"/>
              <w:bottom w:w="0" w:type="dxa"/>
              <w:right w:w="0" w:type="dxa"/>
            </w:tcMar>
            <w:vAlign w:val="center"/>
          </w:tcPr>
          <w:p w14:paraId="49DB4909" w14:textId="2C57CC6A" w:rsidR="00F55F4C" w:rsidRPr="00B74F67" w:rsidRDefault="00B74F67" w:rsidP="00B74F67">
            <w:pPr>
              <w:spacing w:before="100" w:after="100"/>
              <w:ind w:left="100" w:right="100"/>
              <w:jc w:val="center"/>
              <w:rPr>
                <w:rFonts w:ascii="Arial" w:hAnsi="Arial"/>
                <w:sz w:val="18"/>
                <w:szCs w:val="18"/>
              </w:rPr>
            </w:pPr>
            <w:r w:rsidRPr="00B74F67">
              <w:rPr>
                <w:rFonts w:ascii="Arial" w:eastAsia="DejaVu Sans" w:hAnsi="Arial"/>
                <w:sz w:val="18"/>
                <w:szCs w:val="18"/>
              </w:rPr>
              <w:t>2</w:t>
            </w:r>
            <w:r w:rsidR="00F55F4C" w:rsidRPr="00B74F67">
              <w:rPr>
                <w:rFonts w:ascii="Arial" w:eastAsia="DejaVu Sans" w:hAnsi="Arial"/>
                <w:sz w:val="18"/>
                <w:szCs w:val="18"/>
              </w:rPr>
              <w:t>0</w:t>
            </w:r>
          </w:p>
        </w:tc>
      </w:tr>
    </w:tbl>
    <w:p w14:paraId="27607F4F" w14:textId="5243424E" w:rsidR="00D50B3A" w:rsidRPr="004D3E32" w:rsidRDefault="008C5464" w:rsidP="008C5464">
      <w:pPr>
        <w:pStyle w:val="FirstParagraph"/>
        <w:spacing w:line="480" w:lineRule="auto"/>
        <w:rPr>
          <w:rFonts w:ascii="Arial" w:hAnsi="Arial" w:cs="Arial"/>
        </w:rPr>
      </w:pPr>
      <w:proofErr w:type="spellStart"/>
      <w:r w:rsidRPr="00B74F67">
        <w:rPr>
          <w:rFonts w:ascii="Arial" w:eastAsia="DejaVu Sans" w:hAnsi="Arial"/>
          <w:sz w:val="18"/>
          <w:szCs w:val="18"/>
        </w:rPr>
        <w:t>na</w:t>
      </w:r>
      <w:proofErr w:type="spellEnd"/>
      <w:r w:rsidRPr="00B74F67">
        <w:rPr>
          <w:rFonts w:ascii="Arial" w:eastAsia="DejaVu Sans" w:hAnsi="Arial"/>
          <w:sz w:val="18"/>
          <w:szCs w:val="18"/>
        </w:rPr>
        <w:t>: not applicable; S.: supplementary.</w:t>
      </w:r>
    </w:p>
    <w:p w14:paraId="59845219" w14:textId="188D5EBD" w:rsidR="00D50B3A" w:rsidRPr="004D3E32" w:rsidRDefault="00D50B3A">
      <w:pPr>
        <w:spacing w:after="160" w:line="278" w:lineRule="auto"/>
        <w:rPr>
          <w:rFonts w:ascii="Arial" w:hAnsi="Arial"/>
        </w:rPr>
      </w:pPr>
      <w:r w:rsidRPr="004D3E32">
        <w:rPr>
          <w:rFonts w:ascii="Arial" w:hAnsi="Arial"/>
        </w:rPr>
        <w:br w:type="page"/>
      </w:r>
    </w:p>
    <w:p w14:paraId="430BF487" w14:textId="5274E89F" w:rsidR="00EB3557" w:rsidRPr="00C250BE" w:rsidRDefault="00997D09" w:rsidP="001B42EB">
      <w:pPr>
        <w:spacing w:line="480" w:lineRule="auto"/>
        <w:jc w:val="both"/>
        <w:rPr>
          <w:rFonts w:ascii="Arial" w:hAnsi="Arial"/>
          <w:b/>
          <w:bCs/>
          <w:sz w:val="20"/>
          <w:szCs w:val="20"/>
        </w:rPr>
      </w:pPr>
      <w:r w:rsidRPr="00C250BE">
        <w:rPr>
          <w:rFonts w:ascii="Arial" w:hAnsi="Arial"/>
          <w:b/>
          <w:bCs/>
          <w:sz w:val="20"/>
          <w:szCs w:val="20"/>
        </w:rPr>
        <w:lastRenderedPageBreak/>
        <w:t xml:space="preserve">Supplementary </w:t>
      </w:r>
      <w:r w:rsidR="0040239B" w:rsidRPr="00C250BE">
        <w:rPr>
          <w:rFonts w:ascii="Arial" w:hAnsi="Arial"/>
          <w:b/>
          <w:bCs/>
          <w:sz w:val="20"/>
          <w:szCs w:val="20"/>
        </w:rPr>
        <w:t>Table S2</w:t>
      </w:r>
      <w:r w:rsidR="003C4310" w:rsidRPr="00C250BE">
        <w:rPr>
          <w:rFonts w:ascii="Arial" w:hAnsi="Arial"/>
          <w:b/>
          <w:bCs/>
          <w:sz w:val="20"/>
          <w:szCs w:val="20"/>
        </w:rPr>
        <w:t>:</w:t>
      </w:r>
      <w:r w:rsidR="0040239B" w:rsidRPr="00C250BE">
        <w:rPr>
          <w:rFonts w:ascii="Arial" w:hAnsi="Arial"/>
          <w:b/>
          <w:bCs/>
          <w:sz w:val="20"/>
          <w:szCs w:val="20"/>
        </w:rPr>
        <w:t xml:space="preserve"> </w:t>
      </w:r>
      <w:r w:rsidR="00044001" w:rsidRPr="00C250BE">
        <w:rPr>
          <w:rFonts w:ascii="Arial" w:hAnsi="Arial"/>
          <w:sz w:val="20"/>
          <w:szCs w:val="20"/>
        </w:rPr>
        <w:t xml:space="preserve">Univariable logistic regression analysis </w:t>
      </w:r>
      <w:r w:rsidR="00096284" w:rsidRPr="00C250BE">
        <w:rPr>
          <w:rFonts w:ascii="Arial" w:hAnsi="Arial"/>
          <w:sz w:val="20"/>
          <w:szCs w:val="20"/>
        </w:rPr>
        <w:t xml:space="preserve">for association </w:t>
      </w:r>
      <w:r w:rsidR="00044001" w:rsidRPr="00C250BE">
        <w:rPr>
          <w:rFonts w:ascii="Arial" w:hAnsi="Arial"/>
          <w:sz w:val="20"/>
          <w:szCs w:val="20"/>
        </w:rPr>
        <w:t>between</w:t>
      </w:r>
      <w:r w:rsidR="00096284" w:rsidRPr="00C250BE">
        <w:rPr>
          <w:rFonts w:ascii="Arial" w:hAnsi="Arial"/>
          <w:sz w:val="20"/>
          <w:szCs w:val="20"/>
        </w:rPr>
        <w:t xml:space="preserve"> baseline </w:t>
      </w:r>
      <w:r w:rsidR="00044001" w:rsidRPr="00C250BE">
        <w:rPr>
          <w:rFonts w:ascii="Arial" w:hAnsi="Arial"/>
          <w:sz w:val="20"/>
          <w:szCs w:val="20"/>
        </w:rPr>
        <w:t xml:space="preserve">characteristics (independent variables) and the likelihood </w:t>
      </w:r>
      <w:r w:rsidR="0061594A" w:rsidRPr="00C250BE">
        <w:rPr>
          <w:rFonts w:ascii="Arial" w:hAnsi="Arial"/>
          <w:sz w:val="20"/>
          <w:szCs w:val="20"/>
        </w:rPr>
        <w:t>of switching</w:t>
      </w:r>
      <w:r w:rsidR="00044001" w:rsidRPr="00C250BE">
        <w:rPr>
          <w:rFonts w:ascii="Arial" w:hAnsi="Arial"/>
          <w:sz w:val="20"/>
          <w:szCs w:val="20"/>
        </w:rPr>
        <w:t xml:space="preserve"> </w:t>
      </w:r>
      <w:r w:rsidR="00096284" w:rsidRPr="00C250BE">
        <w:rPr>
          <w:rFonts w:ascii="Arial" w:hAnsi="Arial"/>
          <w:sz w:val="20"/>
          <w:szCs w:val="20"/>
        </w:rPr>
        <w:t>back to IV-TCZ (dependent variable)</w:t>
      </w:r>
      <w:r w:rsidR="00044001" w:rsidRPr="00C250BE">
        <w:rPr>
          <w:rFonts w:ascii="Arial" w:hAnsi="Arial"/>
          <w:sz w:val="20"/>
          <w:szCs w:val="20"/>
        </w:rPr>
        <w:t>.</w:t>
      </w:r>
    </w:p>
    <w:tbl>
      <w:tblPr>
        <w:tblW w:w="4999" w:type="pct"/>
        <w:tblCellMar>
          <w:top w:w="15" w:type="dxa"/>
          <w:left w:w="15" w:type="dxa"/>
          <w:bottom w:w="15" w:type="dxa"/>
          <w:right w:w="15" w:type="dxa"/>
        </w:tblCellMar>
        <w:tblLook w:val="04A0" w:firstRow="1" w:lastRow="0" w:firstColumn="1" w:lastColumn="0" w:noHBand="0" w:noVBand="1"/>
      </w:tblPr>
      <w:tblGrid>
        <w:gridCol w:w="2393"/>
        <w:gridCol w:w="2003"/>
        <w:gridCol w:w="1132"/>
        <w:gridCol w:w="1085"/>
        <w:gridCol w:w="2411"/>
      </w:tblGrid>
      <w:tr w:rsidR="00096284" w:rsidRPr="004D3E32" w14:paraId="6D5D274C" w14:textId="77777777" w:rsidTr="00F06B29">
        <w:trPr>
          <w:trHeight w:val="397"/>
        </w:trPr>
        <w:tc>
          <w:tcPr>
            <w:tcW w:w="2436" w:type="pct"/>
            <w:gridSpan w:val="2"/>
            <w:tcBorders>
              <w:bottom w:val="single" w:sz="12" w:space="0" w:color="auto"/>
            </w:tcBorders>
            <w:tcMar>
              <w:top w:w="0" w:type="dxa"/>
              <w:left w:w="108" w:type="dxa"/>
              <w:bottom w:w="0" w:type="dxa"/>
              <w:right w:w="108" w:type="dxa"/>
            </w:tcMar>
            <w:vAlign w:val="center"/>
            <w:hideMark/>
          </w:tcPr>
          <w:p w14:paraId="7D9F70E0" w14:textId="0E8DC5AD" w:rsidR="00EB3557" w:rsidRPr="004D3E32" w:rsidRDefault="00096284" w:rsidP="00EB3557">
            <w:pPr>
              <w:ind w:left="34" w:right="-62"/>
              <w:rPr>
                <w:rFonts w:ascii="Arial" w:eastAsia="Times New Roman" w:hAnsi="Arial"/>
                <w:b/>
                <w:bCs/>
                <w:sz w:val="16"/>
                <w:szCs w:val="16"/>
                <w:lang w:eastAsia="it-IT"/>
              </w:rPr>
            </w:pPr>
            <w:r w:rsidRPr="004D3E32">
              <w:rPr>
                <w:rFonts w:ascii="Arial" w:eastAsia="Times New Roman" w:hAnsi="Arial"/>
                <w:b/>
                <w:bCs/>
                <w:sz w:val="18"/>
                <w:szCs w:val="18"/>
                <w:lang w:eastAsia="it-IT"/>
              </w:rPr>
              <w:t>Independent variable</w:t>
            </w:r>
          </w:p>
        </w:tc>
        <w:tc>
          <w:tcPr>
            <w:tcW w:w="627" w:type="pct"/>
            <w:tcBorders>
              <w:bottom w:val="single" w:sz="12" w:space="0" w:color="auto"/>
            </w:tcBorders>
            <w:tcMar>
              <w:top w:w="0" w:type="dxa"/>
              <w:left w:w="108" w:type="dxa"/>
              <w:bottom w:w="0" w:type="dxa"/>
              <w:right w:w="108" w:type="dxa"/>
            </w:tcMar>
            <w:vAlign w:val="center"/>
            <w:hideMark/>
          </w:tcPr>
          <w:p w14:paraId="68BA3F54"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b/>
                <w:bCs/>
                <w:color w:val="000000"/>
                <w:sz w:val="16"/>
                <w:szCs w:val="16"/>
                <w:lang w:eastAsia="it-IT"/>
              </w:rPr>
              <w:t>No</w:t>
            </w:r>
          </w:p>
        </w:tc>
        <w:tc>
          <w:tcPr>
            <w:tcW w:w="601" w:type="pct"/>
            <w:tcBorders>
              <w:bottom w:val="single" w:sz="12" w:space="0" w:color="auto"/>
            </w:tcBorders>
            <w:tcMar>
              <w:top w:w="0" w:type="dxa"/>
              <w:left w:w="108" w:type="dxa"/>
              <w:bottom w:w="0" w:type="dxa"/>
              <w:right w:w="108" w:type="dxa"/>
            </w:tcMar>
            <w:vAlign w:val="center"/>
            <w:hideMark/>
          </w:tcPr>
          <w:p w14:paraId="4C1C6064" w14:textId="3932FB25" w:rsidR="00EB3557" w:rsidRPr="004D3E32" w:rsidRDefault="00096284" w:rsidP="00EB3557">
            <w:pPr>
              <w:ind w:left="34" w:right="-62"/>
              <w:jc w:val="center"/>
              <w:rPr>
                <w:rFonts w:ascii="Arial" w:eastAsia="Times New Roman" w:hAnsi="Arial"/>
                <w:sz w:val="16"/>
                <w:szCs w:val="16"/>
                <w:lang w:eastAsia="it-IT"/>
              </w:rPr>
            </w:pPr>
            <w:r w:rsidRPr="004D3E32">
              <w:rPr>
                <w:rFonts w:ascii="Arial" w:eastAsia="Times New Roman" w:hAnsi="Arial"/>
                <w:b/>
                <w:bCs/>
                <w:color w:val="000000"/>
                <w:sz w:val="16"/>
                <w:szCs w:val="16"/>
                <w:lang w:eastAsia="it-IT"/>
              </w:rPr>
              <w:t>Yes</w:t>
            </w:r>
          </w:p>
        </w:tc>
        <w:tc>
          <w:tcPr>
            <w:tcW w:w="1336" w:type="pct"/>
            <w:tcBorders>
              <w:bottom w:val="single" w:sz="12" w:space="0" w:color="auto"/>
            </w:tcBorders>
            <w:tcMar>
              <w:top w:w="0" w:type="dxa"/>
              <w:left w:w="108" w:type="dxa"/>
              <w:bottom w:w="0" w:type="dxa"/>
              <w:right w:w="108" w:type="dxa"/>
            </w:tcMar>
            <w:vAlign w:val="center"/>
            <w:hideMark/>
          </w:tcPr>
          <w:p w14:paraId="77AAC53A"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b/>
                <w:bCs/>
                <w:color w:val="000000"/>
                <w:sz w:val="16"/>
                <w:szCs w:val="16"/>
                <w:lang w:eastAsia="it-IT"/>
              </w:rPr>
              <w:t>OR</w:t>
            </w:r>
          </w:p>
        </w:tc>
      </w:tr>
      <w:tr w:rsidR="00096284" w:rsidRPr="004D3E32" w14:paraId="0FFE43C1" w14:textId="77777777" w:rsidTr="00F06B29">
        <w:trPr>
          <w:trHeight w:val="397"/>
        </w:trPr>
        <w:tc>
          <w:tcPr>
            <w:tcW w:w="1326" w:type="pct"/>
            <w:tcBorders>
              <w:top w:val="single" w:sz="12" w:space="0" w:color="auto"/>
              <w:bottom w:val="single" w:sz="6" w:space="0" w:color="auto"/>
            </w:tcBorders>
            <w:tcMar>
              <w:top w:w="0" w:type="dxa"/>
              <w:left w:w="108" w:type="dxa"/>
              <w:bottom w:w="0" w:type="dxa"/>
              <w:right w:w="108" w:type="dxa"/>
            </w:tcMar>
            <w:vAlign w:val="center"/>
            <w:hideMark/>
          </w:tcPr>
          <w:p w14:paraId="29B977BC" w14:textId="7DFF1E5B"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Age</w:t>
            </w:r>
            <w:r w:rsidR="00EB3557" w:rsidRPr="004D3E32">
              <w:rPr>
                <w:rFonts w:ascii="Arial" w:eastAsia="Times New Roman" w:hAnsi="Arial"/>
                <w:color w:val="000000"/>
                <w:sz w:val="16"/>
                <w:szCs w:val="16"/>
                <w:lang w:eastAsia="it-IT"/>
              </w:rPr>
              <w:t> (</w:t>
            </w:r>
            <w:r w:rsidRPr="004D3E32">
              <w:rPr>
                <w:rFonts w:ascii="Arial" w:eastAsia="Times New Roman" w:hAnsi="Arial"/>
                <w:color w:val="000000"/>
                <w:sz w:val="16"/>
                <w:szCs w:val="16"/>
                <w:lang w:eastAsia="it-IT"/>
              </w:rPr>
              <w:t>years</w:t>
            </w:r>
            <w:r w:rsidR="00EB3557" w:rsidRPr="004D3E32">
              <w:rPr>
                <w:rFonts w:ascii="Arial" w:eastAsia="Times New Roman" w:hAnsi="Arial"/>
                <w:color w:val="000000"/>
                <w:sz w:val="16"/>
                <w:szCs w:val="16"/>
                <w:lang w:eastAsia="it-IT"/>
              </w:rPr>
              <w:t xml:space="preserve">) </w:t>
            </w:r>
          </w:p>
        </w:tc>
        <w:tc>
          <w:tcPr>
            <w:tcW w:w="1110" w:type="pct"/>
            <w:tcBorders>
              <w:top w:val="single" w:sz="12" w:space="0" w:color="auto"/>
              <w:bottom w:val="single" w:sz="6" w:space="0" w:color="auto"/>
            </w:tcBorders>
            <w:tcMar>
              <w:top w:w="0" w:type="dxa"/>
              <w:left w:w="108" w:type="dxa"/>
              <w:bottom w:w="0" w:type="dxa"/>
              <w:right w:w="108" w:type="dxa"/>
            </w:tcMar>
            <w:vAlign w:val="center"/>
            <w:hideMark/>
          </w:tcPr>
          <w:p w14:paraId="4B333B24" w14:textId="5D311BBF"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w:t>
            </w:r>
            <w:r w:rsidR="00EB3557" w:rsidRPr="004D3E32">
              <w:rPr>
                <w:rFonts w:ascii="Arial" w:eastAsia="Times New Roman" w:hAnsi="Arial"/>
                <w:color w:val="000000"/>
                <w:sz w:val="16"/>
                <w:szCs w:val="16"/>
                <w:lang w:eastAsia="it-IT"/>
              </w:rPr>
              <w:t xml:space="preserve"> (SD)</w:t>
            </w:r>
          </w:p>
        </w:tc>
        <w:tc>
          <w:tcPr>
            <w:tcW w:w="627" w:type="pct"/>
            <w:tcBorders>
              <w:top w:val="single" w:sz="12" w:space="0" w:color="auto"/>
              <w:bottom w:val="single" w:sz="6" w:space="0" w:color="auto"/>
            </w:tcBorders>
            <w:tcMar>
              <w:top w:w="0" w:type="dxa"/>
              <w:left w:w="108" w:type="dxa"/>
              <w:bottom w:w="0" w:type="dxa"/>
              <w:right w:w="108" w:type="dxa"/>
            </w:tcMar>
            <w:vAlign w:val="center"/>
            <w:hideMark/>
          </w:tcPr>
          <w:p w14:paraId="0770B7BD"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55.1 (17.5)</w:t>
            </w:r>
          </w:p>
        </w:tc>
        <w:tc>
          <w:tcPr>
            <w:tcW w:w="601" w:type="pct"/>
            <w:tcBorders>
              <w:top w:val="single" w:sz="12" w:space="0" w:color="auto"/>
              <w:bottom w:val="single" w:sz="6" w:space="0" w:color="auto"/>
            </w:tcBorders>
            <w:tcMar>
              <w:top w:w="0" w:type="dxa"/>
              <w:left w:w="108" w:type="dxa"/>
              <w:bottom w:w="0" w:type="dxa"/>
              <w:right w:w="108" w:type="dxa"/>
            </w:tcMar>
            <w:vAlign w:val="center"/>
            <w:hideMark/>
          </w:tcPr>
          <w:p w14:paraId="0A45711B"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60.2 (15.5)</w:t>
            </w:r>
          </w:p>
        </w:tc>
        <w:tc>
          <w:tcPr>
            <w:tcW w:w="1336" w:type="pct"/>
            <w:tcBorders>
              <w:top w:val="single" w:sz="12" w:space="0" w:color="auto"/>
              <w:bottom w:val="single" w:sz="6" w:space="0" w:color="auto"/>
            </w:tcBorders>
            <w:tcMar>
              <w:top w:w="0" w:type="dxa"/>
              <w:left w:w="108" w:type="dxa"/>
              <w:bottom w:w="0" w:type="dxa"/>
              <w:right w:w="108" w:type="dxa"/>
            </w:tcMar>
            <w:vAlign w:val="center"/>
            <w:hideMark/>
          </w:tcPr>
          <w:p w14:paraId="2510C910"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1.02 (0.97-1.07, p 0.393)  </w:t>
            </w:r>
          </w:p>
        </w:tc>
      </w:tr>
      <w:tr w:rsidR="00EB3557" w:rsidRPr="004D3E32" w14:paraId="2EBF3D07"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359BA25A" w14:textId="77777777" w:rsidR="00096284" w:rsidRPr="004D3E32" w:rsidRDefault="00096284" w:rsidP="00EB3557">
            <w:pPr>
              <w:ind w:left="34" w:right="-62"/>
              <w:rPr>
                <w:rFonts w:ascii="Arial" w:eastAsia="Times New Roman" w:hAnsi="Arial"/>
                <w:color w:val="000000"/>
                <w:sz w:val="16"/>
                <w:szCs w:val="16"/>
                <w:lang w:eastAsia="it-IT"/>
              </w:rPr>
            </w:pPr>
          </w:p>
          <w:p w14:paraId="287A0DE5" w14:textId="710BADFD"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Sex</w:t>
            </w:r>
            <w:r w:rsidR="00EB3557" w:rsidRPr="004D3E32">
              <w:rPr>
                <w:rFonts w:ascii="Arial" w:eastAsia="Times New Roman" w:hAnsi="Arial"/>
                <w:color w:val="000000"/>
                <w:sz w:val="16"/>
                <w:szCs w:val="16"/>
                <w:lang w:eastAsia="it-IT"/>
              </w:rPr>
              <w:t>, n (%)</w:t>
            </w:r>
          </w:p>
          <w:p w14:paraId="6D73C84E"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c>
          <w:tcPr>
            <w:tcW w:w="1110" w:type="pct"/>
            <w:tcBorders>
              <w:top w:val="single" w:sz="6" w:space="0" w:color="auto"/>
            </w:tcBorders>
            <w:tcMar>
              <w:top w:w="0" w:type="dxa"/>
              <w:left w:w="108" w:type="dxa"/>
              <w:bottom w:w="0" w:type="dxa"/>
              <w:right w:w="108" w:type="dxa"/>
            </w:tcMar>
            <w:vAlign w:val="center"/>
            <w:hideMark/>
          </w:tcPr>
          <w:p w14:paraId="0DD8486F"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sz w:val="16"/>
                <w:szCs w:val="16"/>
                <w:lang w:eastAsia="it-IT"/>
              </w:rPr>
              <w:t>F</w:t>
            </w:r>
          </w:p>
        </w:tc>
        <w:tc>
          <w:tcPr>
            <w:tcW w:w="627" w:type="pct"/>
            <w:tcBorders>
              <w:top w:val="single" w:sz="6" w:space="0" w:color="auto"/>
            </w:tcBorders>
            <w:tcMar>
              <w:top w:w="0" w:type="dxa"/>
              <w:left w:w="108" w:type="dxa"/>
              <w:bottom w:w="0" w:type="dxa"/>
              <w:right w:w="108" w:type="dxa"/>
            </w:tcMar>
            <w:vAlign w:val="center"/>
            <w:hideMark/>
          </w:tcPr>
          <w:p w14:paraId="3D5F739C"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9 (37.5)</w:t>
            </w:r>
          </w:p>
        </w:tc>
        <w:tc>
          <w:tcPr>
            <w:tcW w:w="601" w:type="pct"/>
            <w:tcBorders>
              <w:top w:val="single" w:sz="6" w:space="0" w:color="auto"/>
            </w:tcBorders>
            <w:tcMar>
              <w:top w:w="0" w:type="dxa"/>
              <w:left w:w="108" w:type="dxa"/>
              <w:bottom w:w="0" w:type="dxa"/>
              <w:right w:w="108" w:type="dxa"/>
            </w:tcMar>
            <w:vAlign w:val="center"/>
            <w:hideMark/>
          </w:tcPr>
          <w:p w14:paraId="11E304BC"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15 (62.5)</w:t>
            </w:r>
          </w:p>
        </w:tc>
        <w:tc>
          <w:tcPr>
            <w:tcW w:w="1336" w:type="pct"/>
            <w:tcBorders>
              <w:top w:val="single" w:sz="6" w:space="0" w:color="auto"/>
            </w:tcBorders>
            <w:tcMar>
              <w:top w:w="0" w:type="dxa"/>
              <w:left w:w="108" w:type="dxa"/>
              <w:bottom w:w="0" w:type="dxa"/>
              <w:right w:w="108" w:type="dxa"/>
            </w:tcMar>
            <w:vAlign w:val="center"/>
            <w:hideMark/>
          </w:tcPr>
          <w:p w14:paraId="4D396AB3"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EB3557" w:rsidRPr="004D3E32" w14:paraId="38D37986"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799513E0"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67286C83"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sz w:val="16"/>
                <w:szCs w:val="16"/>
                <w:lang w:eastAsia="it-IT"/>
              </w:rPr>
              <w:t>M</w:t>
            </w:r>
          </w:p>
        </w:tc>
        <w:tc>
          <w:tcPr>
            <w:tcW w:w="627" w:type="pct"/>
            <w:tcBorders>
              <w:bottom w:val="single" w:sz="6" w:space="0" w:color="auto"/>
            </w:tcBorders>
            <w:tcMar>
              <w:top w:w="0" w:type="dxa"/>
              <w:left w:w="108" w:type="dxa"/>
              <w:bottom w:w="0" w:type="dxa"/>
              <w:right w:w="108" w:type="dxa"/>
            </w:tcMar>
            <w:vAlign w:val="center"/>
            <w:hideMark/>
          </w:tcPr>
          <w:p w14:paraId="14D7CC69"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4 (66.7)</w:t>
            </w:r>
          </w:p>
        </w:tc>
        <w:tc>
          <w:tcPr>
            <w:tcW w:w="601" w:type="pct"/>
            <w:tcBorders>
              <w:bottom w:val="single" w:sz="6" w:space="0" w:color="auto"/>
            </w:tcBorders>
            <w:tcMar>
              <w:top w:w="0" w:type="dxa"/>
              <w:left w:w="108" w:type="dxa"/>
              <w:bottom w:w="0" w:type="dxa"/>
              <w:right w:w="108" w:type="dxa"/>
            </w:tcMar>
            <w:vAlign w:val="center"/>
            <w:hideMark/>
          </w:tcPr>
          <w:p w14:paraId="35C9A46C"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2 (33.3)</w:t>
            </w:r>
          </w:p>
        </w:tc>
        <w:tc>
          <w:tcPr>
            <w:tcW w:w="1336" w:type="pct"/>
            <w:tcBorders>
              <w:bottom w:val="single" w:sz="6" w:space="0" w:color="auto"/>
            </w:tcBorders>
            <w:tcMar>
              <w:top w:w="0" w:type="dxa"/>
              <w:left w:w="108" w:type="dxa"/>
              <w:bottom w:w="0" w:type="dxa"/>
              <w:right w:w="108" w:type="dxa"/>
            </w:tcMar>
            <w:vAlign w:val="center"/>
            <w:hideMark/>
          </w:tcPr>
          <w:p w14:paraId="13B599A1"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0.30 (0.04-1.86, p 0.211)  </w:t>
            </w:r>
          </w:p>
        </w:tc>
      </w:tr>
      <w:tr w:rsidR="00096284" w:rsidRPr="004D3E32" w14:paraId="1AFDDA81" w14:textId="77777777" w:rsidTr="00F06B29">
        <w:trPr>
          <w:trHeight w:val="397"/>
        </w:trPr>
        <w:tc>
          <w:tcPr>
            <w:tcW w:w="1326" w:type="pct"/>
            <w:tcBorders>
              <w:top w:val="single" w:sz="6" w:space="0" w:color="auto"/>
              <w:bottom w:val="single" w:sz="6" w:space="0" w:color="auto"/>
            </w:tcBorders>
            <w:tcMar>
              <w:top w:w="0" w:type="dxa"/>
              <w:left w:w="108" w:type="dxa"/>
              <w:bottom w:w="0" w:type="dxa"/>
              <w:right w:w="108" w:type="dxa"/>
            </w:tcMar>
            <w:vAlign w:val="center"/>
            <w:hideMark/>
          </w:tcPr>
          <w:p w14:paraId="23E9E0D3"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BMI (kg/m</w:t>
            </w:r>
            <w:r w:rsidRPr="004D3E32">
              <w:rPr>
                <w:rFonts w:ascii="Arial" w:eastAsia="Times New Roman" w:hAnsi="Arial"/>
                <w:color w:val="000000"/>
                <w:sz w:val="16"/>
                <w:szCs w:val="16"/>
                <w:vertAlign w:val="superscript"/>
                <w:lang w:eastAsia="it-IT"/>
              </w:rPr>
              <w:t>2</w:t>
            </w:r>
            <w:r w:rsidRPr="004D3E32">
              <w:rPr>
                <w:rFonts w:ascii="Arial" w:eastAsia="Times New Roman" w:hAnsi="Arial"/>
                <w:color w:val="000000"/>
                <w:sz w:val="16"/>
                <w:szCs w:val="16"/>
                <w:lang w:eastAsia="it-IT"/>
              </w:rPr>
              <w:t>)</w:t>
            </w:r>
          </w:p>
        </w:tc>
        <w:tc>
          <w:tcPr>
            <w:tcW w:w="1110" w:type="pct"/>
            <w:tcBorders>
              <w:top w:val="single" w:sz="6" w:space="0" w:color="auto"/>
              <w:bottom w:val="single" w:sz="6" w:space="0" w:color="auto"/>
            </w:tcBorders>
            <w:tcMar>
              <w:top w:w="0" w:type="dxa"/>
              <w:left w:w="108" w:type="dxa"/>
              <w:bottom w:w="0" w:type="dxa"/>
              <w:right w:w="108" w:type="dxa"/>
            </w:tcMar>
            <w:vAlign w:val="center"/>
            <w:hideMark/>
          </w:tcPr>
          <w:p w14:paraId="5E62BBA4" w14:textId="1990C364"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 (SD)</w:t>
            </w:r>
          </w:p>
        </w:tc>
        <w:tc>
          <w:tcPr>
            <w:tcW w:w="627" w:type="pct"/>
            <w:tcBorders>
              <w:top w:val="single" w:sz="6" w:space="0" w:color="auto"/>
              <w:bottom w:val="single" w:sz="6" w:space="0" w:color="auto"/>
            </w:tcBorders>
            <w:tcMar>
              <w:top w:w="0" w:type="dxa"/>
              <w:left w:w="108" w:type="dxa"/>
              <w:bottom w:w="0" w:type="dxa"/>
              <w:right w:w="108" w:type="dxa"/>
            </w:tcMar>
            <w:vAlign w:val="center"/>
            <w:hideMark/>
          </w:tcPr>
          <w:p w14:paraId="0CC57D3D"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25.6 (6.1)</w:t>
            </w:r>
          </w:p>
        </w:tc>
        <w:tc>
          <w:tcPr>
            <w:tcW w:w="601" w:type="pct"/>
            <w:tcBorders>
              <w:top w:val="single" w:sz="6" w:space="0" w:color="auto"/>
              <w:bottom w:val="single" w:sz="6" w:space="0" w:color="auto"/>
            </w:tcBorders>
            <w:tcMar>
              <w:top w:w="0" w:type="dxa"/>
              <w:left w:w="108" w:type="dxa"/>
              <w:bottom w:w="0" w:type="dxa"/>
              <w:right w:w="108" w:type="dxa"/>
            </w:tcMar>
            <w:vAlign w:val="center"/>
            <w:hideMark/>
          </w:tcPr>
          <w:p w14:paraId="0F624DE7"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28.7 (7.1)</w:t>
            </w:r>
          </w:p>
        </w:tc>
        <w:tc>
          <w:tcPr>
            <w:tcW w:w="1336" w:type="pct"/>
            <w:tcBorders>
              <w:top w:val="single" w:sz="6" w:space="0" w:color="auto"/>
              <w:bottom w:val="single" w:sz="6" w:space="0" w:color="auto"/>
            </w:tcBorders>
            <w:tcMar>
              <w:top w:w="0" w:type="dxa"/>
              <w:left w:w="108" w:type="dxa"/>
              <w:bottom w:w="0" w:type="dxa"/>
              <w:right w:w="108" w:type="dxa"/>
            </w:tcMar>
            <w:vAlign w:val="center"/>
            <w:hideMark/>
          </w:tcPr>
          <w:p w14:paraId="495347FF"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1.08 (0.96-1.24, p 0.239)  </w:t>
            </w:r>
          </w:p>
        </w:tc>
      </w:tr>
      <w:tr w:rsidR="00EB3557" w:rsidRPr="004D3E32" w14:paraId="61FE5C9D"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17B44AAD" w14:textId="1670C2A2"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Smoking habitude</w:t>
            </w:r>
            <w:r w:rsidR="00EB3557" w:rsidRPr="004D3E32">
              <w:rPr>
                <w:rFonts w:ascii="Arial" w:eastAsia="Times New Roman" w:hAnsi="Arial"/>
                <w:color w:val="000000"/>
                <w:sz w:val="16"/>
                <w:szCs w:val="16"/>
                <w:lang w:eastAsia="it-IT"/>
              </w:rPr>
              <w:t>, n (%)</w:t>
            </w:r>
          </w:p>
          <w:p w14:paraId="7AA19115"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c>
          <w:tcPr>
            <w:tcW w:w="1110" w:type="pct"/>
            <w:tcBorders>
              <w:top w:val="single" w:sz="6" w:space="0" w:color="auto"/>
            </w:tcBorders>
            <w:tcMar>
              <w:top w:w="0" w:type="dxa"/>
              <w:left w:w="108" w:type="dxa"/>
              <w:bottom w:w="0" w:type="dxa"/>
              <w:right w:w="108" w:type="dxa"/>
            </w:tcMar>
            <w:vAlign w:val="center"/>
            <w:hideMark/>
          </w:tcPr>
          <w:p w14:paraId="2347C259"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12F7A395"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10 (43.5)</w:t>
            </w:r>
          </w:p>
        </w:tc>
        <w:tc>
          <w:tcPr>
            <w:tcW w:w="601" w:type="pct"/>
            <w:tcBorders>
              <w:top w:val="single" w:sz="6" w:space="0" w:color="auto"/>
            </w:tcBorders>
            <w:tcMar>
              <w:top w:w="0" w:type="dxa"/>
              <w:left w:w="108" w:type="dxa"/>
              <w:bottom w:w="0" w:type="dxa"/>
              <w:right w:w="108" w:type="dxa"/>
            </w:tcMar>
            <w:vAlign w:val="center"/>
            <w:hideMark/>
          </w:tcPr>
          <w:p w14:paraId="414B370A"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13 (56.5)</w:t>
            </w:r>
          </w:p>
        </w:tc>
        <w:tc>
          <w:tcPr>
            <w:tcW w:w="1336" w:type="pct"/>
            <w:tcBorders>
              <w:top w:val="single" w:sz="6" w:space="0" w:color="auto"/>
            </w:tcBorders>
            <w:tcMar>
              <w:top w:w="0" w:type="dxa"/>
              <w:left w:w="108" w:type="dxa"/>
              <w:bottom w:w="0" w:type="dxa"/>
              <w:right w:w="108" w:type="dxa"/>
            </w:tcMar>
            <w:vAlign w:val="center"/>
            <w:hideMark/>
          </w:tcPr>
          <w:p w14:paraId="7D8B3F0A"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EB3557" w:rsidRPr="004D3E32" w14:paraId="6E04E2BA"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7633E825"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405DCFF9" w14:textId="672B46F4"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6A005919"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2 (33.3)</w:t>
            </w:r>
          </w:p>
        </w:tc>
        <w:tc>
          <w:tcPr>
            <w:tcW w:w="601" w:type="pct"/>
            <w:tcBorders>
              <w:bottom w:val="single" w:sz="6" w:space="0" w:color="auto"/>
            </w:tcBorders>
            <w:tcMar>
              <w:top w:w="0" w:type="dxa"/>
              <w:left w:w="108" w:type="dxa"/>
              <w:bottom w:w="0" w:type="dxa"/>
              <w:right w:w="108" w:type="dxa"/>
            </w:tcMar>
            <w:vAlign w:val="center"/>
            <w:hideMark/>
          </w:tcPr>
          <w:p w14:paraId="2A670586"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4 (66.7)</w:t>
            </w:r>
          </w:p>
        </w:tc>
        <w:tc>
          <w:tcPr>
            <w:tcW w:w="1336" w:type="pct"/>
            <w:tcBorders>
              <w:bottom w:val="single" w:sz="6" w:space="0" w:color="auto"/>
            </w:tcBorders>
            <w:tcMar>
              <w:top w:w="0" w:type="dxa"/>
              <w:left w:w="108" w:type="dxa"/>
              <w:bottom w:w="0" w:type="dxa"/>
              <w:right w:w="108" w:type="dxa"/>
            </w:tcMar>
            <w:vAlign w:val="center"/>
            <w:hideMark/>
          </w:tcPr>
          <w:p w14:paraId="4D4BBFAB"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1.54 (0.25-12.75, p 0.655) </w:t>
            </w:r>
          </w:p>
        </w:tc>
      </w:tr>
      <w:tr w:rsidR="00096284" w:rsidRPr="004D3E32" w14:paraId="3D83FF7A" w14:textId="77777777" w:rsidTr="00F06B29">
        <w:trPr>
          <w:trHeight w:val="397"/>
        </w:trPr>
        <w:tc>
          <w:tcPr>
            <w:tcW w:w="1326" w:type="pct"/>
            <w:tcBorders>
              <w:top w:val="single" w:sz="6" w:space="0" w:color="auto"/>
              <w:bottom w:val="single" w:sz="6" w:space="0" w:color="auto"/>
            </w:tcBorders>
            <w:tcMar>
              <w:top w:w="0" w:type="dxa"/>
              <w:left w:w="108" w:type="dxa"/>
              <w:bottom w:w="0" w:type="dxa"/>
              <w:right w:w="108" w:type="dxa"/>
            </w:tcMar>
            <w:vAlign w:val="center"/>
            <w:hideMark/>
          </w:tcPr>
          <w:p w14:paraId="4C7AF115" w14:textId="71AAEE6A"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Disease duration (years</w:t>
            </w:r>
            <w:r w:rsidR="00EB3557" w:rsidRPr="004D3E32">
              <w:rPr>
                <w:rFonts w:ascii="Arial" w:eastAsia="Times New Roman" w:hAnsi="Arial"/>
                <w:color w:val="000000"/>
                <w:sz w:val="16"/>
                <w:szCs w:val="16"/>
                <w:lang w:eastAsia="it-IT"/>
              </w:rPr>
              <w:t>)</w:t>
            </w:r>
          </w:p>
        </w:tc>
        <w:tc>
          <w:tcPr>
            <w:tcW w:w="1110" w:type="pct"/>
            <w:tcBorders>
              <w:top w:val="single" w:sz="6" w:space="0" w:color="auto"/>
              <w:bottom w:val="single" w:sz="6" w:space="0" w:color="auto"/>
            </w:tcBorders>
            <w:tcMar>
              <w:top w:w="0" w:type="dxa"/>
              <w:left w:w="108" w:type="dxa"/>
              <w:bottom w:w="0" w:type="dxa"/>
              <w:right w:w="108" w:type="dxa"/>
            </w:tcMar>
            <w:vAlign w:val="center"/>
            <w:hideMark/>
          </w:tcPr>
          <w:p w14:paraId="237F81AE" w14:textId="015E2CCB"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 (SD)</w:t>
            </w:r>
          </w:p>
        </w:tc>
        <w:tc>
          <w:tcPr>
            <w:tcW w:w="627" w:type="pct"/>
            <w:tcBorders>
              <w:top w:val="single" w:sz="6" w:space="0" w:color="auto"/>
              <w:bottom w:val="single" w:sz="6" w:space="0" w:color="auto"/>
            </w:tcBorders>
            <w:tcMar>
              <w:top w:w="0" w:type="dxa"/>
              <w:left w:w="108" w:type="dxa"/>
              <w:bottom w:w="0" w:type="dxa"/>
              <w:right w:w="108" w:type="dxa"/>
            </w:tcMar>
            <w:vAlign w:val="center"/>
            <w:hideMark/>
          </w:tcPr>
          <w:p w14:paraId="6D9EBBE3"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17.2 (6.5)</w:t>
            </w:r>
          </w:p>
        </w:tc>
        <w:tc>
          <w:tcPr>
            <w:tcW w:w="601" w:type="pct"/>
            <w:tcBorders>
              <w:top w:val="single" w:sz="6" w:space="0" w:color="auto"/>
              <w:bottom w:val="single" w:sz="6" w:space="0" w:color="auto"/>
            </w:tcBorders>
            <w:tcMar>
              <w:top w:w="0" w:type="dxa"/>
              <w:left w:w="108" w:type="dxa"/>
              <w:bottom w:w="0" w:type="dxa"/>
              <w:right w:w="108" w:type="dxa"/>
            </w:tcMar>
            <w:vAlign w:val="center"/>
            <w:hideMark/>
          </w:tcPr>
          <w:p w14:paraId="7D9ADED5"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17.6 (9.6)</w:t>
            </w:r>
          </w:p>
        </w:tc>
        <w:tc>
          <w:tcPr>
            <w:tcW w:w="1336" w:type="pct"/>
            <w:tcBorders>
              <w:top w:val="single" w:sz="6" w:space="0" w:color="auto"/>
              <w:bottom w:val="single" w:sz="6" w:space="0" w:color="auto"/>
            </w:tcBorders>
            <w:tcMar>
              <w:top w:w="0" w:type="dxa"/>
              <w:left w:w="108" w:type="dxa"/>
              <w:bottom w:w="0" w:type="dxa"/>
              <w:right w:w="108" w:type="dxa"/>
            </w:tcMar>
            <w:vAlign w:val="center"/>
            <w:hideMark/>
          </w:tcPr>
          <w:p w14:paraId="39639CD2"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1.01 (0.92-1.10, p 0.895)  </w:t>
            </w:r>
          </w:p>
        </w:tc>
      </w:tr>
      <w:tr w:rsidR="00EB3557" w:rsidRPr="004D3E32" w14:paraId="41CA5DCE"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0BECC756" w14:textId="7F1FB0A5"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Previous </w:t>
            </w:r>
            <w:proofErr w:type="spellStart"/>
            <w:r w:rsidR="00EB3557" w:rsidRPr="004D3E32">
              <w:rPr>
                <w:rFonts w:ascii="Arial" w:eastAsia="Times New Roman" w:hAnsi="Arial"/>
                <w:color w:val="000000"/>
                <w:sz w:val="16"/>
                <w:szCs w:val="16"/>
                <w:lang w:eastAsia="it-IT"/>
              </w:rPr>
              <w:t>bDMARD</w:t>
            </w:r>
            <w:proofErr w:type="spellEnd"/>
            <w:r w:rsidR="00EB3557" w:rsidRPr="004D3E32">
              <w:rPr>
                <w:rFonts w:ascii="Arial" w:eastAsia="Times New Roman" w:hAnsi="Arial"/>
                <w:color w:val="000000"/>
                <w:sz w:val="16"/>
                <w:szCs w:val="16"/>
                <w:lang w:eastAsia="it-IT"/>
              </w:rPr>
              <w:t>(s), n (%)</w:t>
            </w:r>
          </w:p>
          <w:p w14:paraId="15A7E3D2"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c>
          <w:tcPr>
            <w:tcW w:w="1110" w:type="pct"/>
            <w:tcBorders>
              <w:top w:val="single" w:sz="6" w:space="0" w:color="auto"/>
            </w:tcBorders>
            <w:tcMar>
              <w:top w:w="0" w:type="dxa"/>
              <w:left w:w="108" w:type="dxa"/>
              <w:bottom w:w="0" w:type="dxa"/>
              <w:right w:w="108" w:type="dxa"/>
            </w:tcMar>
            <w:vAlign w:val="center"/>
            <w:hideMark/>
          </w:tcPr>
          <w:p w14:paraId="64DB9DE4"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58453348"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4 (30.8)</w:t>
            </w:r>
          </w:p>
        </w:tc>
        <w:tc>
          <w:tcPr>
            <w:tcW w:w="601" w:type="pct"/>
            <w:tcBorders>
              <w:top w:val="single" w:sz="6" w:space="0" w:color="auto"/>
            </w:tcBorders>
            <w:tcMar>
              <w:top w:w="0" w:type="dxa"/>
              <w:left w:w="108" w:type="dxa"/>
              <w:bottom w:w="0" w:type="dxa"/>
              <w:right w:w="108" w:type="dxa"/>
            </w:tcMar>
            <w:vAlign w:val="center"/>
            <w:hideMark/>
          </w:tcPr>
          <w:p w14:paraId="71CD29DE"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9 (69.2)</w:t>
            </w:r>
          </w:p>
        </w:tc>
        <w:tc>
          <w:tcPr>
            <w:tcW w:w="1336" w:type="pct"/>
            <w:tcBorders>
              <w:top w:val="single" w:sz="6" w:space="0" w:color="auto"/>
            </w:tcBorders>
            <w:tcMar>
              <w:top w:w="0" w:type="dxa"/>
              <w:left w:w="108" w:type="dxa"/>
              <w:bottom w:w="0" w:type="dxa"/>
              <w:right w:w="108" w:type="dxa"/>
            </w:tcMar>
            <w:vAlign w:val="center"/>
            <w:hideMark/>
          </w:tcPr>
          <w:p w14:paraId="66CC2C3F"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EB3557" w:rsidRPr="004D3E32" w14:paraId="7DA43FFB"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0B7D776A"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675ACD3C" w14:textId="74FAFC97"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21806BB0"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9 (52.9)</w:t>
            </w:r>
          </w:p>
        </w:tc>
        <w:tc>
          <w:tcPr>
            <w:tcW w:w="601" w:type="pct"/>
            <w:tcBorders>
              <w:bottom w:val="single" w:sz="6" w:space="0" w:color="auto"/>
            </w:tcBorders>
            <w:tcMar>
              <w:top w:w="0" w:type="dxa"/>
              <w:left w:w="108" w:type="dxa"/>
              <w:bottom w:w="0" w:type="dxa"/>
              <w:right w:w="108" w:type="dxa"/>
            </w:tcMar>
            <w:vAlign w:val="center"/>
            <w:hideMark/>
          </w:tcPr>
          <w:p w14:paraId="56B00033"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8 (47.1)</w:t>
            </w:r>
          </w:p>
        </w:tc>
        <w:tc>
          <w:tcPr>
            <w:tcW w:w="1336" w:type="pct"/>
            <w:tcBorders>
              <w:bottom w:val="single" w:sz="6" w:space="0" w:color="auto"/>
            </w:tcBorders>
            <w:tcMar>
              <w:top w:w="0" w:type="dxa"/>
              <w:left w:w="108" w:type="dxa"/>
              <w:bottom w:w="0" w:type="dxa"/>
              <w:right w:w="108" w:type="dxa"/>
            </w:tcMar>
            <w:vAlign w:val="center"/>
            <w:hideMark/>
          </w:tcPr>
          <w:p w14:paraId="39048662"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0.40 (0.08-1.73, p 0.229)  </w:t>
            </w:r>
          </w:p>
        </w:tc>
      </w:tr>
      <w:tr w:rsidR="00096284" w:rsidRPr="004D3E32" w14:paraId="06DAD3E5"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21376CFB" w14:textId="04B4BC42"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A</w:t>
            </w:r>
            <w:r w:rsidR="00734B24" w:rsidRPr="004D3E32">
              <w:rPr>
                <w:rFonts w:ascii="Arial" w:eastAsia="Times New Roman" w:hAnsi="Arial"/>
                <w:color w:val="000000"/>
                <w:sz w:val="16"/>
                <w:szCs w:val="16"/>
                <w:lang w:eastAsia="it-IT"/>
              </w:rPr>
              <w:t>CPA</w:t>
            </w:r>
            <w:r w:rsidRPr="004D3E32">
              <w:rPr>
                <w:rFonts w:ascii="Arial" w:eastAsia="Times New Roman" w:hAnsi="Arial"/>
                <w:color w:val="000000"/>
                <w:sz w:val="16"/>
                <w:szCs w:val="16"/>
                <w:lang w:eastAsia="it-IT"/>
              </w:rPr>
              <w:t>, n (%)</w:t>
            </w:r>
          </w:p>
        </w:tc>
        <w:tc>
          <w:tcPr>
            <w:tcW w:w="1110" w:type="pct"/>
            <w:tcBorders>
              <w:top w:val="single" w:sz="6" w:space="0" w:color="auto"/>
            </w:tcBorders>
            <w:tcMar>
              <w:top w:w="0" w:type="dxa"/>
              <w:left w:w="108" w:type="dxa"/>
              <w:bottom w:w="0" w:type="dxa"/>
              <w:right w:w="108" w:type="dxa"/>
            </w:tcMar>
            <w:vAlign w:val="center"/>
            <w:hideMark/>
          </w:tcPr>
          <w:p w14:paraId="665CA921"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0BD14FED"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7 (50.0)</w:t>
            </w:r>
          </w:p>
        </w:tc>
        <w:tc>
          <w:tcPr>
            <w:tcW w:w="601" w:type="pct"/>
            <w:tcBorders>
              <w:top w:val="single" w:sz="6" w:space="0" w:color="auto"/>
            </w:tcBorders>
            <w:tcMar>
              <w:top w:w="0" w:type="dxa"/>
              <w:left w:w="108" w:type="dxa"/>
              <w:bottom w:w="0" w:type="dxa"/>
              <w:right w:w="108" w:type="dxa"/>
            </w:tcMar>
            <w:vAlign w:val="center"/>
            <w:hideMark/>
          </w:tcPr>
          <w:p w14:paraId="77F3F104"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7 (50.0)</w:t>
            </w:r>
          </w:p>
        </w:tc>
        <w:tc>
          <w:tcPr>
            <w:tcW w:w="1336" w:type="pct"/>
            <w:tcBorders>
              <w:top w:val="single" w:sz="6" w:space="0" w:color="auto"/>
            </w:tcBorders>
            <w:tcMar>
              <w:top w:w="0" w:type="dxa"/>
              <w:left w:w="108" w:type="dxa"/>
              <w:bottom w:w="0" w:type="dxa"/>
              <w:right w:w="108" w:type="dxa"/>
            </w:tcMar>
            <w:vAlign w:val="center"/>
            <w:hideMark/>
          </w:tcPr>
          <w:p w14:paraId="64720FF3"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096284" w:rsidRPr="004D3E32" w14:paraId="35AD85A3"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13FF99EA"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4FC04F71" w14:textId="663B25C0"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1FB48D0D"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6 (40.0)</w:t>
            </w:r>
          </w:p>
        </w:tc>
        <w:tc>
          <w:tcPr>
            <w:tcW w:w="601" w:type="pct"/>
            <w:tcBorders>
              <w:bottom w:val="single" w:sz="6" w:space="0" w:color="auto"/>
            </w:tcBorders>
            <w:tcMar>
              <w:top w:w="0" w:type="dxa"/>
              <w:left w:w="108" w:type="dxa"/>
              <w:bottom w:w="0" w:type="dxa"/>
              <w:right w:w="108" w:type="dxa"/>
            </w:tcMar>
            <w:vAlign w:val="center"/>
            <w:hideMark/>
          </w:tcPr>
          <w:p w14:paraId="6C93EDE2"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9 (60.0)</w:t>
            </w:r>
          </w:p>
        </w:tc>
        <w:tc>
          <w:tcPr>
            <w:tcW w:w="1336" w:type="pct"/>
            <w:tcBorders>
              <w:bottom w:val="single" w:sz="6" w:space="0" w:color="auto"/>
            </w:tcBorders>
            <w:tcMar>
              <w:top w:w="0" w:type="dxa"/>
              <w:left w:w="108" w:type="dxa"/>
              <w:bottom w:w="0" w:type="dxa"/>
              <w:right w:w="108" w:type="dxa"/>
            </w:tcMar>
            <w:vAlign w:val="center"/>
            <w:hideMark/>
          </w:tcPr>
          <w:p w14:paraId="0219DFDB"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1.50 (0.34-6.77, p 0.589)  </w:t>
            </w:r>
          </w:p>
        </w:tc>
      </w:tr>
      <w:tr w:rsidR="00EB3557" w:rsidRPr="004D3E32" w14:paraId="3F8A4C5B"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5CEC9715" w14:textId="5D4185D5"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Hands/Feet erosions (radiographs)</w:t>
            </w:r>
            <w:r w:rsidR="00EB3557" w:rsidRPr="004D3E32">
              <w:rPr>
                <w:rFonts w:ascii="Arial" w:eastAsia="Times New Roman" w:hAnsi="Arial"/>
                <w:color w:val="000000"/>
                <w:sz w:val="16"/>
                <w:szCs w:val="16"/>
                <w:lang w:eastAsia="it-IT"/>
              </w:rPr>
              <w:t>, n (%) </w:t>
            </w:r>
          </w:p>
        </w:tc>
        <w:tc>
          <w:tcPr>
            <w:tcW w:w="1110" w:type="pct"/>
            <w:tcBorders>
              <w:top w:val="single" w:sz="6" w:space="0" w:color="auto"/>
            </w:tcBorders>
            <w:tcMar>
              <w:top w:w="0" w:type="dxa"/>
              <w:left w:w="108" w:type="dxa"/>
              <w:bottom w:w="0" w:type="dxa"/>
              <w:right w:w="108" w:type="dxa"/>
            </w:tcMar>
            <w:vAlign w:val="center"/>
            <w:hideMark/>
          </w:tcPr>
          <w:p w14:paraId="7B6CDB70"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1A2B5D96"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7 (46.7)</w:t>
            </w:r>
          </w:p>
        </w:tc>
        <w:tc>
          <w:tcPr>
            <w:tcW w:w="601" w:type="pct"/>
            <w:tcBorders>
              <w:top w:val="single" w:sz="6" w:space="0" w:color="auto"/>
            </w:tcBorders>
            <w:tcMar>
              <w:top w:w="0" w:type="dxa"/>
              <w:left w:w="108" w:type="dxa"/>
              <w:bottom w:w="0" w:type="dxa"/>
              <w:right w:w="108" w:type="dxa"/>
            </w:tcMar>
            <w:vAlign w:val="center"/>
            <w:hideMark/>
          </w:tcPr>
          <w:p w14:paraId="0CB20DC0"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8 (53.3)</w:t>
            </w:r>
          </w:p>
        </w:tc>
        <w:tc>
          <w:tcPr>
            <w:tcW w:w="1336" w:type="pct"/>
            <w:tcBorders>
              <w:top w:val="single" w:sz="6" w:space="0" w:color="auto"/>
            </w:tcBorders>
            <w:tcMar>
              <w:top w:w="0" w:type="dxa"/>
              <w:left w:w="108" w:type="dxa"/>
              <w:bottom w:w="0" w:type="dxa"/>
              <w:right w:w="108" w:type="dxa"/>
            </w:tcMar>
            <w:vAlign w:val="center"/>
            <w:hideMark/>
          </w:tcPr>
          <w:p w14:paraId="25C63274"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EB3557" w:rsidRPr="004D3E32" w14:paraId="64E138EE"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37A00C16"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11FC7758" w14:textId="32F60780"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1D7B2C29"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6 (40.0)</w:t>
            </w:r>
          </w:p>
        </w:tc>
        <w:tc>
          <w:tcPr>
            <w:tcW w:w="601" w:type="pct"/>
            <w:tcBorders>
              <w:bottom w:val="single" w:sz="6" w:space="0" w:color="auto"/>
            </w:tcBorders>
            <w:tcMar>
              <w:top w:w="0" w:type="dxa"/>
              <w:left w:w="108" w:type="dxa"/>
              <w:bottom w:w="0" w:type="dxa"/>
              <w:right w:w="108" w:type="dxa"/>
            </w:tcMar>
            <w:vAlign w:val="center"/>
            <w:hideMark/>
          </w:tcPr>
          <w:p w14:paraId="1959D56C"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9 (60.0)</w:t>
            </w:r>
          </w:p>
        </w:tc>
        <w:tc>
          <w:tcPr>
            <w:tcW w:w="1336" w:type="pct"/>
            <w:tcBorders>
              <w:bottom w:val="single" w:sz="6" w:space="0" w:color="auto"/>
            </w:tcBorders>
            <w:tcMar>
              <w:top w:w="0" w:type="dxa"/>
              <w:left w:w="108" w:type="dxa"/>
              <w:bottom w:w="0" w:type="dxa"/>
              <w:right w:w="108" w:type="dxa"/>
            </w:tcMar>
            <w:vAlign w:val="center"/>
            <w:hideMark/>
          </w:tcPr>
          <w:p w14:paraId="265D5060"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1.31 (0.31-5.75, p 0.713)  </w:t>
            </w:r>
          </w:p>
        </w:tc>
      </w:tr>
      <w:tr w:rsidR="00096284" w:rsidRPr="004D3E32" w14:paraId="55D50D57"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2F51FC4C" w14:textId="76CB1F60"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sz w:val="16"/>
                <w:szCs w:val="16"/>
                <w:lang w:eastAsia="it-IT"/>
              </w:rPr>
              <w:t>Fibrom</w:t>
            </w:r>
            <w:r w:rsidR="00096284" w:rsidRPr="004D3E32">
              <w:rPr>
                <w:rFonts w:ascii="Arial" w:eastAsia="Times New Roman" w:hAnsi="Arial"/>
                <w:sz w:val="16"/>
                <w:szCs w:val="16"/>
                <w:lang w:eastAsia="it-IT"/>
              </w:rPr>
              <w:t>y</w:t>
            </w:r>
            <w:r w:rsidRPr="004D3E32">
              <w:rPr>
                <w:rFonts w:ascii="Arial" w:eastAsia="Times New Roman" w:hAnsi="Arial"/>
                <w:sz w:val="16"/>
                <w:szCs w:val="16"/>
                <w:lang w:eastAsia="it-IT"/>
              </w:rPr>
              <w:t>algia, n (%)</w:t>
            </w:r>
          </w:p>
        </w:tc>
        <w:tc>
          <w:tcPr>
            <w:tcW w:w="1110" w:type="pct"/>
            <w:tcBorders>
              <w:top w:val="single" w:sz="6" w:space="0" w:color="auto"/>
            </w:tcBorders>
            <w:tcMar>
              <w:top w:w="0" w:type="dxa"/>
              <w:left w:w="108" w:type="dxa"/>
              <w:bottom w:w="0" w:type="dxa"/>
              <w:right w:w="108" w:type="dxa"/>
            </w:tcMar>
            <w:vAlign w:val="center"/>
            <w:hideMark/>
          </w:tcPr>
          <w:p w14:paraId="7748B06B"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3AA4FDA5"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11 (52.4)</w:t>
            </w:r>
          </w:p>
        </w:tc>
        <w:tc>
          <w:tcPr>
            <w:tcW w:w="601" w:type="pct"/>
            <w:tcBorders>
              <w:top w:val="single" w:sz="6" w:space="0" w:color="auto"/>
            </w:tcBorders>
            <w:tcMar>
              <w:top w:w="0" w:type="dxa"/>
              <w:left w:w="108" w:type="dxa"/>
              <w:bottom w:w="0" w:type="dxa"/>
              <w:right w:w="108" w:type="dxa"/>
            </w:tcMar>
            <w:vAlign w:val="center"/>
            <w:hideMark/>
          </w:tcPr>
          <w:p w14:paraId="66A377AF"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10 (47.6)</w:t>
            </w:r>
          </w:p>
        </w:tc>
        <w:tc>
          <w:tcPr>
            <w:tcW w:w="1336" w:type="pct"/>
            <w:tcBorders>
              <w:top w:val="single" w:sz="6" w:space="0" w:color="auto"/>
            </w:tcBorders>
            <w:tcMar>
              <w:top w:w="0" w:type="dxa"/>
              <w:left w:w="108" w:type="dxa"/>
              <w:bottom w:w="0" w:type="dxa"/>
              <w:right w:w="108" w:type="dxa"/>
            </w:tcMar>
            <w:vAlign w:val="center"/>
            <w:hideMark/>
          </w:tcPr>
          <w:p w14:paraId="28335F20"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096284" w:rsidRPr="004D3E32" w14:paraId="0CFFF3F5"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696D9DB7"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2D4870E4" w14:textId="139A00EE"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4F1F9486"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2 (22.2)</w:t>
            </w:r>
          </w:p>
        </w:tc>
        <w:tc>
          <w:tcPr>
            <w:tcW w:w="601" w:type="pct"/>
            <w:tcBorders>
              <w:bottom w:val="single" w:sz="6" w:space="0" w:color="auto"/>
            </w:tcBorders>
            <w:tcMar>
              <w:top w:w="0" w:type="dxa"/>
              <w:left w:w="108" w:type="dxa"/>
              <w:bottom w:w="0" w:type="dxa"/>
              <w:right w:w="108" w:type="dxa"/>
            </w:tcMar>
            <w:vAlign w:val="center"/>
            <w:hideMark/>
          </w:tcPr>
          <w:p w14:paraId="0991AD47"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7 (77.8)</w:t>
            </w:r>
          </w:p>
        </w:tc>
        <w:tc>
          <w:tcPr>
            <w:tcW w:w="1336" w:type="pct"/>
            <w:tcBorders>
              <w:bottom w:val="single" w:sz="6" w:space="0" w:color="auto"/>
            </w:tcBorders>
            <w:tcMar>
              <w:top w:w="0" w:type="dxa"/>
              <w:left w:w="108" w:type="dxa"/>
              <w:bottom w:w="0" w:type="dxa"/>
              <w:right w:w="108" w:type="dxa"/>
            </w:tcMar>
            <w:vAlign w:val="center"/>
            <w:hideMark/>
          </w:tcPr>
          <w:p w14:paraId="34B1330B"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3.85 (0.72-30.16, p 0.140) </w:t>
            </w:r>
          </w:p>
        </w:tc>
      </w:tr>
      <w:tr w:rsidR="00EB3557" w:rsidRPr="004D3E32" w14:paraId="63226C38"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523EB201" w14:textId="626B83C7"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Reason for</w:t>
            </w:r>
            <w:r w:rsidR="00EB3557" w:rsidRPr="004D3E32">
              <w:rPr>
                <w:rFonts w:ascii="Arial" w:eastAsia="Times New Roman" w:hAnsi="Arial"/>
                <w:color w:val="000000"/>
                <w:sz w:val="16"/>
                <w:szCs w:val="16"/>
                <w:lang w:eastAsia="it-IT"/>
              </w:rPr>
              <w:t xml:space="preserve"> </w:t>
            </w:r>
            <w:r w:rsidR="00EB3557" w:rsidRPr="004D3E32">
              <w:rPr>
                <w:rFonts w:ascii="Arial" w:eastAsia="Times New Roman" w:hAnsi="Arial"/>
                <w:i/>
                <w:iCs/>
                <w:color w:val="000000"/>
                <w:sz w:val="16"/>
                <w:szCs w:val="16"/>
                <w:lang w:eastAsia="it-IT"/>
              </w:rPr>
              <w:t>switch</w:t>
            </w:r>
          </w:p>
        </w:tc>
        <w:tc>
          <w:tcPr>
            <w:tcW w:w="1110" w:type="pct"/>
            <w:tcBorders>
              <w:top w:val="single" w:sz="6" w:space="0" w:color="auto"/>
            </w:tcBorders>
            <w:tcMar>
              <w:top w:w="0" w:type="dxa"/>
              <w:left w:w="108" w:type="dxa"/>
              <w:bottom w:w="0" w:type="dxa"/>
              <w:right w:w="108" w:type="dxa"/>
            </w:tcMar>
            <w:vAlign w:val="center"/>
            <w:hideMark/>
          </w:tcPr>
          <w:p w14:paraId="4A3FAC73" w14:textId="46A6FFC5" w:rsidR="00EB3557" w:rsidRPr="004D3E32" w:rsidRDefault="007D677C"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Lack of IV-TCZ (COVID-19 pandemics)</w:t>
            </w:r>
          </w:p>
        </w:tc>
        <w:tc>
          <w:tcPr>
            <w:tcW w:w="627" w:type="pct"/>
            <w:tcBorders>
              <w:top w:val="single" w:sz="6" w:space="0" w:color="auto"/>
            </w:tcBorders>
            <w:tcMar>
              <w:top w:w="0" w:type="dxa"/>
              <w:left w:w="108" w:type="dxa"/>
              <w:bottom w:w="0" w:type="dxa"/>
              <w:right w:w="108" w:type="dxa"/>
            </w:tcMar>
            <w:vAlign w:val="center"/>
            <w:hideMark/>
          </w:tcPr>
          <w:p w14:paraId="07C79AB0"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4 (20.0)</w:t>
            </w:r>
          </w:p>
        </w:tc>
        <w:tc>
          <w:tcPr>
            <w:tcW w:w="601" w:type="pct"/>
            <w:tcBorders>
              <w:top w:val="single" w:sz="6" w:space="0" w:color="auto"/>
            </w:tcBorders>
            <w:tcMar>
              <w:top w:w="0" w:type="dxa"/>
              <w:left w:w="108" w:type="dxa"/>
              <w:bottom w:w="0" w:type="dxa"/>
              <w:right w:w="108" w:type="dxa"/>
            </w:tcMar>
            <w:vAlign w:val="center"/>
            <w:hideMark/>
          </w:tcPr>
          <w:p w14:paraId="0F85FC6D"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16 (80.0)</w:t>
            </w:r>
          </w:p>
        </w:tc>
        <w:tc>
          <w:tcPr>
            <w:tcW w:w="1336" w:type="pct"/>
            <w:tcBorders>
              <w:top w:val="single" w:sz="6" w:space="0" w:color="auto"/>
            </w:tcBorders>
            <w:tcMar>
              <w:top w:w="0" w:type="dxa"/>
              <w:left w:w="108" w:type="dxa"/>
              <w:bottom w:w="0" w:type="dxa"/>
              <w:right w:w="108" w:type="dxa"/>
            </w:tcMar>
            <w:vAlign w:val="center"/>
            <w:hideMark/>
          </w:tcPr>
          <w:p w14:paraId="223194B3"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w:t>
            </w:r>
          </w:p>
        </w:tc>
      </w:tr>
      <w:tr w:rsidR="00EB3557" w:rsidRPr="004D3E32" w14:paraId="6EC0B821"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3A9E8E57" w14:textId="77777777" w:rsidR="00EB3557" w:rsidRPr="004D3E32" w:rsidRDefault="00EB3557" w:rsidP="00EB3557">
            <w:pPr>
              <w:ind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6FC76BF4" w14:textId="53747EF4" w:rsidR="00EB3557" w:rsidRPr="00C250BE" w:rsidRDefault="007D677C" w:rsidP="00EB3557">
            <w:pPr>
              <w:ind w:left="34" w:right="-62"/>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Personal preference</w:t>
            </w:r>
          </w:p>
        </w:tc>
        <w:tc>
          <w:tcPr>
            <w:tcW w:w="627" w:type="pct"/>
            <w:tcBorders>
              <w:bottom w:val="single" w:sz="6" w:space="0" w:color="auto"/>
            </w:tcBorders>
            <w:tcMar>
              <w:top w:w="0" w:type="dxa"/>
              <w:left w:w="108" w:type="dxa"/>
              <w:bottom w:w="0" w:type="dxa"/>
              <w:right w:w="108" w:type="dxa"/>
            </w:tcMar>
            <w:vAlign w:val="center"/>
            <w:hideMark/>
          </w:tcPr>
          <w:p w14:paraId="5085735D" w14:textId="77777777" w:rsidR="00EB3557" w:rsidRPr="00C250BE" w:rsidRDefault="00EB3557" w:rsidP="00EB3557">
            <w:pPr>
              <w:ind w:left="34" w:right="-62"/>
              <w:jc w:val="center"/>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9 (90.0)</w:t>
            </w:r>
          </w:p>
        </w:tc>
        <w:tc>
          <w:tcPr>
            <w:tcW w:w="601" w:type="pct"/>
            <w:tcBorders>
              <w:bottom w:val="single" w:sz="6" w:space="0" w:color="auto"/>
            </w:tcBorders>
            <w:tcMar>
              <w:top w:w="0" w:type="dxa"/>
              <w:left w:w="108" w:type="dxa"/>
              <w:bottom w:w="0" w:type="dxa"/>
              <w:right w:w="108" w:type="dxa"/>
            </w:tcMar>
            <w:vAlign w:val="center"/>
            <w:hideMark/>
          </w:tcPr>
          <w:p w14:paraId="2AA79D37" w14:textId="77777777" w:rsidR="00EB3557" w:rsidRPr="00C250BE" w:rsidRDefault="00EB3557" w:rsidP="00EB3557">
            <w:pPr>
              <w:ind w:left="34" w:right="-62"/>
              <w:jc w:val="center"/>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1 (10.0)</w:t>
            </w:r>
          </w:p>
        </w:tc>
        <w:tc>
          <w:tcPr>
            <w:tcW w:w="1336" w:type="pct"/>
            <w:tcBorders>
              <w:bottom w:val="single" w:sz="6" w:space="0" w:color="auto"/>
            </w:tcBorders>
            <w:tcMar>
              <w:top w:w="0" w:type="dxa"/>
              <w:left w:w="108" w:type="dxa"/>
              <w:bottom w:w="0" w:type="dxa"/>
              <w:right w:w="108" w:type="dxa"/>
            </w:tcMar>
            <w:vAlign w:val="center"/>
            <w:hideMark/>
          </w:tcPr>
          <w:p w14:paraId="7B470611" w14:textId="77777777" w:rsidR="00EB3557" w:rsidRPr="00C250BE" w:rsidRDefault="00EB3557" w:rsidP="00EB3557">
            <w:pPr>
              <w:ind w:left="34" w:right="-62"/>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 xml:space="preserve">0.03 (0.00-0.21, p </w:t>
            </w:r>
            <w:r w:rsidRPr="00C250BE">
              <w:rPr>
                <w:rFonts w:ascii="Arial" w:eastAsia="Times New Roman" w:hAnsi="Arial"/>
                <w:b/>
                <w:bCs/>
                <w:iCs/>
                <w:color w:val="000000"/>
                <w:sz w:val="16"/>
                <w:szCs w:val="16"/>
                <w:lang w:eastAsia="it-IT"/>
              </w:rPr>
              <w:t>0.003</w:t>
            </w:r>
            <w:r w:rsidRPr="00C250BE">
              <w:rPr>
                <w:rFonts w:ascii="Arial" w:eastAsia="Times New Roman" w:hAnsi="Arial"/>
                <w:b/>
                <w:iCs/>
                <w:color w:val="000000"/>
                <w:sz w:val="16"/>
                <w:szCs w:val="16"/>
                <w:lang w:eastAsia="it-IT"/>
              </w:rPr>
              <w:t>)  </w:t>
            </w:r>
          </w:p>
        </w:tc>
      </w:tr>
      <w:tr w:rsidR="00096284" w:rsidRPr="004D3E32" w14:paraId="1A5DF191" w14:textId="77777777" w:rsidTr="00F06B29">
        <w:trPr>
          <w:trHeight w:val="516"/>
        </w:trPr>
        <w:tc>
          <w:tcPr>
            <w:tcW w:w="1326" w:type="pct"/>
            <w:tcBorders>
              <w:top w:val="single" w:sz="6" w:space="0" w:color="auto"/>
              <w:bottom w:val="single" w:sz="6" w:space="0" w:color="auto"/>
            </w:tcBorders>
            <w:tcMar>
              <w:top w:w="0" w:type="dxa"/>
              <w:left w:w="108" w:type="dxa"/>
              <w:bottom w:w="0" w:type="dxa"/>
              <w:right w:w="108" w:type="dxa"/>
            </w:tcMar>
            <w:vAlign w:val="center"/>
            <w:hideMark/>
          </w:tcPr>
          <w:p w14:paraId="7264B0DD" w14:textId="38E94ACA"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IV-TCZ </w:t>
            </w:r>
            <w:r w:rsidR="00096284" w:rsidRPr="004D3E32">
              <w:rPr>
                <w:rFonts w:ascii="Arial" w:eastAsia="Times New Roman" w:hAnsi="Arial"/>
                <w:color w:val="000000"/>
                <w:sz w:val="16"/>
                <w:szCs w:val="16"/>
                <w:lang w:eastAsia="it-IT"/>
              </w:rPr>
              <w:t xml:space="preserve">therapy duration </w:t>
            </w:r>
            <w:r w:rsidRPr="004D3E32">
              <w:rPr>
                <w:rFonts w:ascii="Arial" w:eastAsia="Times New Roman" w:hAnsi="Arial"/>
                <w:color w:val="000000"/>
                <w:sz w:val="16"/>
                <w:szCs w:val="16"/>
                <w:lang w:eastAsia="it-IT"/>
              </w:rPr>
              <w:t>(</w:t>
            </w:r>
            <w:r w:rsidR="00096284" w:rsidRPr="004D3E32">
              <w:rPr>
                <w:rFonts w:ascii="Arial" w:eastAsia="Times New Roman" w:hAnsi="Arial"/>
                <w:color w:val="000000"/>
                <w:sz w:val="16"/>
                <w:szCs w:val="16"/>
                <w:lang w:eastAsia="it-IT"/>
              </w:rPr>
              <w:t>months</w:t>
            </w:r>
            <w:r w:rsidRPr="004D3E32">
              <w:rPr>
                <w:rFonts w:ascii="Arial" w:eastAsia="Times New Roman" w:hAnsi="Arial"/>
                <w:color w:val="000000"/>
                <w:sz w:val="16"/>
                <w:szCs w:val="16"/>
                <w:lang w:eastAsia="it-IT"/>
              </w:rPr>
              <w:t>)</w:t>
            </w:r>
          </w:p>
        </w:tc>
        <w:tc>
          <w:tcPr>
            <w:tcW w:w="1110" w:type="pct"/>
            <w:tcBorders>
              <w:top w:val="single" w:sz="6" w:space="0" w:color="auto"/>
              <w:bottom w:val="single" w:sz="6" w:space="0" w:color="auto"/>
            </w:tcBorders>
            <w:tcMar>
              <w:top w:w="0" w:type="dxa"/>
              <w:left w:w="108" w:type="dxa"/>
              <w:bottom w:w="0" w:type="dxa"/>
              <w:right w:w="108" w:type="dxa"/>
            </w:tcMar>
            <w:vAlign w:val="center"/>
            <w:hideMark/>
          </w:tcPr>
          <w:p w14:paraId="1BE1F743" w14:textId="4F55B967" w:rsidR="00EB3557" w:rsidRPr="00DC073C" w:rsidRDefault="00F06B29"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mean (SD)</w:t>
            </w:r>
          </w:p>
        </w:tc>
        <w:tc>
          <w:tcPr>
            <w:tcW w:w="627" w:type="pct"/>
            <w:tcBorders>
              <w:top w:val="single" w:sz="6" w:space="0" w:color="auto"/>
              <w:bottom w:val="single" w:sz="6" w:space="0" w:color="auto"/>
            </w:tcBorders>
            <w:tcMar>
              <w:top w:w="0" w:type="dxa"/>
              <w:left w:w="108" w:type="dxa"/>
              <w:bottom w:w="0" w:type="dxa"/>
              <w:right w:w="108" w:type="dxa"/>
            </w:tcMar>
            <w:vAlign w:val="center"/>
            <w:hideMark/>
          </w:tcPr>
          <w:p w14:paraId="46D78B3F"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63.0 (49.6)</w:t>
            </w:r>
          </w:p>
        </w:tc>
        <w:tc>
          <w:tcPr>
            <w:tcW w:w="601" w:type="pct"/>
            <w:tcBorders>
              <w:top w:val="single" w:sz="6" w:space="0" w:color="auto"/>
              <w:bottom w:val="single" w:sz="6" w:space="0" w:color="auto"/>
            </w:tcBorders>
            <w:tcMar>
              <w:top w:w="0" w:type="dxa"/>
              <w:left w:w="108" w:type="dxa"/>
              <w:bottom w:w="0" w:type="dxa"/>
              <w:right w:w="108" w:type="dxa"/>
            </w:tcMar>
            <w:vAlign w:val="center"/>
            <w:hideMark/>
          </w:tcPr>
          <w:p w14:paraId="5605DBC8"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59.5 (44.0)</w:t>
            </w:r>
          </w:p>
        </w:tc>
        <w:tc>
          <w:tcPr>
            <w:tcW w:w="1336" w:type="pct"/>
            <w:tcBorders>
              <w:top w:val="single" w:sz="6" w:space="0" w:color="auto"/>
              <w:bottom w:val="single" w:sz="6" w:space="0" w:color="auto"/>
            </w:tcBorders>
            <w:tcMar>
              <w:top w:w="0" w:type="dxa"/>
              <w:left w:w="108" w:type="dxa"/>
              <w:bottom w:w="0" w:type="dxa"/>
              <w:right w:w="108" w:type="dxa"/>
            </w:tcMar>
            <w:vAlign w:val="center"/>
            <w:hideMark/>
          </w:tcPr>
          <w:p w14:paraId="39CD7713"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1.00 (0.98-1.01, p 0.832)  </w:t>
            </w:r>
          </w:p>
        </w:tc>
      </w:tr>
      <w:tr w:rsidR="00EB3557" w:rsidRPr="004D3E32" w14:paraId="6F485191" w14:textId="77777777" w:rsidTr="00F06B29">
        <w:trPr>
          <w:trHeight w:val="397"/>
        </w:trPr>
        <w:tc>
          <w:tcPr>
            <w:tcW w:w="1326" w:type="pct"/>
            <w:tcBorders>
              <w:top w:val="single" w:sz="6" w:space="0" w:color="auto"/>
              <w:bottom w:val="single" w:sz="6" w:space="0" w:color="auto"/>
            </w:tcBorders>
            <w:tcMar>
              <w:top w:w="0" w:type="dxa"/>
              <w:left w:w="108" w:type="dxa"/>
              <w:bottom w:w="0" w:type="dxa"/>
              <w:right w:w="108" w:type="dxa"/>
            </w:tcMar>
            <w:vAlign w:val="center"/>
            <w:hideMark/>
          </w:tcPr>
          <w:p w14:paraId="2108FD1A" w14:textId="67A1F658" w:rsidR="00EB3557" w:rsidRPr="004D3E32" w:rsidRDefault="00EB3557" w:rsidP="00EB3557">
            <w:pPr>
              <w:ind w:left="34" w:right="-62"/>
              <w:rPr>
                <w:rFonts w:ascii="Arial" w:eastAsia="Times New Roman" w:hAnsi="Arial"/>
                <w:sz w:val="16"/>
                <w:szCs w:val="16"/>
                <w:lang w:val="it-IT" w:eastAsia="it-IT"/>
              </w:rPr>
            </w:pPr>
            <w:r w:rsidRPr="004D3E32">
              <w:rPr>
                <w:rFonts w:ascii="Arial" w:eastAsia="Times New Roman" w:hAnsi="Arial"/>
                <w:color w:val="000000"/>
                <w:sz w:val="16"/>
                <w:szCs w:val="16"/>
                <w:lang w:val="it-IT" w:eastAsia="it-IT"/>
              </w:rPr>
              <w:t xml:space="preserve">IV-TCZ </w:t>
            </w:r>
            <w:r w:rsidR="00096284" w:rsidRPr="004D3E32">
              <w:rPr>
                <w:rFonts w:ascii="Arial" w:eastAsia="Times New Roman" w:hAnsi="Arial"/>
                <w:color w:val="000000"/>
                <w:sz w:val="16"/>
                <w:szCs w:val="16"/>
                <w:lang w:val="it-IT" w:eastAsia="it-IT"/>
              </w:rPr>
              <w:t xml:space="preserve">dose </w:t>
            </w:r>
            <w:r w:rsidRPr="004D3E32">
              <w:rPr>
                <w:rFonts w:ascii="Arial" w:eastAsia="Times New Roman" w:hAnsi="Arial"/>
                <w:color w:val="000000"/>
                <w:sz w:val="16"/>
                <w:szCs w:val="16"/>
                <w:lang w:val="it-IT" w:eastAsia="it-IT"/>
              </w:rPr>
              <w:t>(mg/kg)</w:t>
            </w:r>
          </w:p>
        </w:tc>
        <w:tc>
          <w:tcPr>
            <w:tcW w:w="1110" w:type="pct"/>
            <w:tcBorders>
              <w:top w:val="single" w:sz="6" w:space="0" w:color="auto"/>
              <w:bottom w:val="single" w:sz="6" w:space="0" w:color="auto"/>
            </w:tcBorders>
            <w:tcMar>
              <w:top w:w="0" w:type="dxa"/>
              <w:left w:w="108" w:type="dxa"/>
              <w:bottom w:w="0" w:type="dxa"/>
              <w:right w:w="108" w:type="dxa"/>
            </w:tcMar>
            <w:vAlign w:val="center"/>
            <w:hideMark/>
          </w:tcPr>
          <w:p w14:paraId="70E2957A" w14:textId="44231402" w:rsidR="00EB3557" w:rsidRPr="00DC073C" w:rsidRDefault="00F06B29"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mean (SD)</w:t>
            </w:r>
          </w:p>
        </w:tc>
        <w:tc>
          <w:tcPr>
            <w:tcW w:w="627" w:type="pct"/>
            <w:tcBorders>
              <w:top w:val="single" w:sz="6" w:space="0" w:color="auto"/>
              <w:bottom w:val="single" w:sz="6" w:space="0" w:color="auto"/>
            </w:tcBorders>
            <w:tcMar>
              <w:top w:w="0" w:type="dxa"/>
              <w:left w:w="108" w:type="dxa"/>
              <w:bottom w:w="0" w:type="dxa"/>
              <w:right w:w="108" w:type="dxa"/>
            </w:tcMar>
            <w:vAlign w:val="center"/>
            <w:hideMark/>
          </w:tcPr>
          <w:p w14:paraId="3F8D4AA7"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8.1 (0.3)</w:t>
            </w:r>
          </w:p>
        </w:tc>
        <w:tc>
          <w:tcPr>
            <w:tcW w:w="601" w:type="pct"/>
            <w:tcBorders>
              <w:top w:val="single" w:sz="6" w:space="0" w:color="auto"/>
              <w:bottom w:val="single" w:sz="6" w:space="0" w:color="auto"/>
            </w:tcBorders>
            <w:tcMar>
              <w:top w:w="0" w:type="dxa"/>
              <w:left w:w="108" w:type="dxa"/>
              <w:bottom w:w="0" w:type="dxa"/>
              <w:right w:w="108" w:type="dxa"/>
            </w:tcMar>
            <w:vAlign w:val="center"/>
            <w:hideMark/>
          </w:tcPr>
          <w:p w14:paraId="2A75C0B6"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7.4 (1.1)</w:t>
            </w:r>
          </w:p>
        </w:tc>
        <w:tc>
          <w:tcPr>
            <w:tcW w:w="1336" w:type="pct"/>
            <w:tcBorders>
              <w:top w:val="single" w:sz="6" w:space="0" w:color="auto"/>
              <w:bottom w:val="single" w:sz="6" w:space="0" w:color="auto"/>
            </w:tcBorders>
            <w:tcMar>
              <w:top w:w="0" w:type="dxa"/>
              <w:left w:w="108" w:type="dxa"/>
              <w:bottom w:w="0" w:type="dxa"/>
              <w:right w:w="108" w:type="dxa"/>
            </w:tcMar>
            <w:vAlign w:val="center"/>
            <w:hideMark/>
          </w:tcPr>
          <w:p w14:paraId="026ECA02"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0.16 (0.01-0.73, p 0.064)  </w:t>
            </w:r>
          </w:p>
        </w:tc>
      </w:tr>
      <w:tr w:rsidR="00096284" w:rsidRPr="004D3E32" w14:paraId="0C375AB0"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446E1346" w14:textId="45B009A2"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Concomitant </w:t>
            </w:r>
            <w:proofErr w:type="spellStart"/>
            <w:r w:rsidR="00EB3557" w:rsidRPr="004D3E32">
              <w:rPr>
                <w:rFonts w:ascii="Arial" w:eastAsia="Times New Roman" w:hAnsi="Arial"/>
                <w:color w:val="000000"/>
                <w:sz w:val="16"/>
                <w:szCs w:val="16"/>
                <w:lang w:eastAsia="it-IT"/>
              </w:rPr>
              <w:t>csDMARD</w:t>
            </w:r>
            <w:proofErr w:type="spellEnd"/>
            <w:r w:rsidR="00EB3557" w:rsidRPr="004D3E32">
              <w:rPr>
                <w:rFonts w:ascii="Arial" w:eastAsia="Times New Roman" w:hAnsi="Arial"/>
                <w:color w:val="000000"/>
                <w:sz w:val="16"/>
                <w:szCs w:val="16"/>
                <w:lang w:eastAsia="it-IT"/>
              </w:rPr>
              <w:t>, n (%)</w:t>
            </w:r>
          </w:p>
        </w:tc>
        <w:tc>
          <w:tcPr>
            <w:tcW w:w="1110" w:type="pct"/>
            <w:tcBorders>
              <w:top w:val="single" w:sz="6" w:space="0" w:color="auto"/>
            </w:tcBorders>
            <w:tcMar>
              <w:top w:w="0" w:type="dxa"/>
              <w:left w:w="108" w:type="dxa"/>
              <w:bottom w:w="0" w:type="dxa"/>
              <w:right w:w="108" w:type="dxa"/>
            </w:tcMar>
            <w:vAlign w:val="center"/>
            <w:hideMark/>
          </w:tcPr>
          <w:p w14:paraId="4DE64F0D"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177391C6"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11 (50.0)</w:t>
            </w:r>
          </w:p>
        </w:tc>
        <w:tc>
          <w:tcPr>
            <w:tcW w:w="601" w:type="pct"/>
            <w:tcBorders>
              <w:top w:val="single" w:sz="6" w:space="0" w:color="auto"/>
            </w:tcBorders>
            <w:tcMar>
              <w:top w:w="0" w:type="dxa"/>
              <w:left w:w="108" w:type="dxa"/>
              <w:bottom w:w="0" w:type="dxa"/>
              <w:right w:w="108" w:type="dxa"/>
            </w:tcMar>
            <w:vAlign w:val="center"/>
            <w:hideMark/>
          </w:tcPr>
          <w:p w14:paraId="47AC098F"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11 (50.0)</w:t>
            </w:r>
          </w:p>
        </w:tc>
        <w:tc>
          <w:tcPr>
            <w:tcW w:w="1336" w:type="pct"/>
            <w:tcBorders>
              <w:top w:val="single" w:sz="6" w:space="0" w:color="auto"/>
            </w:tcBorders>
            <w:tcMar>
              <w:top w:w="0" w:type="dxa"/>
              <w:left w:w="108" w:type="dxa"/>
              <w:bottom w:w="0" w:type="dxa"/>
              <w:right w:w="108" w:type="dxa"/>
            </w:tcMar>
            <w:vAlign w:val="center"/>
            <w:hideMark/>
          </w:tcPr>
          <w:p w14:paraId="2DF7885E"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                          </w:t>
            </w:r>
          </w:p>
        </w:tc>
      </w:tr>
      <w:tr w:rsidR="00096284" w:rsidRPr="004D3E32" w14:paraId="76143583"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429ED1ED"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61E84F95" w14:textId="420CD43E" w:rsidR="00EB3557" w:rsidRPr="00DC073C" w:rsidRDefault="00F06B29"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2841E2D8"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2 (25.0)</w:t>
            </w:r>
          </w:p>
        </w:tc>
        <w:tc>
          <w:tcPr>
            <w:tcW w:w="601" w:type="pct"/>
            <w:tcBorders>
              <w:bottom w:val="single" w:sz="6" w:space="0" w:color="auto"/>
            </w:tcBorders>
            <w:tcMar>
              <w:top w:w="0" w:type="dxa"/>
              <w:left w:w="108" w:type="dxa"/>
              <w:bottom w:w="0" w:type="dxa"/>
              <w:right w:w="108" w:type="dxa"/>
            </w:tcMar>
            <w:vAlign w:val="center"/>
            <w:hideMark/>
          </w:tcPr>
          <w:p w14:paraId="02A83889"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6 (75.0)</w:t>
            </w:r>
          </w:p>
        </w:tc>
        <w:tc>
          <w:tcPr>
            <w:tcW w:w="1336" w:type="pct"/>
            <w:tcBorders>
              <w:bottom w:val="single" w:sz="6" w:space="0" w:color="auto"/>
            </w:tcBorders>
            <w:tcMar>
              <w:top w:w="0" w:type="dxa"/>
              <w:left w:w="108" w:type="dxa"/>
              <w:bottom w:w="0" w:type="dxa"/>
              <w:right w:w="108" w:type="dxa"/>
            </w:tcMar>
            <w:vAlign w:val="center"/>
            <w:hideMark/>
          </w:tcPr>
          <w:p w14:paraId="0A8D9EDD"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3.00 (0.55-23.69, p 0.233) </w:t>
            </w:r>
          </w:p>
        </w:tc>
      </w:tr>
      <w:tr w:rsidR="00EB3557" w:rsidRPr="004D3E32" w14:paraId="5384CB2E" w14:textId="77777777" w:rsidTr="00F06B29">
        <w:trPr>
          <w:trHeight w:val="397"/>
        </w:trPr>
        <w:tc>
          <w:tcPr>
            <w:tcW w:w="1326" w:type="pct"/>
            <w:vMerge w:val="restart"/>
            <w:tcBorders>
              <w:top w:val="single" w:sz="6" w:space="0" w:color="auto"/>
            </w:tcBorders>
            <w:tcMar>
              <w:top w:w="0" w:type="dxa"/>
              <w:left w:w="108" w:type="dxa"/>
              <w:bottom w:w="0" w:type="dxa"/>
              <w:right w:w="108" w:type="dxa"/>
            </w:tcMar>
            <w:vAlign w:val="center"/>
            <w:hideMark/>
          </w:tcPr>
          <w:p w14:paraId="0055E064" w14:textId="4EC01CA9"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Concomitant </w:t>
            </w:r>
            <w:r w:rsidR="00EB3557" w:rsidRPr="004D3E32">
              <w:rPr>
                <w:rFonts w:ascii="Arial" w:eastAsia="Times New Roman" w:hAnsi="Arial"/>
                <w:color w:val="000000"/>
                <w:sz w:val="16"/>
                <w:szCs w:val="16"/>
                <w:lang w:eastAsia="it-IT"/>
              </w:rPr>
              <w:t>GC, n (%)</w:t>
            </w:r>
          </w:p>
        </w:tc>
        <w:tc>
          <w:tcPr>
            <w:tcW w:w="1110" w:type="pct"/>
            <w:tcBorders>
              <w:top w:val="single" w:sz="6" w:space="0" w:color="auto"/>
            </w:tcBorders>
            <w:tcMar>
              <w:top w:w="0" w:type="dxa"/>
              <w:left w:w="108" w:type="dxa"/>
              <w:bottom w:w="0" w:type="dxa"/>
              <w:right w:w="108" w:type="dxa"/>
            </w:tcMar>
            <w:vAlign w:val="center"/>
            <w:hideMark/>
          </w:tcPr>
          <w:p w14:paraId="798DFF9E"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No                   </w:t>
            </w:r>
          </w:p>
        </w:tc>
        <w:tc>
          <w:tcPr>
            <w:tcW w:w="627" w:type="pct"/>
            <w:tcBorders>
              <w:top w:val="single" w:sz="6" w:space="0" w:color="auto"/>
            </w:tcBorders>
            <w:tcMar>
              <w:top w:w="0" w:type="dxa"/>
              <w:left w:w="108" w:type="dxa"/>
              <w:bottom w:w="0" w:type="dxa"/>
              <w:right w:w="108" w:type="dxa"/>
            </w:tcMar>
            <w:vAlign w:val="center"/>
            <w:hideMark/>
          </w:tcPr>
          <w:p w14:paraId="57943F71"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5 (35.7)</w:t>
            </w:r>
          </w:p>
        </w:tc>
        <w:tc>
          <w:tcPr>
            <w:tcW w:w="601" w:type="pct"/>
            <w:tcBorders>
              <w:top w:val="single" w:sz="6" w:space="0" w:color="auto"/>
            </w:tcBorders>
            <w:tcMar>
              <w:top w:w="0" w:type="dxa"/>
              <w:left w:w="108" w:type="dxa"/>
              <w:bottom w:w="0" w:type="dxa"/>
              <w:right w:w="108" w:type="dxa"/>
            </w:tcMar>
            <w:vAlign w:val="center"/>
            <w:hideMark/>
          </w:tcPr>
          <w:p w14:paraId="6D52C19E"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9 (64.3)</w:t>
            </w:r>
          </w:p>
        </w:tc>
        <w:tc>
          <w:tcPr>
            <w:tcW w:w="1336" w:type="pct"/>
            <w:tcBorders>
              <w:top w:val="single" w:sz="6" w:space="0" w:color="auto"/>
            </w:tcBorders>
            <w:tcMar>
              <w:top w:w="0" w:type="dxa"/>
              <w:left w:w="108" w:type="dxa"/>
              <w:bottom w:w="0" w:type="dxa"/>
              <w:right w:w="108" w:type="dxa"/>
            </w:tcMar>
            <w:vAlign w:val="center"/>
            <w:hideMark/>
          </w:tcPr>
          <w:p w14:paraId="1ADAB600"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                          </w:t>
            </w:r>
          </w:p>
        </w:tc>
      </w:tr>
      <w:tr w:rsidR="00EB3557" w:rsidRPr="004D3E32" w14:paraId="67919055" w14:textId="77777777" w:rsidTr="00F06B29">
        <w:trPr>
          <w:trHeight w:val="397"/>
        </w:trPr>
        <w:tc>
          <w:tcPr>
            <w:tcW w:w="1326" w:type="pct"/>
            <w:vMerge/>
            <w:tcBorders>
              <w:bottom w:val="single" w:sz="6" w:space="0" w:color="auto"/>
            </w:tcBorders>
            <w:tcMar>
              <w:top w:w="0" w:type="dxa"/>
              <w:left w:w="108" w:type="dxa"/>
              <w:bottom w:w="0" w:type="dxa"/>
              <w:right w:w="108" w:type="dxa"/>
            </w:tcMar>
            <w:vAlign w:val="center"/>
            <w:hideMark/>
          </w:tcPr>
          <w:p w14:paraId="287391DB" w14:textId="77777777" w:rsidR="00EB3557" w:rsidRPr="004D3E32" w:rsidRDefault="00EB3557" w:rsidP="00EB3557">
            <w:pPr>
              <w:ind w:left="34" w:right="-62"/>
              <w:rPr>
                <w:rFonts w:ascii="Arial" w:eastAsia="Times New Roman" w:hAnsi="Arial"/>
                <w:sz w:val="16"/>
                <w:szCs w:val="16"/>
                <w:lang w:eastAsia="it-IT"/>
              </w:rPr>
            </w:pPr>
          </w:p>
        </w:tc>
        <w:tc>
          <w:tcPr>
            <w:tcW w:w="1110" w:type="pct"/>
            <w:tcBorders>
              <w:bottom w:val="single" w:sz="6" w:space="0" w:color="auto"/>
            </w:tcBorders>
            <w:tcMar>
              <w:top w:w="0" w:type="dxa"/>
              <w:left w:w="108" w:type="dxa"/>
              <w:bottom w:w="0" w:type="dxa"/>
              <w:right w:w="108" w:type="dxa"/>
            </w:tcMar>
            <w:vAlign w:val="center"/>
            <w:hideMark/>
          </w:tcPr>
          <w:p w14:paraId="74AF58D8" w14:textId="3E504FB9" w:rsidR="00EB3557" w:rsidRPr="00DC073C" w:rsidRDefault="00F06B29"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Yes</w:t>
            </w:r>
          </w:p>
        </w:tc>
        <w:tc>
          <w:tcPr>
            <w:tcW w:w="627" w:type="pct"/>
            <w:tcBorders>
              <w:bottom w:val="single" w:sz="6" w:space="0" w:color="auto"/>
            </w:tcBorders>
            <w:tcMar>
              <w:top w:w="0" w:type="dxa"/>
              <w:left w:w="108" w:type="dxa"/>
              <w:bottom w:w="0" w:type="dxa"/>
              <w:right w:w="108" w:type="dxa"/>
            </w:tcMar>
            <w:vAlign w:val="center"/>
            <w:hideMark/>
          </w:tcPr>
          <w:p w14:paraId="05F051F4"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8 (50.0)</w:t>
            </w:r>
          </w:p>
        </w:tc>
        <w:tc>
          <w:tcPr>
            <w:tcW w:w="601" w:type="pct"/>
            <w:tcBorders>
              <w:bottom w:val="single" w:sz="6" w:space="0" w:color="auto"/>
            </w:tcBorders>
            <w:tcMar>
              <w:top w:w="0" w:type="dxa"/>
              <w:left w:w="108" w:type="dxa"/>
              <w:bottom w:w="0" w:type="dxa"/>
              <w:right w:w="108" w:type="dxa"/>
            </w:tcMar>
            <w:vAlign w:val="center"/>
            <w:hideMark/>
          </w:tcPr>
          <w:p w14:paraId="6F84BE4D"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8 (50.0)</w:t>
            </w:r>
          </w:p>
        </w:tc>
        <w:tc>
          <w:tcPr>
            <w:tcW w:w="1336" w:type="pct"/>
            <w:tcBorders>
              <w:bottom w:val="single" w:sz="6" w:space="0" w:color="auto"/>
            </w:tcBorders>
            <w:tcMar>
              <w:top w:w="0" w:type="dxa"/>
              <w:left w:w="108" w:type="dxa"/>
              <w:bottom w:w="0" w:type="dxa"/>
              <w:right w:w="108" w:type="dxa"/>
            </w:tcMar>
            <w:vAlign w:val="center"/>
            <w:hideMark/>
          </w:tcPr>
          <w:p w14:paraId="528586CF"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0.56 (0.12-2.38, p 0.433)  </w:t>
            </w:r>
          </w:p>
        </w:tc>
      </w:tr>
      <w:tr w:rsidR="00096284" w:rsidRPr="004D3E32" w14:paraId="7164F52A" w14:textId="77777777" w:rsidTr="00F06B29">
        <w:trPr>
          <w:trHeight w:val="397"/>
        </w:trPr>
        <w:tc>
          <w:tcPr>
            <w:tcW w:w="1326" w:type="pct"/>
            <w:tcBorders>
              <w:top w:val="single" w:sz="6" w:space="0" w:color="auto"/>
            </w:tcBorders>
            <w:tcMar>
              <w:top w:w="0" w:type="dxa"/>
              <w:left w:w="108" w:type="dxa"/>
              <w:bottom w:w="0" w:type="dxa"/>
              <w:right w:w="108" w:type="dxa"/>
            </w:tcMar>
            <w:vAlign w:val="center"/>
            <w:hideMark/>
          </w:tcPr>
          <w:p w14:paraId="565B049D" w14:textId="5A5A0B7D"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T0 </w:t>
            </w:r>
            <w:r w:rsidR="00EB3557" w:rsidRPr="004D3E32">
              <w:rPr>
                <w:rFonts w:ascii="Arial" w:eastAsia="Times New Roman" w:hAnsi="Arial"/>
                <w:color w:val="000000"/>
                <w:sz w:val="16"/>
                <w:szCs w:val="16"/>
                <w:lang w:eastAsia="it-IT"/>
              </w:rPr>
              <w:t xml:space="preserve">DAS28 </w:t>
            </w:r>
          </w:p>
        </w:tc>
        <w:tc>
          <w:tcPr>
            <w:tcW w:w="1110" w:type="pct"/>
            <w:tcBorders>
              <w:top w:val="single" w:sz="6" w:space="0" w:color="auto"/>
            </w:tcBorders>
            <w:tcMar>
              <w:top w:w="0" w:type="dxa"/>
              <w:left w:w="108" w:type="dxa"/>
              <w:bottom w:w="0" w:type="dxa"/>
              <w:right w:w="108" w:type="dxa"/>
            </w:tcMar>
            <w:vAlign w:val="center"/>
            <w:hideMark/>
          </w:tcPr>
          <w:p w14:paraId="7CCCDEE9" w14:textId="358B3AF3" w:rsidR="00EB3557" w:rsidRPr="00DC073C" w:rsidRDefault="00F06B29"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mean (SD)</w:t>
            </w:r>
          </w:p>
        </w:tc>
        <w:tc>
          <w:tcPr>
            <w:tcW w:w="627" w:type="pct"/>
            <w:tcBorders>
              <w:top w:val="single" w:sz="6" w:space="0" w:color="auto"/>
            </w:tcBorders>
            <w:tcMar>
              <w:top w:w="0" w:type="dxa"/>
              <w:left w:w="108" w:type="dxa"/>
              <w:bottom w:w="0" w:type="dxa"/>
              <w:right w:w="108" w:type="dxa"/>
            </w:tcMar>
            <w:vAlign w:val="center"/>
            <w:hideMark/>
          </w:tcPr>
          <w:p w14:paraId="5A9095B7"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1.6 (1.4)</w:t>
            </w:r>
          </w:p>
        </w:tc>
        <w:tc>
          <w:tcPr>
            <w:tcW w:w="601" w:type="pct"/>
            <w:tcBorders>
              <w:top w:val="single" w:sz="6" w:space="0" w:color="auto"/>
            </w:tcBorders>
            <w:tcMar>
              <w:top w:w="0" w:type="dxa"/>
              <w:left w:w="108" w:type="dxa"/>
              <w:bottom w:w="0" w:type="dxa"/>
              <w:right w:w="108" w:type="dxa"/>
            </w:tcMar>
            <w:vAlign w:val="center"/>
            <w:hideMark/>
          </w:tcPr>
          <w:p w14:paraId="77CC7E18" w14:textId="77777777" w:rsidR="00EB3557" w:rsidRPr="00DC073C" w:rsidRDefault="00EB3557" w:rsidP="00EB3557">
            <w:pPr>
              <w:ind w:left="34" w:right="-62"/>
              <w:jc w:val="center"/>
              <w:rPr>
                <w:rFonts w:ascii="Arial" w:eastAsia="Times New Roman" w:hAnsi="Arial"/>
                <w:iCs/>
                <w:sz w:val="16"/>
                <w:szCs w:val="16"/>
                <w:lang w:eastAsia="it-IT"/>
              </w:rPr>
            </w:pPr>
            <w:r w:rsidRPr="00DC073C">
              <w:rPr>
                <w:rFonts w:ascii="Arial" w:eastAsia="Times New Roman" w:hAnsi="Arial"/>
                <w:iCs/>
                <w:color w:val="000000"/>
                <w:sz w:val="16"/>
                <w:szCs w:val="16"/>
                <w:lang w:eastAsia="it-IT"/>
              </w:rPr>
              <w:t>2.3 (1.1)</w:t>
            </w:r>
          </w:p>
        </w:tc>
        <w:tc>
          <w:tcPr>
            <w:tcW w:w="1336" w:type="pct"/>
            <w:tcBorders>
              <w:top w:val="single" w:sz="6" w:space="0" w:color="auto"/>
            </w:tcBorders>
            <w:tcMar>
              <w:top w:w="0" w:type="dxa"/>
              <w:left w:w="108" w:type="dxa"/>
              <w:bottom w:w="0" w:type="dxa"/>
              <w:right w:w="108" w:type="dxa"/>
            </w:tcMar>
            <w:vAlign w:val="center"/>
            <w:hideMark/>
          </w:tcPr>
          <w:p w14:paraId="7B0E5F24" w14:textId="77777777" w:rsidR="00EB3557" w:rsidRPr="00DC073C" w:rsidRDefault="00EB3557" w:rsidP="00EB3557">
            <w:pPr>
              <w:ind w:left="34" w:right="-62"/>
              <w:rPr>
                <w:rFonts w:ascii="Arial" w:eastAsia="Times New Roman" w:hAnsi="Arial"/>
                <w:iCs/>
                <w:sz w:val="16"/>
                <w:szCs w:val="16"/>
                <w:lang w:eastAsia="it-IT"/>
              </w:rPr>
            </w:pPr>
            <w:r w:rsidRPr="00DC073C">
              <w:rPr>
                <w:rFonts w:ascii="Arial" w:eastAsia="Times New Roman" w:hAnsi="Arial"/>
                <w:iCs/>
                <w:color w:val="000000"/>
                <w:sz w:val="16"/>
                <w:szCs w:val="16"/>
                <w:lang w:eastAsia="it-IT"/>
              </w:rPr>
              <w:t>1.62 (0.88-3.35, p 0.145)  </w:t>
            </w:r>
          </w:p>
        </w:tc>
      </w:tr>
      <w:tr w:rsidR="00096284" w:rsidRPr="004D3E32" w14:paraId="49C86C1E" w14:textId="77777777" w:rsidTr="00096284">
        <w:trPr>
          <w:trHeight w:val="397"/>
        </w:trPr>
        <w:tc>
          <w:tcPr>
            <w:tcW w:w="1326" w:type="pct"/>
            <w:tcMar>
              <w:top w:w="0" w:type="dxa"/>
              <w:left w:w="108" w:type="dxa"/>
              <w:bottom w:w="0" w:type="dxa"/>
              <w:right w:w="108" w:type="dxa"/>
            </w:tcMar>
            <w:vAlign w:val="center"/>
            <w:hideMark/>
          </w:tcPr>
          <w:p w14:paraId="491E4DA9" w14:textId="6F4DEDCC" w:rsidR="00EB3557" w:rsidRPr="00C250BE" w:rsidRDefault="00096284" w:rsidP="00EB3557">
            <w:pPr>
              <w:ind w:left="34" w:right="-62"/>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 xml:space="preserve">T0 </w:t>
            </w:r>
            <w:r w:rsidR="00EB3557" w:rsidRPr="00C250BE">
              <w:rPr>
                <w:rFonts w:ascii="Arial" w:eastAsia="Times New Roman" w:hAnsi="Arial"/>
                <w:b/>
                <w:iCs/>
                <w:color w:val="000000"/>
                <w:sz w:val="16"/>
                <w:szCs w:val="16"/>
                <w:lang w:eastAsia="it-IT"/>
              </w:rPr>
              <w:t>GH (NRS 0-100)</w:t>
            </w:r>
          </w:p>
        </w:tc>
        <w:tc>
          <w:tcPr>
            <w:tcW w:w="1110" w:type="pct"/>
            <w:tcMar>
              <w:top w:w="0" w:type="dxa"/>
              <w:left w:w="108" w:type="dxa"/>
              <w:bottom w:w="0" w:type="dxa"/>
              <w:right w:w="108" w:type="dxa"/>
            </w:tcMar>
            <w:vAlign w:val="center"/>
            <w:hideMark/>
          </w:tcPr>
          <w:p w14:paraId="2A961A8C" w14:textId="6A99BAF4" w:rsidR="00EB3557" w:rsidRPr="00C250BE" w:rsidRDefault="00F06B29" w:rsidP="00EB3557">
            <w:pPr>
              <w:ind w:left="34" w:right="-62"/>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mean (SD)</w:t>
            </w:r>
          </w:p>
        </w:tc>
        <w:tc>
          <w:tcPr>
            <w:tcW w:w="627" w:type="pct"/>
            <w:tcMar>
              <w:top w:w="0" w:type="dxa"/>
              <w:left w:w="108" w:type="dxa"/>
              <w:bottom w:w="0" w:type="dxa"/>
              <w:right w:w="108" w:type="dxa"/>
            </w:tcMar>
            <w:vAlign w:val="center"/>
            <w:hideMark/>
          </w:tcPr>
          <w:p w14:paraId="5B8531A4" w14:textId="77777777" w:rsidR="00EB3557" w:rsidRPr="00C250BE" w:rsidRDefault="00EB3557" w:rsidP="00EB3557">
            <w:pPr>
              <w:ind w:left="34" w:right="-62"/>
              <w:jc w:val="center"/>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25.4 (23.3)</w:t>
            </w:r>
          </w:p>
        </w:tc>
        <w:tc>
          <w:tcPr>
            <w:tcW w:w="601" w:type="pct"/>
            <w:tcMar>
              <w:top w:w="0" w:type="dxa"/>
              <w:left w:w="108" w:type="dxa"/>
              <w:bottom w:w="0" w:type="dxa"/>
              <w:right w:w="108" w:type="dxa"/>
            </w:tcMar>
            <w:vAlign w:val="center"/>
            <w:hideMark/>
          </w:tcPr>
          <w:p w14:paraId="1FCE570B" w14:textId="77777777" w:rsidR="00EB3557" w:rsidRPr="00C250BE" w:rsidRDefault="00EB3557" w:rsidP="00EB3557">
            <w:pPr>
              <w:ind w:left="34" w:right="-62"/>
              <w:jc w:val="center"/>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44.1 (19.1)</w:t>
            </w:r>
          </w:p>
        </w:tc>
        <w:tc>
          <w:tcPr>
            <w:tcW w:w="1336" w:type="pct"/>
            <w:tcMar>
              <w:top w:w="0" w:type="dxa"/>
              <w:left w:w="108" w:type="dxa"/>
              <w:bottom w:w="0" w:type="dxa"/>
              <w:right w:w="108" w:type="dxa"/>
            </w:tcMar>
            <w:vAlign w:val="center"/>
            <w:hideMark/>
          </w:tcPr>
          <w:p w14:paraId="49EDFB24" w14:textId="77777777" w:rsidR="00EB3557" w:rsidRPr="00C250BE" w:rsidRDefault="00EB3557" w:rsidP="00EB3557">
            <w:pPr>
              <w:ind w:left="34" w:right="-62"/>
              <w:rPr>
                <w:rFonts w:ascii="Arial" w:eastAsia="Times New Roman" w:hAnsi="Arial"/>
                <w:b/>
                <w:iCs/>
                <w:sz w:val="16"/>
                <w:szCs w:val="16"/>
                <w:lang w:eastAsia="it-IT"/>
              </w:rPr>
            </w:pPr>
            <w:r w:rsidRPr="00C250BE">
              <w:rPr>
                <w:rFonts w:ascii="Arial" w:eastAsia="Times New Roman" w:hAnsi="Arial"/>
                <w:b/>
                <w:iCs/>
                <w:color w:val="000000"/>
                <w:sz w:val="16"/>
                <w:szCs w:val="16"/>
                <w:lang w:eastAsia="it-IT"/>
              </w:rPr>
              <w:t xml:space="preserve">1.05 (1.01-1.10, p </w:t>
            </w:r>
            <w:r w:rsidRPr="00C250BE">
              <w:rPr>
                <w:rFonts w:ascii="Arial" w:eastAsia="Times New Roman" w:hAnsi="Arial"/>
                <w:b/>
                <w:bCs/>
                <w:iCs/>
                <w:color w:val="000000"/>
                <w:sz w:val="16"/>
                <w:szCs w:val="16"/>
                <w:lang w:eastAsia="it-IT"/>
              </w:rPr>
              <w:t>0.034</w:t>
            </w:r>
            <w:r w:rsidRPr="00C250BE">
              <w:rPr>
                <w:rFonts w:ascii="Arial" w:eastAsia="Times New Roman" w:hAnsi="Arial"/>
                <w:b/>
                <w:iCs/>
                <w:color w:val="000000"/>
                <w:sz w:val="16"/>
                <w:szCs w:val="16"/>
                <w:lang w:eastAsia="it-IT"/>
              </w:rPr>
              <w:t>)  </w:t>
            </w:r>
          </w:p>
        </w:tc>
      </w:tr>
      <w:tr w:rsidR="00096284" w:rsidRPr="004D3E32" w14:paraId="10E4D8F4" w14:textId="77777777" w:rsidTr="00096284">
        <w:trPr>
          <w:trHeight w:val="397"/>
        </w:trPr>
        <w:tc>
          <w:tcPr>
            <w:tcW w:w="1326" w:type="pct"/>
            <w:tcMar>
              <w:top w:w="0" w:type="dxa"/>
              <w:left w:w="108" w:type="dxa"/>
              <w:bottom w:w="0" w:type="dxa"/>
              <w:right w:w="108" w:type="dxa"/>
            </w:tcMar>
            <w:vAlign w:val="center"/>
            <w:hideMark/>
          </w:tcPr>
          <w:p w14:paraId="28E8A526" w14:textId="52CAB7FC"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T0 </w:t>
            </w:r>
            <w:r w:rsidR="00EB3557" w:rsidRPr="004D3E32">
              <w:rPr>
                <w:rFonts w:ascii="Arial" w:eastAsia="Times New Roman" w:hAnsi="Arial"/>
                <w:color w:val="000000"/>
                <w:sz w:val="16"/>
                <w:szCs w:val="16"/>
                <w:lang w:eastAsia="it-IT"/>
              </w:rPr>
              <w:t>TJ</w:t>
            </w:r>
            <w:r w:rsidRPr="004D3E32">
              <w:rPr>
                <w:rFonts w:ascii="Arial" w:eastAsia="Times New Roman" w:hAnsi="Arial"/>
                <w:color w:val="000000"/>
                <w:sz w:val="16"/>
                <w:szCs w:val="16"/>
                <w:lang w:eastAsia="it-IT"/>
              </w:rPr>
              <w:t>C</w:t>
            </w:r>
          </w:p>
        </w:tc>
        <w:tc>
          <w:tcPr>
            <w:tcW w:w="1110" w:type="pct"/>
            <w:tcMar>
              <w:top w:w="0" w:type="dxa"/>
              <w:left w:w="108" w:type="dxa"/>
              <w:bottom w:w="0" w:type="dxa"/>
              <w:right w:w="108" w:type="dxa"/>
            </w:tcMar>
            <w:vAlign w:val="center"/>
            <w:hideMark/>
          </w:tcPr>
          <w:p w14:paraId="00146C04" w14:textId="4E5A0CBA"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 (SD)</w:t>
            </w:r>
          </w:p>
        </w:tc>
        <w:tc>
          <w:tcPr>
            <w:tcW w:w="627" w:type="pct"/>
            <w:tcMar>
              <w:top w:w="0" w:type="dxa"/>
              <w:left w:w="108" w:type="dxa"/>
              <w:bottom w:w="0" w:type="dxa"/>
              <w:right w:w="108" w:type="dxa"/>
            </w:tcMar>
            <w:vAlign w:val="center"/>
            <w:hideMark/>
          </w:tcPr>
          <w:p w14:paraId="2A807453"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1.0 (2.3)</w:t>
            </w:r>
          </w:p>
        </w:tc>
        <w:tc>
          <w:tcPr>
            <w:tcW w:w="601" w:type="pct"/>
            <w:tcMar>
              <w:top w:w="0" w:type="dxa"/>
              <w:left w:w="108" w:type="dxa"/>
              <w:bottom w:w="0" w:type="dxa"/>
              <w:right w:w="108" w:type="dxa"/>
            </w:tcMar>
            <w:vAlign w:val="center"/>
            <w:hideMark/>
          </w:tcPr>
          <w:p w14:paraId="1CFB67B4"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1.5 (1.9)</w:t>
            </w:r>
          </w:p>
        </w:tc>
        <w:tc>
          <w:tcPr>
            <w:tcW w:w="1336" w:type="pct"/>
            <w:tcMar>
              <w:top w:w="0" w:type="dxa"/>
              <w:left w:w="108" w:type="dxa"/>
              <w:bottom w:w="0" w:type="dxa"/>
              <w:right w:w="108" w:type="dxa"/>
            </w:tcMar>
            <w:vAlign w:val="center"/>
            <w:hideMark/>
          </w:tcPr>
          <w:p w14:paraId="73C61371"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1.13 (0.78-1.75, p 0.531)  </w:t>
            </w:r>
          </w:p>
        </w:tc>
      </w:tr>
      <w:tr w:rsidR="00096284" w:rsidRPr="004D3E32" w14:paraId="73570D22" w14:textId="77777777" w:rsidTr="00096284">
        <w:trPr>
          <w:trHeight w:val="397"/>
        </w:trPr>
        <w:tc>
          <w:tcPr>
            <w:tcW w:w="1326" w:type="pct"/>
            <w:tcMar>
              <w:top w:w="0" w:type="dxa"/>
              <w:left w:w="108" w:type="dxa"/>
              <w:bottom w:w="0" w:type="dxa"/>
              <w:right w:w="108" w:type="dxa"/>
            </w:tcMar>
            <w:vAlign w:val="center"/>
            <w:hideMark/>
          </w:tcPr>
          <w:p w14:paraId="3663C8B5" w14:textId="46406D21"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T0</w:t>
            </w:r>
            <w:r w:rsidR="00EB3557" w:rsidRPr="004D3E32">
              <w:rPr>
                <w:rFonts w:ascii="Arial" w:eastAsia="Times New Roman" w:hAnsi="Arial"/>
                <w:color w:val="000000"/>
                <w:sz w:val="16"/>
                <w:szCs w:val="16"/>
                <w:lang w:eastAsia="it-IT"/>
              </w:rPr>
              <w:t xml:space="preserve"> SJ</w:t>
            </w:r>
            <w:r w:rsidRPr="004D3E32">
              <w:rPr>
                <w:rFonts w:ascii="Arial" w:eastAsia="Times New Roman" w:hAnsi="Arial"/>
                <w:color w:val="000000"/>
                <w:sz w:val="16"/>
                <w:szCs w:val="16"/>
                <w:lang w:eastAsia="it-IT"/>
              </w:rPr>
              <w:t>C</w:t>
            </w:r>
          </w:p>
        </w:tc>
        <w:tc>
          <w:tcPr>
            <w:tcW w:w="1110" w:type="pct"/>
            <w:tcMar>
              <w:top w:w="0" w:type="dxa"/>
              <w:left w:w="108" w:type="dxa"/>
              <w:bottom w:w="0" w:type="dxa"/>
              <w:right w:w="108" w:type="dxa"/>
            </w:tcMar>
            <w:vAlign w:val="center"/>
            <w:hideMark/>
          </w:tcPr>
          <w:p w14:paraId="2D1786D8" w14:textId="0BDBCA62"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 (SD)</w:t>
            </w:r>
          </w:p>
        </w:tc>
        <w:tc>
          <w:tcPr>
            <w:tcW w:w="627" w:type="pct"/>
            <w:tcMar>
              <w:top w:w="0" w:type="dxa"/>
              <w:left w:w="108" w:type="dxa"/>
              <w:bottom w:w="0" w:type="dxa"/>
              <w:right w:w="108" w:type="dxa"/>
            </w:tcMar>
            <w:vAlign w:val="center"/>
            <w:hideMark/>
          </w:tcPr>
          <w:p w14:paraId="7A9CE40F"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1.2 (2.2)</w:t>
            </w:r>
          </w:p>
        </w:tc>
        <w:tc>
          <w:tcPr>
            <w:tcW w:w="601" w:type="pct"/>
            <w:tcMar>
              <w:top w:w="0" w:type="dxa"/>
              <w:left w:w="108" w:type="dxa"/>
              <w:bottom w:w="0" w:type="dxa"/>
              <w:right w:w="108" w:type="dxa"/>
            </w:tcMar>
            <w:vAlign w:val="center"/>
            <w:hideMark/>
          </w:tcPr>
          <w:p w14:paraId="6FE5FA40"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0.8 (1.2)</w:t>
            </w:r>
          </w:p>
        </w:tc>
        <w:tc>
          <w:tcPr>
            <w:tcW w:w="1336" w:type="pct"/>
            <w:tcMar>
              <w:top w:w="0" w:type="dxa"/>
              <w:left w:w="108" w:type="dxa"/>
              <w:bottom w:w="0" w:type="dxa"/>
              <w:right w:w="108" w:type="dxa"/>
            </w:tcMar>
            <w:vAlign w:val="center"/>
            <w:hideMark/>
          </w:tcPr>
          <w:p w14:paraId="64BE4B2E"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0.89 (0.53-1.40, p 0.596)  </w:t>
            </w:r>
          </w:p>
        </w:tc>
      </w:tr>
      <w:tr w:rsidR="00096284" w:rsidRPr="004D3E32" w14:paraId="44FF7A15" w14:textId="77777777" w:rsidTr="00F06B29">
        <w:trPr>
          <w:trHeight w:val="397"/>
        </w:trPr>
        <w:tc>
          <w:tcPr>
            <w:tcW w:w="1326" w:type="pct"/>
            <w:tcBorders>
              <w:bottom w:val="single" w:sz="6" w:space="0" w:color="auto"/>
            </w:tcBorders>
            <w:tcMar>
              <w:top w:w="0" w:type="dxa"/>
              <w:left w:w="108" w:type="dxa"/>
              <w:bottom w:w="0" w:type="dxa"/>
              <w:right w:w="108" w:type="dxa"/>
            </w:tcMar>
            <w:vAlign w:val="center"/>
            <w:hideMark/>
          </w:tcPr>
          <w:p w14:paraId="6D9FC0FE" w14:textId="60D70B84" w:rsidR="00EB3557" w:rsidRPr="004D3E32" w:rsidRDefault="00096284"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 xml:space="preserve">T0 </w:t>
            </w:r>
            <w:r w:rsidR="00EB3557" w:rsidRPr="004D3E32">
              <w:rPr>
                <w:rFonts w:ascii="Arial" w:eastAsia="Times New Roman" w:hAnsi="Arial"/>
                <w:color w:val="000000"/>
                <w:sz w:val="16"/>
                <w:szCs w:val="16"/>
                <w:lang w:eastAsia="it-IT"/>
              </w:rPr>
              <w:t>ESR (mm/h)</w:t>
            </w:r>
          </w:p>
        </w:tc>
        <w:tc>
          <w:tcPr>
            <w:tcW w:w="1110" w:type="pct"/>
            <w:tcBorders>
              <w:bottom w:val="single" w:sz="6" w:space="0" w:color="auto"/>
            </w:tcBorders>
            <w:tcMar>
              <w:top w:w="0" w:type="dxa"/>
              <w:left w:w="108" w:type="dxa"/>
              <w:bottom w:w="0" w:type="dxa"/>
              <w:right w:w="108" w:type="dxa"/>
            </w:tcMar>
            <w:vAlign w:val="center"/>
            <w:hideMark/>
          </w:tcPr>
          <w:p w14:paraId="24BBC2FE" w14:textId="7E940378" w:rsidR="00EB3557" w:rsidRPr="004D3E32" w:rsidRDefault="00F06B29"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mean (SD)</w:t>
            </w:r>
          </w:p>
        </w:tc>
        <w:tc>
          <w:tcPr>
            <w:tcW w:w="627" w:type="pct"/>
            <w:tcBorders>
              <w:bottom w:val="single" w:sz="6" w:space="0" w:color="auto"/>
            </w:tcBorders>
            <w:tcMar>
              <w:top w:w="0" w:type="dxa"/>
              <w:left w:w="108" w:type="dxa"/>
              <w:bottom w:w="0" w:type="dxa"/>
              <w:right w:w="108" w:type="dxa"/>
            </w:tcMar>
            <w:vAlign w:val="center"/>
            <w:hideMark/>
          </w:tcPr>
          <w:p w14:paraId="52344158"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4.4 (5.0)</w:t>
            </w:r>
          </w:p>
        </w:tc>
        <w:tc>
          <w:tcPr>
            <w:tcW w:w="601" w:type="pct"/>
            <w:tcBorders>
              <w:bottom w:val="single" w:sz="6" w:space="0" w:color="auto"/>
            </w:tcBorders>
            <w:tcMar>
              <w:top w:w="0" w:type="dxa"/>
              <w:left w:w="108" w:type="dxa"/>
              <w:bottom w:w="0" w:type="dxa"/>
              <w:right w:w="108" w:type="dxa"/>
            </w:tcMar>
            <w:vAlign w:val="center"/>
            <w:hideMark/>
          </w:tcPr>
          <w:p w14:paraId="39BBBA37" w14:textId="77777777" w:rsidR="00EB3557" w:rsidRPr="004D3E32" w:rsidRDefault="00EB3557" w:rsidP="00EB3557">
            <w:pPr>
              <w:ind w:left="34" w:right="-62"/>
              <w:jc w:val="center"/>
              <w:rPr>
                <w:rFonts w:ascii="Arial" w:eastAsia="Times New Roman" w:hAnsi="Arial"/>
                <w:sz w:val="16"/>
                <w:szCs w:val="16"/>
                <w:lang w:eastAsia="it-IT"/>
              </w:rPr>
            </w:pPr>
            <w:r w:rsidRPr="004D3E32">
              <w:rPr>
                <w:rFonts w:ascii="Arial" w:eastAsia="Times New Roman" w:hAnsi="Arial"/>
                <w:color w:val="000000"/>
                <w:sz w:val="16"/>
                <w:szCs w:val="16"/>
                <w:lang w:eastAsia="it-IT"/>
              </w:rPr>
              <w:t>6.2 (6.0)</w:t>
            </w:r>
          </w:p>
        </w:tc>
        <w:tc>
          <w:tcPr>
            <w:tcW w:w="1336" w:type="pct"/>
            <w:tcBorders>
              <w:bottom w:val="single" w:sz="6" w:space="0" w:color="auto"/>
            </w:tcBorders>
            <w:tcMar>
              <w:top w:w="0" w:type="dxa"/>
              <w:left w:w="108" w:type="dxa"/>
              <w:bottom w:w="0" w:type="dxa"/>
              <w:right w:w="108" w:type="dxa"/>
            </w:tcMar>
            <w:vAlign w:val="center"/>
            <w:hideMark/>
          </w:tcPr>
          <w:p w14:paraId="71E3A35F" w14:textId="77777777" w:rsidR="00EB3557" w:rsidRPr="004D3E32" w:rsidRDefault="00EB3557" w:rsidP="00EB3557">
            <w:pPr>
              <w:ind w:left="34" w:right="-62"/>
              <w:rPr>
                <w:rFonts w:ascii="Arial" w:eastAsia="Times New Roman" w:hAnsi="Arial"/>
                <w:sz w:val="16"/>
                <w:szCs w:val="16"/>
                <w:lang w:eastAsia="it-IT"/>
              </w:rPr>
            </w:pPr>
            <w:r w:rsidRPr="004D3E32">
              <w:rPr>
                <w:rFonts w:ascii="Arial" w:eastAsia="Times New Roman" w:hAnsi="Arial"/>
                <w:color w:val="000000"/>
                <w:sz w:val="16"/>
                <w:szCs w:val="16"/>
                <w:lang w:eastAsia="it-IT"/>
              </w:rPr>
              <w:t>1.07 (0.93-1.30, p 0.389)  </w:t>
            </w:r>
          </w:p>
        </w:tc>
      </w:tr>
    </w:tbl>
    <w:p w14:paraId="472517CC" w14:textId="4887312F" w:rsidR="00C66B8C" w:rsidRPr="006C48F1" w:rsidRDefault="008C5464" w:rsidP="008C5464">
      <w:pPr>
        <w:spacing w:before="80" w:line="480" w:lineRule="auto"/>
        <w:jc w:val="both"/>
        <w:rPr>
          <w:rFonts w:ascii="Arial" w:hAnsi="Arial"/>
          <w:sz w:val="28"/>
          <w:szCs w:val="28"/>
        </w:rPr>
      </w:pPr>
      <w:r w:rsidRPr="006C48F1">
        <w:rPr>
          <w:rFonts w:ascii="Arial" w:eastAsia="Times New Roman" w:hAnsi="Arial"/>
          <w:sz w:val="18"/>
          <w:szCs w:val="18"/>
          <w:lang w:eastAsia="it-IT"/>
        </w:rPr>
        <w:lastRenderedPageBreak/>
        <w:t xml:space="preserve">Abbreviations: Anti-CCP; anti-cyclic citrullinated peptides; BMI: body mass index; DAS28: disease activity score on 28 joint; DMARD: disease modifying anti-rheumatic drug (b: biologic; cs: conventional synthetic); ESR: erythrocyte sedimentation rate; GC: glucocorticoid; GH: global health; IV: intravenous; NRS: numeric rating scale; OR: odds ratio; SC: subcutaneous; SD: standard deviation; SJ: swollen joint count; TCZ: tocilizumab; TJC: tender joint count. Bold text within a </w:t>
      </w:r>
      <w:proofErr w:type="gramStart"/>
      <w:r w:rsidRPr="006C48F1">
        <w:rPr>
          <w:rFonts w:ascii="Arial" w:eastAsia="Times New Roman" w:hAnsi="Arial"/>
          <w:sz w:val="18"/>
          <w:szCs w:val="18"/>
          <w:lang w:eastAsia="it-IT"/>
        </w:rPr>
        <w:t>row highlights</w:t>
      </w:r>
      <w:proofErr w:type="gramEnd"/>
      <w:r w:rsidRPr="006C48F1">
        <w:rPr>
          <w:rFonts w:ascii="Arial" w:eastAsia="Times New Roman" w:hAnsi="Arial"/>
          <w:sz w:val="18"/>
          <w:szCs w:val="18"/>
          <w:lang w:eastAsia="it-IT"/>
        </w:rPr>
        <w:t xml:space="preserve"> </w:t>
      </w:r>
      <w:proofErr w:type="gramStart"/>
      <w:r w:rsidRPr="006C48F1">
        <w:rPr>
          <w:rFonts w:ascii="Arial" w:eastAsia="Times New Roman" w:hAnsi="Arial"/>
          <w:sz w:val="18"/>
          <w:szCs w:val="18"/>
          <w:lang w:eastAsia="it-IT"/>
        </w:rPr>
        <w:t>statistically significant results</w:t>
      </w:r>
      <w:proofErr w:type="gramEnd"/>
      <w:r w:rsidRPr="006C48F1">
        <w:rPr>
          <w:rFonts w:ascii="Arial" w:eastAsia="Times New Roman" w:hAnsi="Arial"/>
          <w:sz w:val="18"/>
          <w:szCs w:val="18"/>
          <w:lang w:eastAsia="it-IT"/>
        </w:rPr>
        <w:t>.</w:t>
      </w:r>
    </w:p>
    <w:p w14:paraId="4537AF70" w14:textId="77777777" w:rsidR="001B42EB" w:rsidRDefault="001B42EB" w:rsidP="001B42EB">
      <w:pPr>
        <w:spacing w:line="480" w:lineRule="auto"/>
        <w:rPr>
          <w:rFonts w:ascii="Arial" w:hAnsi="Arial"/>
          <w:b/>
          <w:bCs/>
        </w:rPr>
      </w:pPr>
    </w:p>
    <w:p w14:paraId="052FF0E9" w14:textId="77777777" w:rsidR="005D0757" w:rsidRDefault="005D0757">
      <w:pPr>
        <w:spacing w:after="160" w:line="278" w:lineRule="auto"/>
        <w:rPr>
          <w:rFonts w:ascii="Arial" w:hAnsi="Arial"/>
          <w:b/>
          <w:bCs/>
          <w:sz w:val="20"/>
          <w:szCs w:val="20"/>
        </w:rPr>
      </w:pPr>
      <w:r>
        <w:rPr>
          <w:rFonts w:ascii="Arial" w:hAnsi="Arial"/>
          <w:b/>
          <w:bCs/>
          <w:sz w:val="20"/>
          <w:szCs w:val="20"/>
        </w:rPr>
        <w:br w:type="page"/>
      </w:r>
    </w:p>
    <w:p w14:paraId="22FD47C3" w14:textId="3B249333" w:rsidR="001B42EB" w:rsidRPr="006C3D60" w:rsidRDefault="00997D09" w:rsidP="001B42EB">
      <w:pPr>
        <w:spacing w:line="480" w:lineRule="auto"/>
        <w:rPr>
          <w:rFonts w:ascii="Arial" w:hAnsi="Arial"/>
          <w:sz w:val="20"/>
          <w:szCs w:val="20"/>
        </w:rPr>
      </w:pPr>
      <w:r w:rsidRPr="006C3D60">
        <w:rPr>
          <w:rFonts w:ascii="Arial" w:hAnsi="Arial"/>
          <w:b/>
          <w:bCs/>
          <w:sz w:val="20"/>
          <w:szCs w:val="20"/>
        </w:rPr>
        <w:lastRenderedPageBreak/>
        <w:t xml:space="preserve">Supplementary </w:t>
      </w:r>
      <w:r w:rsidR="001B42EB" w:rsidRPr="006C3D60">
        <w:rPr>
          <w:rFonts w:ascii="Arial" w:hAnsi="Arial"/>
          <w:b/>
          <w:bCs/>
          <w:sz w:val="20"/>
          <w:szCs w:val="20"/>
        </w:rPr>
        <w:t>Table S3</w:t>
      </w:r>
      <w:r w:rsidR="003C4310" w:rsidRPr="006C3D60">
        <w:rPr>
          <w:rFonts w:ascii="Arial" w:hAnsi="Arial"/>
          <w:b/>
          <w:bCs/>
          <w:sz w:val="20"/>
          <w:szCs w:val="20"/>
        </w:rPr>
        <w:t>:</w:t>
      </w:r>
      <w:r w:rsidR="001B42EB" w:rsidRPr="006C3D60">
        <w:rPr>
          <w:rFonts w:ascii="Arial" w:hAnsi="Arial"/>
          <w:b/>
          <w:bCs/>
          <w:sz w:val="20"/>
          <w:szCs w:val="20"/>
        </w:rPr>
        <w:t xml:space="preserve"> </w:t>
      </w:r>
      <w:r w:rsidR="001B42EB" w:rsidRPr="006C3D60">
        <w:rPr>
          <w:rFonts w:ascii="Arial" w:hAnsi="Arial"/>
          <w:sz w:val="20"/>
          <w:szCs w:val="20"/>
        </w:rPr>
        <w:t>Summary of studies including patients switched from IV to SC TCZ; subgroups compared based on switch success.</w:t>
      </w:r>
    </w:p>
    <w:tbl>
      <w:tblPr>
        <w:tblStyle w:val="Grigliatabella"/>
        <w:tblW w:w="0" w:type="auto"/>
        <w:tblBorders>
          <w:top w:val="none" w:sz="0" w:space="0" w:color="auto"/>
          <w:left w:val="none" w:sz="0" w:space="0" w:color="auto"/>
          <w:bottom w:val="single" w:sz="6"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2056"/>
        <w:gridCol w:w="2384"/>
        <w:gridCol w:w="2390"/>
      </w:tblGrid>
      <w:tr w:rsidR="00A20FF0" w:rsidRPr="004D3E32" w14:paraId="08584104" w14:textId="77777777" w:rsidTr="00DE6DFE">
        <w:trPr>
          <w:trHeight w:val="340"/>
        </w:trPr>
        <w:tc>
          <w:tcPr>
            <w:tcW w:w="0" w:type="auto"/>
            <w:tcBorders>
              <w:bottom w:val="single" w:sz="12" w:space="0" w:color="auto"/>
            </w:tcBorders>
            <w:vAlign w:val="center"/>
            <w:hideMark/>
          </w:tcPr>
          <w:p w14:paraId="59C52A99" w14:textId="77777777" w:rsidR="0040239B" w:rsidRPr="004D3E32" w:rsidRDefault="0040239B" w:rsidP="001E1E7C">
            <w:pPr>
              <w:spacing w:line="276" w:lineRule="auto"/>
              <w:jc w:val="center"/>
              <w:rPr>
                <w:rFonts w:ascii="Arial" w:hAnsi="Arial"/>
                <w:b/>
                <w:bCs/>
                <w:sz w:val="18"/>
                <w:szCs w:val="18"/>
              </w:rPr>
            </w:pPr>
            <w:r w:rsidRPr="004D3E32">
              <w:rPr>
                <w:rFonts w:ascii="Arial" w:hAnsi="Arial"/>
                <w:b/>
                <w:bCs/>
                <w:sz w:val="18"/>
                <w:szCs w:val="18"/>
              </w:rPr>
              <w:t>Study</w:t>
            </w:r>
          </w:p>
        </w:tc>
        <w:tc>
          <w:tcPr>
            <w:tcW w:w="0" w:type="auto"/>
            <w:tcBorders>
              <w:bottom w:val="single" w:sz="12" w:space="0" w:color="auto"/>
            </w:tcBorders>
            <w:vAlign w:val="center"/>
            <w:hideMark/>
          </w:tcPr>
          <w:p w14:paraId="7C0011A9" w14:textId="2C308082"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Ahn SM, 2022</w:t>
            </w:r>
            <w:r w:rsidR="00267A4C" w:rsidRPr="004D3E32">
              <w:rPr>
                <w:rFonts w:ascii="Arial" w:hAnsi="Arial"/>
                <w:b/>
                <w:bCs/>
                <w:sz w:val="18"/>
                <w:szCs w:val="18"/>
              </w:rPr>
              <w:t xml:space="preserve"> </w:t>
            </w:r>
            <w:r w:rsidR="00267A4C" w:rsidRPr="004D3E32">
              <w:rPr>
                <w:rFonts w:ascii="Arial" w:hAnsi="Arial"/>
                <w:b/>
                <w:bCs/>
                <w:sz w:val="18"/>
                <w:szCs w:val="18"/>
              </w:rPr>
              <w:fldChar w:fldCharType="begin"/>
            </w:r>
            <w:r w:rsidR="004D3E32">
              <w:rPr>
                <w:rFonts w:ascii="Arial" w:hAnsi="Arial"/>
                <w:b/>
                <w:bCs/>
                <w:sz w:val="18"/>
                <w:szCs w:val="18"/>
              </w:rPr>
              <w:instrText xml:space="preserve"> ADDIN ZOTERO_ITEM CSL_CITATION {"citationID":"RinBkLRW","properties":{"formattedCitation":"\\super 4\\nosupersub{}","plainCitation":"4","noteIndex":0},"citationItems":[{"id":74594,"uris":["http://zotero.org/users/7685920/items/YCWRDEYH"],"itemData":{"id":74594,"type":"article-journal","abstract":"BACKGROUND: To evaluate the incidence and related factors of rheumatoid arthritis (RA) flares after switching from intravenous tocilizumab (TCZ-IV) to subcutaneous  tocilizumab (TCZ-SC) injection in stable RA patients. METHODS: We retrospectively  evaluated the medical records of stable RA patients who used TCZ-IV for more than  6 months and switched to TCZ-SC between January 2013 and April 2020. RA flare was  defined as an increase of more than 1.2 in the RA disease activity as assessed by  the disease activity score in 28 joints. The factors associated with RA flare  were evaluated by logistic regression analysis. RESULTS: Among 106 patients  treated with TCZ-IV for &gt; 6 months, 37 patients were switched to TCZ-SC after the  acquisition of remission or low disease activity. RA flares occurred in 11  (29.7%) of patients who switched TCZ-SC. Results from the multivariable logistic  analysis revealed that the dose of TCZ-IV per weight at switching (odds ratio  [OR], 20.70; 95% confidence interval [CI], 2.22-192.84; P = 0.008) and  methotrexate (MTX) non-use (OR, 8.53; 95% CI, 1.21-60.40; P = 0.032) were  associated with the risk of RA flares after switching to TCZ-SC. Interestingly,  most patients who switched back to TCZ-IV had their RA activity controlled again.  CONCLUSION: MTX non-use and high dose of TCZ-IV per weight were associated with a  risk of RA flare after switching to TCZ-SC. RA patients with these factors need  to be carefully observed for flare after switching from TCZ-IV to TCZ-SC.","container-title":"Journal of Korean medical science","DOI":"10.3346/jkms.2022.37.e138","ISSN":"1598-6357 1011-8934","issue":"17","journalAbbreviation":"J Korean Med Sci","language":"eng","license":"© 2022 The Korean Academy of Medical Sciences.","note":"publisher-place: Korea (South)\nPMID: 35502504 \nPMCID: PMC9062274","page":"e138","title":"Predictive Factors for Rheumatoid Arthritis Flare After Switching From Intravenous to Subcutaneous Formulation of Tocilizumab in Real-World Practice.","volume":"37","author":[{"family":"Ahn","given":"Soo Min"},{"family":"Oh","given":"Ji Seon"},{"family":"Heo","given":"Hyun Mi"},{"family":"Hong","given":"Seokchan"},{"family":"Lee","given":"Chang-Keun"},{"family":"Yoo","given":"Bin"},{"family":"Kim","given":"Yong-Gil"}],"issued":{"date-parts":[["2022",5,2]]}}}],"schema":"https://github.com/citation-style-language/schema/raw/master/csl-citation.json"} </w:instrText>
            </w:r>
            <w:r w:rsidR="00267A4C" w:rsidRPr="004D3E32">
              <w:rPr>
                <w:rFonts w:ascii="Arial" w:hAnsi="Arial"/>
                <w:b/>
                <w:bCs/>
                <w:sz w:val="18"/>
                <w:szCs w:val="18"/>
              </w:rPr>
              <w:fldChar w:fldCharType="separate"/>
            </w:r>
            <w:r w:rsidR="004D3E32" w:rsidRPr="004D3E32">
              <w:rPr>
                <w:rFonts w:ascii="Arial" w:hAnsi="Arial"/>
                <w:sz w:val="18"/>
                <w:vertAlign w:val="superscript"/>
              </w:rPr>
              <w:t>4</w:t>
            </w:r>
            <w:r w:rsidR="00267A4C" w:rsidRPr="004D3E32">
              <w:rPr>
                <w:rFonts w:ascii="Arial" w:hAnsi="Arial"/>
                <w:b/>
                <w:bCs/>
                <w:sz w:val="18"/>
                <w:szCs w:val="18"/>
              </w:rPr>
              <w:fldChar w:fldCharType="end"/>
            </w:r>
          </w:p>
        </w:tc>
        <w:tc>
          <w:tcPr>
            <w:tcW w:w="0" w:type="auto"/>
            <w:tcBorders>
              <w:bottom w:val="single" w:sz="12" w:space="0" w:color="auto"/>
            </w:tcBorders>
            <w:vAlign w:val="center"/>
            <w:hideMark/>
          </w:tcPr>
          <w:p w14:paraId="29B277AF" w14:textId="68B6F3E1"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Cáceres VA, 2022</w:t>
            </w:r>
            <w:r w:rsidR="001E1E7C" w:rsidRPr="004D3E32">
              <w:rPr>
                <w:rFonts w:ascii="Arial" w:hAnsi="Arial"/>
                <w:b/>
                <w:bCs/>
                <w:sz w:val="18"/>
                <w:szCs w:val="18"/>
              </w:rPr>
              <w:t xml:space="preserve"> </w:t>
            </w:r>
            <w:r w:rsidR="00267A4C" w:rsidRPr="004D3E32">
              <w:rPr>
                <w:rFonts w:ascii="Arial" w:hAnsi="Arial"/>
                <w:b/>
                <w:bCs/>
                <w:sz w:val="18"/>
                <w:szCs w:val="18"/>
              </w:rPr>
              <w:fldChar w:fldCharType="begin"/>
            </w:r>
            <w:r w:rsidR="004D3E32">
              <w:rPr>
                <w:rFonts w:ascii="Arial" w:hAnsi="Arial"/>
                <w:b/>
                <w:bCs/>
                <w:sz w:val="18"/>
                <w:szCs w:val="18"/>
              </w:rPr>
              <w:instrText xml:space="preserve"> ADDIN ZOTERO_ITEM CSL_CITATION {"citationID":"4rsjEDOu","properties":{"formattedCitation":"\\super 5\\nosupersub{}","plainCitation":"5","noteIndex":0},"citationItems":[{"id":74736,"uris":["http://zotero.org/groups/5287747/items/7A5JUHX4"],"itemData":{"id":74736,"type":"article-journal","abstract":"Background With the arrival of the SARS-CoV-2 pandemic in 2020, it was proposed to make the change from intravenous (IV) tocilizumab (TCZ) to its subcutaneous formulation, in order to avoid rheumatological patients having to go to the day hospital and guarantee enough IV TCZ for those critical patients with COVID who needed it. The aim of this study was to describe the rate and reasons for switching back to IV TCZ from subcutaneous TCZ. Methods We included patients from the rheumatology service that were on treatment with IV TCZ in February 2020 and were followed up until March 2021. Patients that remained on subcutaneous TCZ were compared with those who switched back to IV TCZ (switch-back group). A subgroup analysis according to rheumatic disease was performed. Results Fifty-five patients switched to subcutaneous TCZ: 28 rheumatoid arthritis, 19 giant cell arteritis, 4 polymyalgia rheumatica, 2 juvenile idiopathic arthritis, and 2 systemic sclerosis. Seventeen patients switched back to IV TCZ due to ineffectiveness (n = 8), patient preference (n = 4), adverse events (n = 4), and difficulty with the SC administration route (n = 1). In the analysis by disease, 4 of 23 patients switched back to IV TCZ in giant cell arteritis/polymyalgia rheumatica group due to ineffectiveness (n = 2), injection site reaction (n = 1), or patient preference (n = 1). In rheumatoid arthritis group, 11 of 28 patients switched back to IV TCZ: ineffectiveness (n = 5), patient preference (n = 3), headache (n = 1), injection site reaction (n = 1), and due to difficulty with the SC administration route (n = 1). Conclusions Mass switch from IV to subcutaneous TCZ during the SARS-CoV-2 pandemic has been safe, effective, and well tolerated after 1 year of follow-up.","archive":"Embase","container-title":"Journal of Clinical Rheumatology","DOI":"10.1097/RHU.0000000000001862","ISSN":"1536-7355","issue":"7","journalAbbreviation":"J. Clin. Rheumatol.","language":"English","page":"346-348","title":"Mass Switch from Intravenous to Subcutaneous Tocilizumab in Rheumatic Diseases during the SARS-COV-2 Pandemic","volume":"28","author":[{"family":"Cáceres","given":"V.A."},{"family":"Piñeiro","given":"M.L."},{"family":"Ibáñez-Beróiz","given":"B."},{"family":"Enguita-Germán","given":"M."}],"issued":{"date-parts":[["2022"]]}}}],"schema":"https://github.com/citation-style-language/schema/raw/master/csl-citation.json"} </w:instrText>
            </w:r>
            <w:r w:rsidR="00267A4C" w:rsidRPr="004D3E32">
              <w:rPr>
                <w:rFonts w:ascii="Arial" w:hAnsi="Arial"/>
                <w:b/>
                <w:bCs/>
                <w:sz w:val="18"/>
                <w:szCs w:val="18"/>
              </w:rPr>
              <w:fldChar w:fldCharType="separate"/>
            </w:r>
            <w:r w:rsidR="004D3E32" w:rsidRPr="004D3E32">
              <w:rPr>
                <w:rFonts w:ascii="Arial" w:hAnsi="Arial"/>
                <w:sz w:val="18"/>
                <w:vertAlign w:val="superscript"/>
              </w:rPr>
              <w:t>5</w:t>
            </w:r>
            <w:r w:rsidR="00267A4C" w:rsidRPr="004D3E32">
              <w:rPr>
                <w:rFonts w:ascii="Arial" w:hAnsi="Arial"/>
                <w:b/>
                <w:bCs/>
                <w:sz w:val="18"/>
                <w:szCs w:val="18"/>
              </w:rPr>
              <w:fldChar w:fldCharType="end"/>
            </w:r>
          </w:p>
        </w:tc>
        <w:tc>
          <w:tcPr>
            <w:tcW w:w="0" w:type="auto"/>
            <w:tcBorders>
              <w:bottom w:val="single" w:sz="12" w:space="0" w:color="auto"/>
            </w:tcBorders>
            <w:vAlign w:val="center"/>
            <w:hideMark/>
          </w:tcPr>
          <w:p w14:paraId="3EA62EA5" w14:textId="5BC50B91" w:rsidR="0040239B" w:rsidRPr="004D3E32" w:rsidRDefault="0040239B" w:rsidP="001E1E7C">
            <w:pPr>
              <w:spacing w:line="276" w:lineRule="auto"/>
              <w:jc w:val="center"/>
              <w:rPr>
                <w:rFonts w:ascii="Arial" w:hAnsi="Arial"/>
                <w:sz w:val="18"/>
                <w:szCs w:val="18"/>
              </w:rPr>
            </w:pPr>
            <w:proofErr w:type="spellStart"/>
            <w:r w:rsidRPr="004D3E32">
              <w:rPr>
                <w:rFonts w:ascii="Arial" w:hAnsi="Arial"/>
                <w:b/>
                <w:bCs/>
                <w:sz w:val="18"/>
                <w:szCs w:val="18"/>
              </w:rPr>
              <w:t>Daood</w:t>
            </w:r>
            <w:proofErr w:type="spellEnd"/>
            <w:r w:rsidRPr="004D3E32">
              <w:rPr>
                <w:rFonts w:ascii="Arial" w:hAnsi="Arial"/>
                <w:b/>
                <w:bCs/>
                <w:sz w:val="18"/>
                <w:szCs w:val="18"/>
              </w:rPr>
              <w:t xml:space="preserve"> R, 2023</w:t>
            </w:r>
            <w:r w:rsidR="00411781" w:rsidRPr="004D3E32">
              <w:rPr>
                <w:rFonts w:ascii="Arial" w:hAnsi="Arial"/>
                <w:b/>
                <w:bCs/>
                <w:sz w:val="18"/>
                <w:szCs w:val="18"/>
              </w:rPr>
              <w:fldChar w:fldCharType="begin"/>
            </w:r>
            <w:r w:rsidR="004D3E32">
              <w:rPr>
                <w:rFonts w:ascii="Arial" w:hAnsi="Arial"/>
                <w:b/>
                <w:bCs/>
                <w:sz w:val="18"/>
                <w:szCs w:val="18"/>
              </w:rPr>
              <w:instrText xml:space="preserve"> ADDIN ZOTERO_ITEM CSL_CITATION {"citationID":"4PSIGrAt","properties":{"formattedCitation":"\\super 6\\nosupersub{}","plainCitation":"6","noteIndex":0},"citationItems":[{"id":74714,"uris":["http://zotero.org/groups/5287747/items/GVT8SD39"],"itemData":{"id":74714,"type":"article-journal","abstract":"Objective. We aimed to assess the efficacy and patient satisfaction of subcutaneous tocilizumab (SC TCZ) in patients previously treated with intravenous tocilizumab (IV TCZ) during the COVID-19 pandemic. Methods. We conducted a single-centre retrospective study at the Rheumatology Day Care at the Rheumatology Institute, Rambam Health Care Campus, Israel. Clinical and laboratory data of IV TCZ treated patients who switched to SC TCZ were retracted and analysed. Data were collected from the last two visits before switching to SC treatment and two visits afterwards. A telephone call conversation was conducted for all patients who continued SC treatment and did not come to follow-up visits. Results. Forty patients (age 53.03 (± 15.7)) treated with IV TCZ were switched to SC TCZ in April-May 2020. Three patients were excluded from the study. Most of the patients were treated with TCZ for 6.35 (±2.89) years and had low disease activity. 26/37 (70%) patients discontinued SC TCZ therapy and switched back to IV TCZ. The majority of discontinuations were due to flare up of the underlying disease reflected by increased number of tender and/or swollen joints, prolongation of morning stiffness or increased pain VAS score. Two patients were hospitalised for IV glucocorticoids and 1 patient underwent knee arthrocentesis. 11/37 (30%) patients continued SC TCZ treatment. 3/11 (27%) expressed less satisfaction with SC TCZ therapy. Conclusion. More than half of the patients who switched from IV TCZ to SC TCZ showed signs of flare of their underlying disease or were less satisfied with SC treatment.","archive":"Embase","container-title":"Clinical and Experimental Rheumatology","DOI":"10.55563/clinexprheumatol/lxfy2v","ISSN":"1593-098X","issue":"3","journalAbbreviation":"Clin. Exp. Rheumatol.","language":"English","page":"744-746","title":"Switching from intravenous tocilizumab to subcutaneous administration during the COVID-19 pandemic: impact on treatment efficacy and patient satisfaction","volume":"41","author":[{"family":"Daood","given":"R."},{"family":"Toledano","given":"K."},{"family":"Markovits","given":"D."},{"family":"Tavor","given":"Y."},{"family":"Giryes","given":"S."},{"family":"Dolnikov","given":"K."},{"family":"Jeries","given":"H."},{"family":"Balbir-Gurman","given":"A."},{"family":"Braun-Moscovici","given":"Y."}],"issued":{"date-parts":[["2023"]]}}}],"schema":"https://github.com/citation-style-language/schema/raw/master/csl-citation.json"} </w:instrText>
            </w:r>
            <w:r w:rsidR="00411781" w:rsidRPr="004D3E32">
              <w:rPr>
                <w:rFonts w:ascii="Arial" w:hAnsi="Arial"/>
                <w:b/>
                <w:bCs/>
                <w:sz w:val="18"/>
                <w:szCs w:val="18"/>
              </w:rPr>
              <w:fldChar w:fldCharType="separate"/>
            </w:r>
            <w:r w:rsidR="004D3E32" w:rsidRPr="004D3E32">
              <w:rPr>
                <w:rFonts w:ascii="Arial" w:hAnsi="Arial"/>
                <w:sz w:val="18"/>
                <w:vertAlign w:val="superscript"/>
              </w:rPr>
              <w:t>6</w:t>
            </w:r>
            <w:r w:rsidR="00411781" w:rsidRPr="004D3E32">
              <w:rPr>
                <w:rFonts w:ascii="Arial" w:hAnsi="Arial"/>
                <w:b/>
                <w:bCs/>
                <w:sz w:val="18"/>
                <w:szCs w:val="18"/>
              </w:rPr>
              <w:fldChar w:fldCharType="end"/>
            </w:r>
          </w:p>
        </w:tc>
      </w:tr>
      <w:tr w:rsidR="00A20FF0" w:rsidRPr="004D3E32" w14:paraId="447A8F1B" w14:textId="77777777" w:rsidTr="00DE6DFE">
        <w:trPr>
          <w:trHeight w:val="340"/>
        </w:trPr>
        <w:tc>
          <w:tcPr>
            <w:tcW w:w="0" w:type="auto"/>
            <w:tcBorders>
              <w:top w:val="single" w:sz="12" w:space="0" w:color="auto"/>
              <w:bottom w:val="single" w:sz="6" w:space="0" w:color="auto"/>
            </w:tcBorders>
            <w:vAlign w:val="center"/>
            <w:hideMark/>
          </w:tcPr>
          <w:p w14:paraId="3CC2FE76" w14:textId="77777777"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Study Design</w:t>
            </w:r>
          </w:p>
        </w:tc>
        <w:tc>
          <w:tcPr>
            <w:tcW w:w="0" w:type="auto"/>
            <w:tcBorders>
              <w:top w:val="single" w:sz="12" w:space="0" w:color="auto"/>
              <w:bottom w:val="single" w:sz="6" w:space="0" w:color="auto"/>
            </w:tcBorders>
            <w:vAlign w:val="center"/>
            <w:hideMark/>
          </w:tcPr>
          <w:p w14:paraId="1FA8BDB3"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Observational, retrospective</w:t>
            </w:r>
          </w:p>
        </w:tc>
        <w:tc>
          <w:tcPr>
            <w:tcW w:w="0" w:type="auto"/>
            <w:tcBorders>
              <w:top w:val="single" w:sz="12" w:space="0" w:color="auto"/>
              <w:bottom w:val="single" w:sz="6" w:space="0" w:color="auto"/>
            </w:tcBorders>
            <w:vAlign w:val="center"/>
            <w:hideMark/>
          </w:tcPr>
          <w:p w14:paraId="278244C9"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Observational, retrospective</w:t>
            </w:r>
          </w:p>
        </w:tc>
        <w:tc>
          <w:tcPr>
            <w:tcW w:w="0" w:type="auto"/>
            <w:tcBorders>
              <w:top w:val="single" w:sz="12" w:space="0" w:color="auto"/>
              <w:bottom w:val="single" w:sz="6" w:space="0" w:color="auto"/>
            </w:tcBorders>
            <w:vAlign w:val="center"/>
            <w:hideMark/>
          </w:tcPr>
          <w:p w14:paraId="4B9594CE"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Observational, retrospective</w:t>
            </w:r>
          </w:p>
        </w:tc>
      </w:tr>
      <w:tr w:rsidR="00A20FF0" w:rsidRPr="004D3E32" w14:paraId="732AB825" w14:textId="77777777" w:rsidTr="00DE6DFE">
        <w:trPr>
          <w:trHeight w:val="340"/>
        </w:trPr>
        <w:tc>
          <w:tcPr>
            <w:tcW w:w="0" w:type="auto"/>
            <w:tcBorders>
              <w:top w:val="single" w:sz="6" w:space="0" w:color="auto"/>
              <w:bottom w:val="single" w:sz="6" w:space="0" w:color="auto"/>
            </w:tcBorders>
            <w:vAlign w:val="center"/>
            <w:hideMark/>
          </w:tcPr>
          <w:p w14:paraId="2CD0EAB5" w14:textId="27374950" w:rsidR="0040239B" w:rsidRPr="004D3E32" w:rsidRDefault="0061594A" w:rsidP="001E1E7C">
            <w:pPr>
              <w:spacing w:line="276" w:lineRule="auto"/>
              <w:jc w:val="center"/>
              <w:rPr>
                <w:rFonts w:ascii="Arial" w:hAnsi="Arial"/>
                <w:sz w:val="18"/>
                <w:szCs w:val="18"/>
              </w:rPr>
            </w:pPr>
            <w:r w:rsidRPr="004D3E32">
              <w:rPr>
                <w:rFonts w:ascii="Arial" w:hAnsi="Arial"/>
                <w:b/>
                <w:bCs/>
                <w:sz w:val="18"/>
                <w:szCs w:val="18"/>
              </w:rPr>
              <w:t>Location</w:t>
            </w:r>
          </w:p>
        </w:tc>
        <w:tc>
          <w:tcPr>
            <w:tcW w:w="0" w:type="auto"/>
            <w:tcBorders>
              <w:top w:val="single" w:sz="6" w:space="0" w:color="auto"/>
              <w:bottom w:val="single" w:sz="6" w:space="0" w:color="auto"/>
            </w:tcBorders>
            <w:vAlign w:val="center"/>
            <w:hideMark/>
          </w:tcPr>
          <w:p w14:paraId="65C8EACF"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South Korea</w:t>
            </w:r>
          </w:p>
        </w:tc>
        <w:tc>
          <w:tcPr>
            <w:tcW w:w="0" w:type="auto"/>
            <w:tcBorders>
              <w:top w:val="single" w:sz="6" w:space="0" w:color="auto"/>
              <w:bottom w:val="single" w:sz="6" w:space="0" w:color="auto"/>
            </w:tcBorders>
            <w:vAlign w:val="center"/>
            <w:hideMark/>
          </w:tcPr>
          <w:p w14:paraId="67E4E4DC"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Spain</w:t>
            </w:r>
          </w:p>
        </w:tc>
        <w:tc>
          <w:tcPr>
            <w:tcW w:w="0" w:type="auto"/>
            <w:tcBorders>
              <w:top w:val="single" w:sz="6" w:space="0" w:color="auto"/>
              <w:bottom w:val="single" w:sz="6" w:space="0" w:color="auto"/>
            </w:tcBorders>
            <w:vAlign w:val="center"/>
            <w:hideMark/>
          </w:tcPr>
          <w:p w14:paraId="532CA7B5"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Israel</w:t>
            </w:r>
          </w:p>
        </w:tc>
      </w:tr>
      <w:tr w:rsidR="00A20FF0" w:rsidRPr="004D3E32" w14:paraId="179A3C40" w14:textId="77777777" w:rsidTr="00DE6DFE">
        <w:trPr>
          <w:trHeight w:val="340"/>
        </w:trPr>
        <w:tc>
          <w:tcPr>
            <w:tcW w:w="0" w:type="auto"/>
            <w:tcBorders>
              <w:top w:val="single" w:sz="6" w:space="0" w:color="auto"/>
              <w:bottom w:val="single" w:sz="6" w:space="0" w:color="auto"/>
            </w:tcBorders>
            <w:vAlign w:val="center"/>
            <w:hideMark/>
          </w:tcPr>
          <w:p w14:paraId="48E76B23" w14:textId="6EC9BBA5" w:rsidR="0040239B" w:rsidRPr="004D3E32" w:rsidRDefault="00A20FF0" w:rsidP="001E1E7C">
            <w:pPr>
              <w:spacing w:line="276" w:lineRule="auto"/>
              <w:jc w:val="center"/>
              <w:rPr>
                <w:rFonts w:ascii="Arial" w:hAnsi="Arial"/>
                <w:sz w:val="18"/>
                <w:szCs w:val="18"/>
              </w:rPr>
            </w:pPr>
            <w:r w:rsidRPr="004D3E32">
              <w:rPr>
                <w:rFonts w:ascii="Arial" w:hAnsi="Arial"/>
                <w:b/>
                <w:bCs/>
                <w:sz w:val="18"/>
                <w:szCs w:val="18"/>
              </w:rPr>
              <w:t>Months of follow-up per patient (observation periods, years)</w:t>
            </w:r>
          </w:p>
        </w:tc>
        <w:tc>
          <w:tcPr>
            <w:tcW w:w="0" w:type="auto"/>
            <w:tcBorders>
              <w:top w:val="single" w:sz="6" w:space="0" w:color="auto"/>
              <w:bottom w:val="single" w:sz="6" w:space="0" w:color="auto"/>
            </w:tcBorders>
            <w:vAlign w:val="center"/>
            <w:hideMark/>
          </w:tcPr>
          <w:p w14:paraId="7105F5C1"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6 (2013-2020)</w:t>
            </w:r>
          </w:p>
        </w:tc>
        <w:tc>
          <w:tcPr>
            <w:tcW w:w="0" w:type="auto"/>
            <w:tcBorders>
              <w:top w:val="single" w:sz="6" w:space="0" w:color="auto"/>
              <w:bottom w:val="single" w:sz="6" w:space="0" w:color="auto"/>
            </w:tcBorders>
            <w:vAlign w:val="center"/>
            <w:hideMark/>
          </w:tcPr>
          <w:p w14:paraId="0CB1D75D"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12 (2020-2021)</w:t>
            </w:r>
          </w:p>
        </w:tc>
        <w:tc>
          <w:tcPr>
            <w:tcW w:w="0" w:type="auto"/>
            <w:tcBorders>
              <w:top w:val="single" w:sz="6" w:space="0" w:color="auto"/>
              <w:bottom w:val="single" w:sz="6" w:space="0" w:color="auto"/>
            </w:tcBorders>
            <w:vAlign w:val="center"/>
            <w:hideMark/>
          </w:tcPr>
          <w:p w14:paraId="1D9FD424"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First 2 visits after switch (2020)</w:t>
            </w:r>
          </w:p>
        </w:tc>
      </w:tr>
      <w:tr w:rsidR="00A20FF0" w:rsidRPr="004D3E32" w14:paraId="7B8019C2" w14:textId="77777777" w:rsidTr="00DE6DFE">
        <w:trPr>
          <w:trHeight w:val="340"/>
        </w:trPr>
        <w:tc>
          <w:tcPr>
            <w:tcW w:w="0" w:type="auto"/>
            <w:tcBorders>
              <w:top w:val="single" w:sz="6" w:space="0" w:color="auto"/>
              <w:bottom w:val="single" w:sz="6" w:space="0" w:color="auto"/>
            </w:tcBorders>
            <w:vAlign w:val="center"/>
            <w:hideMark/>
          </w:tcPr>
          <w:p w14:paraId="13062E8E" w14:textId="11BDA47E" w:rsidR="0040239B" w:rsidRPr="004D3E32" w:rsidRDefault="0040239B" w:rsidP="001E1E7C">
            <w:pPr>
              <w:spacing w:line="276" w:lineRule="auto"/>
              <w:jc w:val="center"/>
              <w:rPr>
                <w:rFonts w:ascii="Arial" w:hAnsi="Arial"/>
                <w:b/>
                <w:bCs/>
                <w:sz w:val="18"/>
                <w:szCs w:val="18"/>
              </w:rPr>
            </w:pPr>
            <w:r w:rsidRPr="004D3E32">
              <w:rPr>
                <w:rFonts w:ascii="Arial" w:hAnsi="Arial"/>
                <w:b/>
                <w:bCs/>
                <w:sz w:val="18"/>
                <w:szCs w:val="18"/>
              </w:rPr>
              <w:t xml:space="preserve">Number of RA </w:t>
            </w:r>
            <w:r w:rsidR="001E1E7C" w:rsidRPr="004D3E32">
              <w:rPr>
                <w:rFonts w:ascii="Arial" w:hAnsi="Arial"/>
                <w:b/>
                <w:bCs/>
                <w:sz w:val="18"/>
                <w:szCs w:val="18"/>
              </w:rPr>
              <w:t>p</w:t>
            </w:r>
            <w:r w:rsidRPr="004D3E32">
              <w:rPr>
                <w:rFonts w:ascii="Arial" w:hAnsi="Arial"/>
                <w:b/>
                <w:bCs/>
                <w:sz w:val="18"/>
                <w:szCs w:val="18"/>
              </w:rPr>
              <w:t>atients (total</w:t>
            </w:r>
            <w:r w:rsidR="001E1E7C" w:rsidRPr="004D3E32">
              <w:rPr>
                <w:rFonts w:ascii="Arial" w:hAnsi="Arial"/>
                <w:b/>
                <w:bCs/>
                <w:sz w:val="18"/>
                <w:szCs w:val="18"/>
              </w:rPr>
              <w:t xml:space="preserve"> patients</w:t>
            </w:r>
            <w:r w:rsidRPr="004D3E32">
              <w:rPr>
                <w:rFonts w:ascii="Arial" w:hAnsi="Arial"/>
                <w:b/>
                <w:bCs/>
                <w:sz w:val="18"/>
                <w:szCs w:val="18"/>
              </w:rPr>
              <w:t>)</w:t>
            </w:r>
          </w:p>
        </w:tc>
        <w:tc>
          <w:tcPr>
            <w:tcW w:w="0" w:type="auto"/>
            <w:tcBorders>
              <w:top w:val="single" w:sz="6" w:space="0" w:color="auto"/>
              <w:bottom w:val="single" w:sz="6" w:space="0" w:color="auto"/>
            </w:tcBorders>
            <w:vAlign w:val="center"/>
            <w:hideMark/>
          </w:tcPr>
          <w:p w14:paraId="6F34C61D"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37 (37)</w:t>
            </w:r>
          </w:p>
        </w:tc>
        <w:tc>
          <w:tcPr>
            <w:tcW w:w="0" w:type="auto"/>
            <w:tcBorders>
              <w:top w:val="single" w:sz="6" w:space="0" w:color="auto"/>
              <w:bottom w:val="single" w:sz="6" w:space="0" w:color="auto"/>
            </w:tcBorders>
            <w:vAlign w:val="center"/>
            <w:hideMark/>
          </w:tcPr>
          <w:p w14:paraId="56A14025"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28 (55)</w:t>
            </w:r>
          </w:p>
        </w:tc>
        <w:tc>
          <w:tcPr>
            <w:tcW w:w="0" w:type="auto"/>
            <w:tcBorders>
              <w:top w:val="single" w:sz="6" w:space="0" w:color="auto"/>
              <w:bottom w:val="single" w:sz="6" w:space="0" w:color="auto"/>
            </w:tcBorders>
            <w:vAlign w:val="center"/>
            <w:hideMark/>
          </w:tcPr>
          <w:p w14:paraId="03269DCB"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30 (37)</w:t>
            </w:r>
          </w:p>
        </w:tc>
      </w:tr>
      <w:tr w:rsidR="00A20FF0" w:rsidRPr="004D3E32" w14:paraId="6DFB34F8" w14:textId="77777777" w:rsidTr="00DE6DFE">
        <w:trPr>
          <w:trHeight w:val="340"/>
        </w:trPr>
        <w:tc>
          <w:tcPr>
            <w:tcW w:w="0" w:type="auto"/>
            <w:tcBorders>
              <w:top w:val="single" w:sz="6" w:space="0" w:color="auto"/>
              <w:bottom w:val="single" w:sz="6" w:space="0" w:color="auto"/>
            </w:tcBorders>
            <w:vAlign w:val="center"/>
            <w:hideMark/>
          </w:tcPr>
          <w:p w14:paraId="7C691D56" w14:textId="77777777" w:rsidR="0040239B" w:rsidRPr="004D3E32" w:rsidRDefault="0040239B" w:rsidP="001E1E7C">
            <w:pPr>
              <w:spacing w:line="276" w:lineRule="auto"/>
              <w:jc w:val="center"/>
              <w:rPr>
                <w:rFonts w:ascii="Arial" w:hAnsi="Arial"/>
                <w:b/>
                <w:bCs/>
                <w:sz w:val="18"/>
                <w:szCs w:val="18"/>
              </w:rPr>
            </w:pPr>
            <w:r w:rsidRPr="004D3E32">
              <w:rPr>
                <w:rFonts w:ascii="Arial" w:hAnsi="Arial"/>
                <w:b/>
                <w:bCs/>
                <w:sz w:val="18"/>
                <w:szCs w:val="18"/>
              </w:rPr>
              <w:t>Exclusion Criteria</w:t>
            </w:r>
          </w:p>
        </w:tc>
        <w:tc>
          <w:tcPr>
            <w:tcW w:w="0" w:type="auto"/>
            <w:tcBorders>
              <w:top w:val="single" w:sz="6" w:space="0" w:color="auto"/>
              <w:bottom w:val="single" w:sz="6" w:space="0" w:color="auto"/>
            </w:tcBorders>
            <w:vAlign w:val="center"/>
            <w:hideMark/>
          </w:tcPr>
          <w:p w14:paraId="679778BB" w14:textId="02FCD097" w:rsidR="0040239B" w:rsidRPr="004D3E32" w:rsidRDefault="001E1E7C" w:rsidP="001E1E7C">
            <w:pPr>
              <w:spacing w:line="276" w:lineRule="auto"/>
              <w:jc w:val="center"/>
              <w:rPr>
                <w:rFonts w:ascii="Arial" w:hAnsi="Arial"/>
                <w:sz w:val="18"/>
                <w:szCs w:val="18"/>
              </w:rPr>
            </w:pPr>
            <w:r w:rsidRPr="004D3E32">
              <w:rPr>
                <w:rFonts w:ascii="Arial" w:hAnsi="Arial"/>
                <w:sz w:val="18"/>
                <w:szCs w:val="18"/>
              </w:rPr>
              <w:t xml:space="preserve">IV-TCZ for </w:t>
            </w:r>
            <w:r w:rsidR="0040239B" w:rsidRPr="004D3E32">
              <w:rPr>
                <w:rFonts w:ascii="Arial" w:hAnsi="Arial"/>
                <w:sz w:val="18"/>
                <w:szCs w:val="18"/>
              </w:rPr>
              <w:t>&lt;6 months, not achieving DAS28-ESR ≤3.2 with IV-TCZ</w:t>
            </w:r>
          </w:p>
        </w:tc>
        <w:tc>
          <w:tcPr>
            <w:tcW w:w="0" w:type="auto"/>
            <w:tcBorders>
              <w:top w:val="single" w:sz="6" w:space="0" w:color="auto"/>
              <w:bottom w:val="single" w:sz="6" w:space="0" w:color="auto"/>
            </w:tcBorders>
            <w:vAlign w:val="center"/>
            <w:hideMark/>
          </w:tcPr>
          <w:p w14:paraId="38FF8DF4"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Lack of informed consent</w:t>
            </w:r>
          </w:p>
        </w:tc>
        <w:tc>
          <w:tcPr>
            <w:tcW w:w="0" w:type="auto"/>
            <w:tcBorders>
              <w:top w:val="single" w:sz="6" w:space="0" w:color="auto"/>
              <w:bottom w:val="single" w:sz="6" w:space="0" w:color="auto"/>
            </w:tcBorders>
            <w:vAlign w:val="center"/>
            <w:hideMark/>
          </w:tcPr>
          <w:p w14:paraId="3EF59252" w14:textId="37DAD725"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Active infection</w:t>
            </w:r>
            <w:r w:rsidR="001E1E7C" w:rsidRPr="004D3E32">
              <w:rPr>
                <w:rFonts w:ascii="Arial" w:hAnsi="Arial"/>
                <w:sz w:val="18"/>
                <w:szCs w:val="18"/>
              </w:rPr>
              <w:t>s</w:t>
            </w:r>
          </w:p>
        </w:tc>
      </w:tr>
      <w:tr w:rsidR="00A20FF0" w:rsidRPr="004D3E32" w14:paraId="3FFB0BE3" w14:textId="77777777" w:rsidTr="00DE6DFE">
        <w:trPr>
          <w:trHeight w:val="340"/>
        </w:trPr>
        <w:tc>
          <w:tcPr>
            <w:tcW w:w="0" w:type="auto"/>
            <w:tcBorders>
              <w:top w:val="single" w:sz="6" w:space="0" w:color="auto"/>
              <w:bottom w:val="single" w:sz="6" w:space="0" w:color="auto"/>
            </w:tcBorders>
            <w:vAlign w:val="center"/>
            <w:hideMark/>
          </w:tcPr>
          <w:p w14:paraId="592BFE7C" w14:textId="7F46DEDB"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 xml:space="preserve">SC-TCZ </w:t>
            </w:r>
            <w:r w:rsidR="001E1E7C" w:rsidRPr="004D3E32">
              <w:rPr>
                <w:rFonts w:ascii="Arial" w:hAnsi="Arial"/>
                <w:b/>
                <w:bCs/>
                <w:sz w:val="18"/>
                <w:szCs w:val="18"/>
              </w:rPr>
              <w:t>d</w:t>
            </w:r>
            <w:r w:rsidRPr="004D3E32">
              <w:rPr>
                <w:rFonts w:ascii="Arial" w:hAnsi="Arial"/>
                <w:b/>
                <w:bCs/>
                <w:sz w:val="18"/>
                <w:szCs w:val="18"/>
              </w:rPr>
              <w:t>ose (mg/week)</w:t>
            </w:r>
          </w:p>
        </w:tc>
        <w:tc>
          <w:tcPr>
            <w:tcW w:w="0" w:type="auto"/>
            <w:tcBorders>
              <w:top w:val="single" w:sz="6" w:space="0" w:color="auto"/>
              <w:bottom w:val="single" w:sz="6" w:space="0" w:color="auto"/>
            </w:tcBorders>
            <w:vAlign w:val="center"/>
            <w:hideMark/>
          </w:tcPr>
          <w:p w14:paraId="07CEC693"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81.5</w:t>
            </w:r>
          </w:p>
        </w:tc>
        <w:tc>
          <w:tcPr>
            <w:tcW w:w="0" w:type="auto"/>
            <w:tcBorders>
              <w:top w:val="single" w:sz="6" w:space="0" w:color="auto"/>
              <w:bottom w:val="single" w:sz="6" w:space="0" w:color="auto"/>
            </w:tcBorders>
            <w:vAlign w:val="center"/>
            <w:hideMark/>
          </w:tcPr>
          <w:p w14:paraId="22A49B9E"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162</w:t>
            </w:r>
          </w:p>
        </w:tc>
        <w:tc>
          <w:tcPr>
            <w:tcW w:w="0" w:type="auto"/>
            <w:tcBorders>
              <w:top w:val="single" w:sz="6" w:space="0" w:color="auto"/>
              <w:bottom w:val="single" w:sz="6" w:space="0" w:color="auto"/>
            </w:tcBorders>
            <w:vAlign w:val="center"/>
            <w:hideMark/>
          </w:tcPr>
          <w:p w14:paraId="1FF2C84E"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81.5</w:t>
            </w:r>
          </w:p>
        </w:tc>
      </w:tr>
      <w:tr w:rsidR="00A20FF0" w:rsidRPr="004D3E32" w14:paraId="1538E77A" w14:textId="77777777" w:rsidTr="00DE6DFE">
        <w:trPr>
          <w:trHeight w:val="340"/>
        </w:trPr>
        <w:tc>
          <w:tcPr>
            <w:tcW w:w="0" w:type="auto"/>
            <w:tcBorders>
              <w:top w:val="single" w:sz="6" w:space="0" w:color="auto"/>
              <w:bottom w:val="single" w:sz="6" w:space="0" w:color="auto"/>
            </w:tcBorders>
            <w:vAlign w:val="center"/>
            <w:hideMark/>
          </w:tcPr>
          <w:p w14:paraId="1D03DC1C" w14:textId="771AA4E1" w:rsidR="0040239B" w:rsidRPr="004D3E32" w:rsidRDefault="001E1E7C" w:rsidP="001E1E7C">
            <w:pPr>
              <w:spacing w:line="276" w:lineRule="auto"/>
              <w:jc w:val="center"/>
              <w:rPr>
                <w:rFonts w:ascii="Arial" w:hAnsi="Arial"/>
                <w:sz w:val="18"/>
                <w:szCs w:val="18"/>
              </w:rPr>
            </w:pPr>
            <w:r w:rsidRPr="004D3E32">
              <w:rPr>
                <w:rFonts w:ascii="Arial" w:hAnsi="Arial"/>
                <w:b/>
                <w:bCs/>
                <w:sz w:val="18"/>
                <w:szCs w:val="18"/>
              </w:rPr>
              <w:t>Significantly different b</w:t>
            </w:r>
            <w:r w:rsidR="0040239B" w:rsidRPr="004D3E32">
              <w:rPr>
                <w:rFonts w:ascii="Arial" w:hAnsi="Arial"/>
                <w:b/>
                <w:bCs/>
                <w:sz w:val="18"/>
                <w:szCs w:val="18"/>
              </w:rPr>
              <w:t xml:space="preserve">aseline </w:t>
            </w:r>
            <w:r w:rsidRPr="004D3E32">
              <w:rPr>
                <w:rFonts w:ascii="Arial" w:hAnsi="Arial"/>
                <w:b/>
                <w:bCs/>
                <w:sz w:val="18"/>
                <w:szCs w:val="18"/>
              </w:rPr>
              <w:t>c</w:t>
            </w:r>
            <w:r w:rsidR="0040239B" w:rsidRPr="004D3E32">
              <w:rPr>
                <w:rFonts w:ascii="Arial" w:hAnsi="Arial"/>
                <w:b/>
                <w:bCs/>
                <w:sz w:val="18"/>
                <w:szCs w:val="18"/>
              </w:rPr>
              <w:t xml:space="preserve">haracteristics </w:t>
            </w:r>
            <w:r w:rsidRPr="004D3E32">
              <w:rPr>
                <w:rFonts w:ascii="Arial" w:hAnsi="Arial"/>
                <w:b/>
                <w:bCs/>
                <w:sz w:val="18"/>
                <w:szCs w:val="18"/>
              </w:rPr>
              <w:t>b</w:t>
            </w:r>
            <w:r w:rsidR="0040239B" w:rsidRPr="004D3E32">
              <w:rPr>
                <w:rFonts w:ascii="Arial" w:hAnsi="Arial"/>
                <w:b/>
                <w:bCs/>
                <w:sz w:val="18"/>
                <w:szCs w:val="18"/>
              </w:rPr>
              <w:t xml:space="preserve">etween </w:t>
            </w:r>
            <w:r w:rsidRPr="004D3E32">
              <w:rPr>
                <w:rFonts w:ascii="Arial" w:hAnsi="Arial"/>
                <w:b/>
                <w:bCs/>
                <w:sz w:val="18"/>
                <w:szCs w:val="18"/>
              </w:rPr>
              <w:t>s</w:t>
            </w:r>
            <w:r w:rsidR="0040239B" w:rsidRPr="004D3E32">
              <w:rPr>
                <w:rFonts w:ascii="Arial" w:hAnsi="Arial"/>
                <w:b/>
                <w:bCs/>
                <w:sz w:val="18"/>
                <w:szCs w:val="18"/>
              </w:rPr>
              <w:t xml:space="preserve">uccess and </w:t>
            </w:r>
            <w:r w:rsidRPr="004D3E32">
              <w:rPr>
                <w:rFonts w:ascii="Arial" w:hAnsi="Arial"/>
                <w:b/>
                <w:bCs/>
                <w:sz w:val="18"/>
                <w:szCs w:val="18"/>
              </w:rPr>
              <w:t>f</w:t>
            </w:r>
            <w:r w:rsidR="0040239B" w:rsidRPr="004D3E32">
              <w:rPr>
                <w:rFonts w:ascii="Arial" w:hAnsi="Arial"/>
                <w:b/>
                <w:bCs/>
                <w:sz w:val="18"/>
                <w:szCs w:val="18"/>
              </w:rPr>
              <w:t xml:space="preserve">ailure </w:t>
            </w:r>
            <w:r w:rsidRPr="004D3E32">
              <w:rPr>
                <w:rFonts w:ascii="Arial" w:hAnsi="Arial"/>
                <w:b/>
                <w:bCs/>
                <w:sz w:val="18"/>
                <w:szCs w:val="18"/>
              </w:rPr>
              <w:t>g</w:t>
            </w:r>
            <w:r w:rsidR="0040239B" w:rsidRPr="004D3E32">
              <w:rPr>
                <w:rFonts w:ascii="Arial" w:hAnsi="Arial"/>
                <w:b/>
                <w:bCs/>
                <w:sz w:val="18"/>
                <w:szCs w:val="18"/>
              </w:rPr>
              <w:t>roups</w:t>
            </w:r>
          </w:p>
        </w:tc>
        <w:tc>
          <w:tcPr>
            <w:tcW w:w="0" w:type="auto"/>
            <w:tcBorders>
              <w:top w:val="single" w:sz="6" w:space="0" w:color="auto"/>
              <w:bottom w:val="single" w:sz="6" w:space="0" w:color="auto"/>
            </w:tcBorders>
            <w:vAlign w:val="center"/>
            <w:hideMark/>
          </w:tcPr>
          <w:p w14:paraId="111FA3FE" w14:textId="77777777" w:rsidR="001757E7" w:rsidRPr="004D3E32" w:rsidRDefault="0040239B" w:rsidP="001E1E7C">
            <w:pPr>
              <w:spacing w:line="276" w:lineRule="auto"/>
              <w:jc w:val="center"/>
              <w:rPr>
                <w:rFonts w:ascii="Arial" w:hAnsi="Arial"/>
                <w:sz w:val="18"/>
                <w:szCs w:val="18"/>
              </w:rPr>
            </w:pPr>
            <w:r w:rsidRPr="004D3E32">
              <w:rPr>
                <w:rFonts w:ascii="Arial" w:hAnsi="Arial"/>
                <w:sz w:val="18"/>
                <w:szCs w:val="18"/>
              </w:rPr>
              <w:t>Mean</w:t>
            </w:r>
            <w:r w:rsidR="001757E7" w:rsidRPr="004D3E32">
              <w:rPr>
                <w:rFonts w:ascii="Arial" w:hAnsi="Arial"/>
                <w:sz w:val="18"/>
                <w:szCs w:val="18"/>
              </w:rPr>
              <w:t xml:space="preserve"> (SD)</w:t>
            </w:r>
            <w:r w:rsidRPr="004D3E32">
              <w:rPr>
                <w:rFonts w:ascii="Arial" w:hAnsi="Arial"/>
                <w:sz w:val="18"/>
                <w:szCs w:val="18"/>
              </w:rPr>
              <w:t xml:space="preserve"> IV-TCZ dose </w:t>
            </w:r>
            <w:r w:rsidR="001757E7" w:rsidRPr="004D3E32">
              <w:rPr>
                <w:rFonts w:ascii="Arial" w:hAnsi="Arial"/>
                <w:sz w:val="18"/>
                <w:szCs w:val="18"/>
              </w:rPr>
              <w:t>(</w:t>
            </w:r>
            <w:r w:rsidRPr="004D3E32">
              <w:rPr>
                <w:rFonts w:ascii="Arial" w:hAnsi="Arial"/>
                <w:sz w:val="18"/>
                <w:szCs w:val="18"/>
              </w:rPr>
              <w:t>mg/kg</w:t>
            </w:r>
            <w:r w:rsidR="001757E7" w:rsidRPr="004D3E32">
              <w:rPr>
                <w:rFonts w:ascii="Arial" w:hAnsi="Arial"/>
                <w:sz w:val="18"/>
                <w:szCs w:val="18"/>
              </w:rPr>
              <w:t>)</w:t>
            </w:r>
            <w:r w:rsidRPr="004D3E32">
              <w:rPr>
                <w:rFonts w:ascii="Arial" w:hAnsi="Arial"/>
                <w:sz w:val="18"/>
                <w:szCs w:val="18"/>
              </w:rPr>
              <w:t>: 8.2 (0.3) vs 7.7 (0.5</w:t>
            </w:r>
            <w:proofErr w:type="gramStart"/>
            <w:r w:rsidRPr="004D3E32">
              <w:rPr>
                <w:rFonts w:ascii="Arial" w:hAnsi="Arial"/>
                <w:sz w:val="18"/>
                <w:szCs w:val="18"/>
              </w:rPr>
              <w:t>);</w:t>
            </w:r>
            <w:proofErr w:type="gramEnd"/>
            <w:r w:rsidRPr="004D3E32">
              <w:rPr>
                <w:rFonts w:ascii="Arial" w:hAnsi="Arial"/>
                <w:sz w:val="18"/>
                <w:szCs w:val="18"/>
              </w:rPr>
              <w:t xml:space="preserve"> </w:t>
            </w:r>
          </w:p>
          <w:p w14:paraId="381FCD14" w14:textId="1C94BCE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number of patients on concomitant MTX: 5/11 vs 22/26</w:t>
            </w:r>
          </w:p>
        </w:tc>
        <w:tc>
          <w:tcPr>
            <w:tcW w:w="0" w:type="auto"/>
            <w:tcBorders>
              <w:top w:val="single" w:sz="6" w:space="0" w:color="auto"/>
              <w:bottom w:val="single" w:sz="6" w:space="0" w:color="auto"/>
            </w:tcBorders>
            <w:vAlign w:val="center"/>
            <w:hideMark/>
          </w:tcPr>
          <w:p w14:paraId="370B46DE" w14:textId="4285A842"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Monotherapy: 10/11 vs 8/17</w:t>
            </w:r>
          </w:p>
        </w:tc>
        <w:tc>
          <w:tcPr>
            <w:tcW w:w="0" w:type="auto"/>
            <w:tcBorders>
              <w:top w:val="single" w:sz="6" w:space="0" w:color="auto"/>
              <w:bottom w:val="single" w:sz="6" w:space="0" w:color="auto"/>
            </w:tcBorders>
            <w:vAlign w:val="center"/>
            <w:hideMark/>
          </w:tcPr>
          <w:p w14:paraId="46AA7AE1" w14:textId="3875DA71" w:rsidR="0040239B" w:rsidRPr="004D3E32" w:rsidRDefault="0061594A" w:rsidP="001E1E7C">
            <w:pPr>
              <w:spacing w:line="276" w:lineRule="auto"/>
              <w:jc w:val="center"/>
              <w:rPr>
                <w:rFonts w:ascii="Arial" w:hAnsi="Arial"/>
                <w:sz w:val="18"/>
                <w:szCs w:val="18"/>
              </w:rPr>
            </w:pPr>
            <w:r w:rsidRPr="004D3E32">
              <w:rPr>
                <w:rFonts w:ascii="Arial" w:hAnsi="Arial"/>
                <w:sz w:val="18"/>
                <w:szCs w:val="18"/>
              </w:rPr>
              <w:t>Any</w:t>
            </w:r>
          </w:p>
        </w:tc>
      </w:tr>
      <w:tr w:rsidR="00A20FF0" w:rsidRPr="004D3E32" w14:paraId="4184EC28" w14:textId="77777777" w:rsidTr="00DE6DFE">
        <w:trPr>
          <w:trHeight w:val="340"/>
        </w:trPr>
        <w:tc>
          <w:tcPr>
            <w:tcW w:w="0" w:type="auto"/>
            <w:tcBorders>
              <w:top w:val="single" w:sz="6" w:space="0" w:color="auto"/>
              <w:bottom w:val="single" w:sz="6" w:space="0" w:color="auto"/>
            </w:tcBorders>
            <w:vAlign w:val="center"/>
            <w:hideMark/>
          </w:tcPr>
          <w:p w14:paraId="4314EFB6" w14:textId="245B911E"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 xml:space="preserve">Time to </w:t>
            </w:r>
            <w:r w:rsidR="001757E7" w:rsidRPr="004D3E32">
              <w:rPr>
                <w:rFonts w:ascii="Arial" w:hAnsi="Arial"/>
                <w:b/>
                <w:bCs/>
                <w:sz w:val="18"/>
                <w:szCs w:val="18"/>
              </w:rPr>
              <w:t>p</w:t>
            </w:r>
            <w:r w:rsidRPr="004D3E32">
              <w:rPr>
                <w:rFonts w:ascii="Arial" w:hAnsi="Arial"/>
                <w:b/>
                <w:bCs/>
                <w:sz w:val="18"/>
                <w:szCs w:val="18"/>
              </w:rPr>
              <w:t xml:space="preserve">rimary </w:t>
            </w:r>
            <w:r w:rsidR="001757E7" w:rsidRPr="004D3E32">
              <w:rPr>
                <w:rFonts w:ascii="Arial" w:hAnsi="Arial"/>
                <w:b/>
                <w:bCs/>
                <w:sz w:val="18"/>
                <w:szCs w:val="18"/>
              </w:rPr>
              <w:t>o</w:t>
            </w:r>
            <w:r w:rsidRPr="004D3E32">
              <w:rPr>
                <w:rFonts w:ascii="Arial" w:hAnsi="Arial"/>
                <w:b/>
                <w:bCs/>
                <w:sz w:val="18"/>
                <w:szCs w:val="18"/>
              </w:rPr>
              <w:t xml:space="preserve">utcome, </w:t>
            </w:r>
            <w:r w:rsidR="001757E7" w:rsidRPr="004D3E32">
              <w:rPr>
                <w:rFonts w:ascii="Arial" w:hAnsi="Arial"/>
                <w:b/>
                <w:bCs/>
                <w:sz w:val="18"/>
                <w:szCs w:val="18"/>
              </w:rPr>
              <w:t>m</w:t>
            </w:r>
            <w:r w:rsidRPr="004D3E32">
              <w:rPr>
                <w:rFonts w:ascii="Arial" w:hAnsi="Arial"/>
                <w:b/>
                <w:bCs/>
                <w:sz w:val="18"/>
                <w:szCs w:val="18"/>
              </w:rPr>
              <w:t>ean (</w:t>
            </w:r>
            <w:r w:rsidR="001757E7" w:rsidRPr="004D3E32">
              <w:rPr>
                <w:rFonts w:ascii="Arial" w:hAnsi="Arial"/>
                <w:b/>
                <w:bCs/>
                <w:sz w:val="18"/>
                <w:szCs w:val="18"/>
              </w:rPr>
              <w:t>m</w:t>
            </w:r>
            <w:r w:rsidRPr="004D3E32">
              <w:rPr>
                <w:rFonts w:ascii="Arial" w:hAnsi="Arial"/>
                <w:b/>
                <w:bCs/>
                <w:sz w:val="18"/>
                <w:szCs w:val="18"/>
              </w:rPr>
              <w:t>onths)</w:t>
            </w:r>
          </w:p>
        </w:tc>
        <w:tc>
          <w:tcPr>
            <w:tcW w:w="0" w:type="auto"/>
            <w:tcBorders>
              <w:top w:val="single" w:sz="6" w:space="0" w:color="auto"/>
              <w:bottom w:val="single" w:sz="6" w:space="0" w:color="auto"/>
            </w:tcBorders>
            <w:vAlign w:val="center"/>
            <w:hideMark/>
          </w:tcPr>
          <w:p w14:paraId="153D0265"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3.2</w:t>
            </w:r>
          </w:p>
        </w:tc>
        <w:tc>
          <w:tcPr>
            <w:tcW w:w="0" w:type="auto"/>
            <w:tcBorders>
              <w:top w:val="single" w:sz="6" w:space="0" w:color="auto"/>
              <w:bottom w:val="single" w:sz="6" w:space="0" w:color="auto"/>
            </w:tcBorders>
            <w:vAlign w:val="center"/>
            <w:hideMark/>
          </w:tcPr>
          <w:p w14:paraId="60919808"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12</w:t>
            </w:r>
          </w:p>
        </w:tc>
        <w:tc>
          <w:tcPr>
            <w:tcW w:w="0" w:type="auto"/>
            <w:tcBorders>
              <w:top w:val="single" w:sz="6" w:space="0" w:color="auto"/>
              <w:bottom w:val="single" w:sz="6" w:space="0" w:color="auto"/>
            </w:tcBorders>
            <w:vAlign w:val="center"/>
            <w:hideMark/>
          </w:tcPr>
          <w:p w14:paraId="4C8265B7"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3.5</w:t>
            </w:r>
          </w:p>
        </w:tc>
      </w:tr>
      <w:tr w:rsidR="00A20FF0" w:rsidRPr="004D3E32" w14:paraId="734C32DB" w14:textId="77777777" w:rsidTr="00DE6DFE">
        <w:trPr>
          <w:trHeight w:val="340"/>
        </w:trPr>
        <w:tc>
          <w:tcPr>
            <w:tcW w:w="0" w:type="auto"/>
            <w:tcBorders>
              <w:top w:val="single" w:sz="6" w:space="0" w:color="auto"/>
              <w:bottom w:val="single" w:sz="6" w:space="0" w:color="auto"/>
            </w:tcBorders>
            <w:vAlign w:val="center"/>
            <w:hideMark/>
          </w:tcPr>
          <w:p w14:paraId="236489BC" w14:textId="57F3BB48"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 xml:space="preserve">Primary </w:t>
            </w:r>
            <w:r w:rsidR="001757E7" w:rsidRPr="004D3E32">
              <w:rPr>
                <w:rFonts w:ascii="Arial" w:hAnsi="Arial"/>
                <w:b/>
                <w:bCs/>
                <w:sz w:val="18"/>
                <w:szCs w:val="18"/>
              </w:rPr>
              <w:t>o</w:t>
            </w:r>
            <w:r w:rsidRPr="004D3E32">
              <w:rPr>
                <w:rFonts w:ascii="Arial" w:hAnsi="Arial"/>
                <w:b/>
                <w:bCs/>
                <w:sz w:val="18"/>
                <w:szCs w:val="18"/>
              </w:rPr>
              <w:t>utcome</w:t>
            </w:r>
          </w:p>
        </w:tc>
        <w:tc>
          <w:tcPr>
            <w:tcW w:w="0" w:type="auto"/>
            <w:tcBorders>
              <w:top w:val="single" w:sz="6" w:space="0" w:color="auto"/>
              <w:bottom w:val="single" w:sz="6" w:space="0" w:color="auto"/>
            </w:tcBorders>
            <w:vAlign w:val="center"/>
            <w:hideMark/>
          </w:tcPr>
          <w:p w14:paraId="6304A48C"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Flare incidence (DAS28-ESR increase &gt;1.2) within 6 months of switching to SC-TCZ</w:t>
            </w:r>
          </w:p>
        </w:tc>
        <w:tc>
          <w:tcPr>
            <w:tcW w:w="0" w:type="auto"/>
            <w:tcBorders>
              <w:top w:val="single" w:sz="6" w:space="0" w:color="auto"/>
              <w:bottom w:val="single" w:sz="6" w:space="0" w:color="auto"/>
            </w:tcBorders>
            <w:vAlign w:val="center"/>
            <w:hideMark/>
          </w:tcPr>
          <w:p w14:paraId="442971FD"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Rate and reasons for returning to IV-TCZ</w:t>
            </w:r>
          </w:p>
        </w:tc>
        <w:tc>
          <w:tcPr>
            <w:tcW w:w="0" w:type="auto"/>
            <w:tcBorders>
              <w:top w:val="single" w:sz="6" w:space="0" w:color="auto"/>
              <w:bottom w:val="single" w:sz="6" w:space="0" w:color="auto"/>
            </w:tcBorders>
            <w:vAlign w:val="center"/>
            <w:hideMark/>
          </w:tcPr>
          <w:p w14:paraId="0506DCAB"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Clinical efficacy and patient satisfaction with SC-TCZ</w:t>
            </w:r>
          </w:p>
        </w:tc>
      </w:tr>
      <w:tr w:rsidR="00A20FF0" w:rsidRPr="004D3E32" w14:paraId="18BCC38F" w14:textId="77777777" w:rsidTr="00DE6DFE">
        <w:trPr>
          <w:trHeight w:val="340"/>
        </w:trPr>
        <w:tc>
          <w:tcPr>
            <w:tcW w:w="0" w:type="auto"/>
            <w:tcBorders>
              <w:top w:val="single" w:sz="6" w:space="0" w:color="auto"/>
              <w:bottom w:val="single" w:sz="6" w:space="0" w:color="auto"/>
            </w:tcBorders>
            <w:vAlign w:val="center"/>
            <w:hideMark/>
          </w:tcPr>
          <w:p w14:paraId="4D47F83D" w14:textId="77777777" w:rsidR="0040239B" w:rsidRPr="004D3E32" w:rsidRDefault="0040239B" w:rsidP="001E1E7C">
            <w:pPr>
              <w:spacing w:line="276" w:lineRule="auto"/>
              <w:jc w:val="center"/>
              <w:rPr>
                <w:rFonts w:ascii="Arial" w:hAnsi="Arial"/>
                <w:sz w:val="18"/>
                <w:szCs w:val="18"/>
              </w:rPr>
            </w:pPr>
            <w:r w:rsidRPr="004D3E32">
              <w:rPr>
                <w:rFonts w:ascii="Arial" w:hAnsi="Arial"/>
                <w:b/>
                <w:bCs/>
                <w:sz w:val="18"/>
                <w:szCs w:val="18"/>
              </w:rPr>
              <w:t>Results (based on primary outcome)</w:t>
            </w:r>
          </w:p>
        </w:tc>
        <w:tc>
          <w:tcPr>
            <w:tcW w:w="0" w:type="auto"/>
            <w:tcBorders>
              <w:top w:val="single" w:sz="6" w:space="0" w:color="auto"/>
              <w:bottom w:val="single" w:sz="6" w:space="0" w:color="auto"/>
            </w:tcBorders>
            <w:vAlign w:val="center"/>
            <w:hideMark/>
          </w:tcPr>
          <w:p w14:paraId="5D0B1F97" w14:textId="77777777" w:rsidR="0040239B" w:rsidRPr="00DA5F4C" w:rsidRDefault="0040239B" w:rsidP="001E1E7C">
            <w:pPr>
              <w:spacing w:line="276" w:lineRule="auto"/>
              <w:jc w:val="center"/>
              <w:rPr>
                <w:rFonts w:ascii="Arial" w:hAnsi="Arial"/>
                <w:sz w:val="18"/>
                <w:szCs w:val="18"/>
              </w:rPr>
            </w:pPr>
            <w:r w:rsidRPr="00DA5F4C">
              <w:rPr>
                <w:rFonts w:ascii="Arial" w:hAnsi="Arial"/>
                <w:sz w:val="18"/>
                <w:szCs w:val="18"/>
              </w:rPr>
              <w:t>11/37 (29.7%)</w:t>
            </w:r>
          </w:p>
        </w:tc>
        <w:tc>
          <w:tcPr>
            <w:tcW w:w="0" w:type="auto"/>
            <w:tcBorders>
              <w:top w:val="single" w:sz="6" w:space="0" w:color="auto"/>
              <w:bottom w:val="single" w:sz="6" w:space="0" w:color="auto"/>
            </w:tcBorders>
            <w:vAlign w:val="center"/>
            <w:hideMark/>
          </w:tcPr>
          <w:p w14:paraId="0EC7BF1F" w14:textId="5FF481D0" w:rsidR="0040239B" w:rsidRPr="00EF3582" w:rsidRDefault="0040239B" w:rsidP="00A20FF0">
            <w:pPr>
              <w:spacing w:line="276" w:lineRule="auto"/>
              <w:jc w:val="center"/>
              <w:rPr>
                <w:rFonts w:ascii="Arial" w:hAnsi="Arial"/>
                <w:sz w:val="18"/>
                <w:szCs w:val="18"/>
              </w:rPr>
            </w:pPr>
            <w:r w:rsidRPr="00DA5F4C">
              <w:rPr>
                <w:rFonts w:ascii="Arial" w:hAnsi="Arial"/>
                <w:sz w:val="18"/>
                <w:szCs w:val="18"/>
              </w:rPr>
              <w:t>11 (39.3%)</w:t>
            </w:r>
            <w:r w:rsidRPr="00EF3582">
              <w:rPr>
                <w:rFonts w:ascii="Arial" w:hAnsi="Arial"/>
                <w:sz w:val="18"/>
                <w:szCs w:val="18"/>
              </w:rPr>
              <w:t xml:space="preserve">: </w:t>
            </w:r>
            <w:r w:rsidR="00A20FF0" w:rsidRPr="00EF3582">
              <w:rPr>
                <w:rFonts w:ascii="Arial" w:hAnsi="Arial"/>
                <w:sz w:val="18"/>
                <w:szCs w:val="18"/>
              </w:rPr>
              <w:t>i</w:t>
            </w:r>
            <w:r w:rsidRPr="00EF3582">
              <w:rPr>
                <w:rFonts w:ascii="Arial" w:hAnsi="Arial"/>
                <w:sz w:val="18"/>
                <w:szCs w:val="18"/>
              </w:rPr>
              <w:t>neffectiveness 5 (45.5%), personal preference 3 (27.3%), headache/</w:t>
            </w:r>
            <w:r w:rsidR="00A20FF0" w:rsidRPr="00EF3582">
              <w:rPr>
                <w:rFonts w:ascii="Arial" w:hAnsi="Arial"/>
                <w:sz w:val="18"/>
                <w:szCs w:val="18"/>
              </w:rPr>
              <w:t xml:space="preserve"> </w:t>
            </w:r>
            <w:r w:rsidRPr="00EF3582">
              <w:rPr>
                <w:rFonts w:ascii="Arial" w:hAnsi="Arial"/>
                <w:sz w:val="18"/>
                <w:szCs w:val="18"/>
              </w:rPr>
              <w:t>ISR/difficulty with SC 1 (9.1) each</w:t>
            </w:r>
          </w:p>
        </w:tc>
        <w:tc>
          <w:tcPr>
            <w:tcW w:w="0" w:type="auto"/>
            <w:tcBorders>
              <w:top w:val="single" w:sz="6" w:space="0" w:color="auto"/>
              <w:bottom w:val="single" w:sz="6" w:space="0" w:color="auto"/>
            </w:tcBorders>
            <w:vAlign w:val="center"/>
            <w:hideMark/>
          </w:tcPr>
          <w:p w14:paraId="1FFBC4E2" w14:textId="77777777" w:rsidR="0040239B" w:rsidRPr="004D3E32" w:rsidRDefault="0040239B" w:rsidP="001E1E7C">
            <w:pPr>
              <w:spacing w:line="276" w:lineRule="auto"/>
              <w:jc w:val="center"/>
              <w:rPr>
                <w:rFonts w:ascii="Arial" w:hAnsi="Arial"/>
                <w:sz w:val="18"/>
                <w:szCs w:val="18"/>
              </w:rPr>
            </w:pPr>
            <w:r w:rsidRPr="004D3E32">
              <w:rPr>
                <w:rFonts w:ascii="Arial" w:hAnsi="Arial"/>
                <w:sz w:val="18"/>
                <w:szCs w:val="18"/>
              </w:rPr>
              <w:t>21/30 (70.0%) relapses</w:t>
            </w:r>
          </w:p>
        </w:tc>
      </w:tr>
      <w:tr w:rsidR="00A20FF0" w:rsidRPr="004D3E32" w14:paraId="2106808C" w14:textId="77777777" w:rsidTr="00DE6DFE">
        <w:trPr>
          <w:trHeight w:val="340"/>
        </w:trPr>
        <w:tc>
          <w:tcPr>
            <w:tcW w:w="0" w:type="auto"/>
            <w:gridSpan w:val="4"/>
            <w:tcBorders>
              <w:top w:val="single" w:sz="6" w:space="0" w:color="auto"/>
            </w:tcBorders>
            <w:vAlign w:val="center"/>
            <w:hideMark/>
          </w:tcPr>
          <w:p w14:paraId="6F79718F" w14:textId="238A8452" w:rsidR="00A20FF0" w:rsidRPr="004D3E32" w:rsidRDefault="00A20FF0" w:rsidP="00A20FF0">
            <w:pPr>
              <w:spacing w:line="276" w:lineRule="auto"/>
              <w:rPr>
                <w:rFonts w:ascii="Arial" w:hAnsi="Arial"/>
                <w:sz w:val="18"/>
                <w:szCs w:val="18"/>
              </w:rPr>
            </w:pPr>
            <w:r w:rsidRPr="004D3E32">
              <w:rPr>
                <w:rFonts w:ascii="Arial" w:hAnsi="Arial"/>
                <w:b/>
                <w:bCs/>
                <w:sz w:val="18"/>
                <w:szCs w:val="18"/>
              </w:rPr>
              <w:t>DAS28 baseline-follow up, mean (SD)</w:t>
            </w:r>
          </w:p>
        </w:tc>
      </w:tr>
      <w:tr w:rsidR="00A20FF0" w:rsidRPr="004D3E32" w14:paraId="438018F1" w14:textId="77777777" w:rsidTr="008460C9">
        <w:trPr>
          <w:trHeight w:val="340"/>
        </w:trPr>
        <w:tc>
          <w:tcPr>
            <w:tcW w:w="0" w:type="auto"/>
            <w:tcBorders>
              <w:bottom w:val="nil"/>
            </w:tcBorders>
            <w:vAlign w:val="center"/>
          </w:tcPr>
          <w:p w14:paraId="7ABA634A" w14:textId="19954E60" w:rsidR="00A20FF0" w:rsidRPr="004D3E32" w:rsidRDefault="00A20FF0" w:rsidP="00A20FF0">
            <w:pPr>
              <w:spacing w:line="276" w:lineRule="auto"/>
              <w:jc w:val="center"/>
              <w:rPr>
                <w:rFonts w:ascii="Arial" w:hAnsi="Arial"/>
                <w:b/>
                <w:bCs/>
                <w:sz w:val="18"/>
                <w:szCs w:val="18"/>
              </w:rPr>
            </w:pPr>
            <w:r w:rsidRPr="004D3E32">
              <w:rPr>
                <w:rFonts w:ascii="Arial" w:hAnsi="Arial"/>
                <w:b/>
                <w:bCs/>
                <w:sz w:val="18"/>
                <w:szCs w:val="18"/>
              </w:rPr>
              <w:t>Success group</w:t>
            </w:r>
          </w:p>
        </w:tc>
        <w:tc>
          <w:tcPr>
            <w:tcW w:w="0" w:type="auto"/>
            <w:tcBorders>
              <w:bottom w:val="single" w:sz="6" w:space="0" w:color="auto"/>
            </w:tcBorders>
            <w:vAlign w:val="center"/>
          </w:tcPr>
          <w:p w14:paraId="5B80168D" w14:textId="56FF78D5"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2.2 (0.6) - 1.7</w:t>
            </w:r>
          </w:p>
        </w:tc>
        <w:tc>
          <w:tcPr>
            <w:tcW w:w="0" w:type="auto"/>
            <w:tcBorders>
              <w:bottom w:val="single" w:sz="6" w:space="0" w:color="auto"/>
            </w:tcBorders>
            <w:vAlign w:val="center"/>
          </w:tcPr>
          <w:p w14:paraId="5BEE050C" w14:textId="310C6DC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c>
          <w:tcPr>
            <w:tcW w:w="0" w:type="auto"/>
            <w:tcBorders>
              <w:bottom w:val="single" w:sz="6" w:space="0" w:color="auto"/>
            </w:tcBorders>
            <w:vAlign w:val="center"/>
          </w:tcPr>
          <w:p w14:paraId="554497CB" w14:textId="478F3063"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r>
      <w:tr w:rsidR="00A20FF0" w:rsidRPr="004D3E32" w14:paraId="31B244BE" w14:textId="77777777" w:rsidTr="008460C9">
        <w:trPr>
          <w:trHeight w:val="340"/>
        </w:trPr>
        <w:tc>
          <w:tcPr>
            <w:tcW w:w="0" w:type="auto"/>
            <w:tcBorders>
              <w:bottom w:val="single" w:sz="6" w:space="0" w:color="auto"/>
            </w:tcBorders>
            <w:vAlign w:val="center"/>
            <w:hideMark/>
          </w:tcPr>
          <w:p w14:paraId="117E4F9B" w14:textId="1898CDE4" w:rsidR="00A20FF0" w:rsidRPr="004D3E32" w:rsidRDefault="00A20FF0" w:rsidP="00A20FF0">
            <w:pPr>
              <w:spacing w:line="276" w:lineRule="auto"/>
              <w:jc w:val="center"/>
              <w:rPr>
                <w:rFonts w:ascii="Arial" w:hAnsi="Arial"/>
                <w:b/>
                <w:bCs/>
                <w:sz w:val="18"/>
                <w:szCs w:val="18"/>
              </w:rPr>
            </w:pPr>
            <w:r w:rsidRPr="004D3E32">
              <w:rPr>
                <w:rFonts w:ascii="Arial" w:hAnsi="Arial"/>
                <w:b/>
                <w:bCs/>
                <w:sz w:val="18"/>
                <w:szCs w:val="18"/>
              </w:rPr>
              <w:t>Failure group</w:t>
            </w:r>
          </w:p>
        </w:tc>
        <w:tc>
          <w:tcPr>
            <w:tcW w:w="0" w:type="auto"/>
            <w:tcBorders>
              <w:top w:val="single" w:sz="6" w:space="0" w:color="auto"/>
              <w:bottom w:val="single" w:sz="6" w:space="0" w:color="auto"/>
            </w:tcBorders>
            <w:vAlign w:val="center"/>
            <w:hideMark/>
          </w:tcPr>
          <w:p w14:paraId="35C0B17F" w14:textId="0464C5FE"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2.5 (0.6) - 5.0</w:t>
            </w:r>
          </w:p>
        </w:tc>
        <w:tc>
          <w:tcPr>
            <w:tcW w:w="0" w:type="auto"/>
            <w:tcBorders>
              <w:top w:val="single" w:sz="6" w:space="0" w:color="auto"/>
              <w:bottom w:val="single" w:sz="6" w:space="0" w:color="auto"/>
            </w:tcBorders>
            <w:vAlign w:val="center"/>
            <w:hideMark/>
          </w:tcPr>
          <w:p w14:paraId="3C6613DA" w14:textId="5ACF75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33146D4F" w14:textId="4767041E"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r>
      <w:tr w:rsidR="00A20FF0" w:rsidRPr="004D3E32" w14:paraId="39A6A7C0" w14:textId="77777777" w:rsidTr="00DE6DFE">
        <w:trPr>
          <w:trHeight w:val="340"/>
        </w:trPr>
        <w:tc>
          <w:tcPr>
            <w:tcW w:w="0" w:type="auto"/>
            <w:tcBorders>
              <w:top w:val="single" w:sz="6" w:space="0" w:color="auto"/>
              <w:bottom w:val="single" w:sz="6" w:space="0" w:color="auto"/>
            </w:tcBorders>
            <w:vAlign w:val="center"/>
            <w:hideMark/>
          </w:tcPr>
          <w:p w14:paraId="1F040D15" w14:textId="0960E92F"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t>Patients who successfully returned to IV-TCZ, n (%)</w:t>
            </w:r>
          </w:p>
        </w:tc>
        <w:tc>
          <w:tcPr>
            <w:tcW w:w="0" w:type="auto"/>
            <w:tcBorders>
              <w:top w:val="single" w:sz="6" w:space="0" w:color="auto"/>
              <w:bottom w:val="single" w:sz="6" w:space="0" w:color="auto"/>
            </w:tcBorders>
            <w:vAlign w:val="center"/>
            <w:hideMark/>
          </w:tcPr>
          <w:p w14:paraId="7976B338"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8/11 (88.9%)</w:t>
            </w:r>
          </w:p>
        </w:tc>
        <w:tc>
          <w:tcPr>
            <w:tcW w:w="0" w:type="auto"/>
            <w:tcBorders>
              <w:top w:val="single" w:sz="6" w:space="0" w:color="auto"/>
              <w:bottom w:val="single" w:sz="6" w:space="0" w:color="auto"/>
            </w:tcBorders>
            <w:vAlign w:val="center"/>
            <w:hideMark/>
          </w:tcPr>
          <w:p w14:paraId="59C66E51"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11/11 (100%)</w:t>
            </w:r>
          </w:p>
        </w:tc>
        <w:tc>
          <w:tcPr>
            <w:tcW w:w="0" w:type="auto"/>
            <w:tcBorders>
              <w:top w:val="single" w:sz="6" w:space="0" w:color="auto"/>
              <w:bottom w:val="single" w:sz="6" w:space="0" w:color="auto"/>
            </w:tcBorders>
            <w:vAlign w:val="center"/>
            <w:hideMark/>
          </w:tcPr>
          <w:p w14:paraId="2C8306BF" w14:textId="1E8A12C1"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r>
      <w:tr w:rsidR="00A20FF0" w:rsidRPr="004D3E32" w14:paraId="7DAB320B" w14:textId="77777777" w:rsidTr="00DE6DFE">
        <w:trPr>
          <w:trHeight w:val="340"/>
        </w:trPr>
        <w:tc>
          <w:tcPr>
            <w:tcW w:w="0" w:type="auto"/>
            <w:tcBorders>
              <w:top w:val="single" w:sz="6" w:space="0" w:color="auto"/>
              <w:bottom w:val="single" w:sz="6" w:space="0" w:color="auto"/>
            </w:tcBorders>
            <w:vAlign w:val="center"/>
            <w:hideMark/>
          </w:tcPr>
          <w:p w14:paraId="497E4CD6" w14:textId="1F86EA03"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t>Factors significantly associated with primary outcome</w:t>
            </w:r>
          </w:p>
        </w:tc>
        <w:tc>
          <w:tcPr>
            <w:tcW w:w="0" w:type="auto"/>
            <w:tcBorders>
              <w:top w:val="single" w:sz="6" w:space="0" w:color="auto"/>
              <w:bottom w:val="single" w:sz="6" w:space="0" w:color="auto"/>
            </w:tcBorders>
            <w:vAlign w:val="center"/>
            <w:hideMark/>
          </w:tcPr>
          <w:p w14:paraId="0DA0FE23" w14:textId="13A14104" w:rsidR="00A20FF0" w:rsidRPr="004D3E32" w:rsidRDefault="00A20FF0" w:rsidP="00A20FF0">
            <w:pPr>
              <w:spacing w:line="276" w:lineRule="auto"/>
              <w:jc w:val="center"/>
              <w:rPr>
                <w:rFonts w:ascii="Arial" w:hAnsi="Arial"/>
                <w:sz w:val="18"/>
                <w:szCs w:val="18"/>
                <w:lang w:val="it-IT"/>
              </w:rPr>
            </w:pPr>
            <w:r w:rsidRPr="004D3E32">
              <w:rPr>
                <w:rFonts w:ascii="Arial" w:hAnsi="Arial"/>
                <w:sz w:val="18"/>
                <w:szCs w:val="18"/>
                <w:lang w:val="it-IT"/>
              </w:rPr>
              <w:t xml:space="preserve">IV-TCZ dose (OR, 20.7; 95%CI, 2.2-192.8; p=0.008); </w:t>
            </w:r>
          </w:p>
          <w:p w14:paraId="0D5690A7" w14:textId="43AAFBA5" w:rsidR="00A20FF0" w:rsidRPr="004D3E32" w:rsidRDefault="00A20FF0" w:rsidP="00A20FF0">
            <w:pPr>
              <w:spacing w:line="276" w:lineRule="auto"/>
              <w:jc w:val="center"/>
              <w:rPr>
                <w:rFonts w:ascii="Arial" w:hAnsi="Arial"/>
                <w:sz w:val="18"/>
                <w:szCs w:val="18"/>
                <w:lang w:val="it-IT"/>
              </w:rPr>
            </w:pPr>
            <w:r w:rsidRPr="004D3E32">
              <w:rPr>
                <w:rFonts w:ascii="Arial" w:hAnsi="Arial"/>
                <w:sz w:val="18"/>
                <w:szCs w:val="18"/>
                <w:lang w:val="it-IT"/>
              </w:rPr>
              <w:t>non-</w:t>
            </w:r>
            <w:proofErr w:type="spellStart"/>
            <w:r w:rsidRPr="004D3E32">
              <w:rPr>
                <w:rFonts w:ascii="Arial" w:hAnsi="Arial"/>
                <w:sz w:val="18"/>
                <w:szCs w:val="18"/>
                <w:lang w:val="it-IT"/>
              </w:rPr>
              <w:t>concomitant</w:t>
            </w:r>
            <w:proofErr w:type="spellEnd"/>
            <w:r w:rsidRPr="004D3E32">
              <w:rPr>
                <w:rFonts w:ascii="Arial" w:hAnsi="Arial"/>
                <w:sz w:val="18"/>
                <w:szCs w:val="18"/>
                <w:lang w:val="it-IT"/>
              </w:rPr>
              <w:t xml:space="preserve"> MTX (OR, 8.5; 95%CI, 1.2-60.4; p=0.03)</w:t>
            </w:r>
          </w:p>
        </w:tc>
        <w:tc>
          <w:tcPr>
            <w:tcW w:w="0" w:type="auto"/>
            <w:tcBorders>
              <w:top w:val="single" w:sz="6" w:space="0" w:color="auto"/>
              <w:bottom w:val="single" w:sz="6" w:space="0" w:color="auto"/>
            </w:tcBorders>
            <w:vAlign w:val="center"/>
            <w:hideMark/>
          </w:tcPr>
          <w:p w14:paraId="4CF80127"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61510EA1" w14:textId="02A1C896"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r>
      <w:tr w:rsidR="00A20FF0" w:rsidRPr="004D3E32" w14:paraId="05971E6A" w14:textId="77777777" w:rsidTr="00DE6DFE">
        <w:trPr>
          <w:trHeight w:val="340"/>
        </w:trPr>
        <w:tc>
          <w:tcPr>
            <w:tcW w:w="0" w:type="auto"/>
            <w:tcBorders>
              <w:top w:val="single" w:sz="6" w:space="0" w:color="auto"/>
              <w:bottom w:val="single" w:sz="6" w:space="0" w:color="auto"/>
            </w:tcBorders>
            <w:vAlign w:val="center"/>
            <w:hideMark/>
          </w:tcPr>
          <w:p w14:paraId="2BABBDFE" w14:textId="77777777"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t>Other Outcomes</w:t>
            </w:r>
          </w:p>
        </w:tc>
        <w:tc>
          <w:tcPr>
            <w:tcW w:w="0" w:type="auto"/>
            <w:tcBorders>
              <w:top w:val="single" w:sz="6" w:space="0" w:color="auto"/>
              <w:bottom w:val="single" w:sz="6" w:space="0" w:color="auto"/>
            </w:tcBorders>
            <w:vAlign w:val="center"/>
            <w:hideMark/>
          </w:tcPr>
          <w:p w14:paraId="76A4859F"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20A7287D"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47C90379"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No</w:t>
            </w:r>
          </w:p>
        </w:tc>
      </w:tr>
      <w:tr w:rsidR="00A20FF0" w:rsidRPr="004D3E32" w14:paraId="6498AE5C" w14:textId="77777777" w:rsidTr="00DE6DFE">
        <w:trPr>
          <w:trHeight w:val="340"/>
        </w:trPr>
        <w:tc>
          <w:tcPr>
            <w:tcW w:w="0" w:type="auto"/>
            <w:tcBorders>
              <w:top w:val="single" w:sz="6" w:space="0" w:color="auto"/>
              <w:bottom w:val="single" w:sz="6" w:space="0" w:color="auto"/>
            </w:tcBorders>
            <w:vAlign w:val="center"/>
            <w:hideMark/>
          </w:tcPr>
          <w:p w14:paraId="117679BD" w14:textId="473A7C6A"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t>SC-TCZ maintenance or retention rate</w:t>
            </w:r>
          </w:p>
        </w:tc>
        <w:tc>
          <w:tcPr>
            <w:tcW w:w="0" w:type="auto"/>
            <w:tcBorders>
              <w:top w:val="single" w:sz="6" w:space="0" w:color="auto"/>
              <w:bottom w:val="single" w:sz="6" w:space="0" w:color="auto"/>
            </w:tcBorders>
            <w:vAlign w:val="center"/>
            <w:hideMark/>
          </w:tcPr>
          <w:p w14:paraId="0929081A"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70.3%</w:t>
            </w:r>
          </w:p>
        </w:tc>
        <w:tc>
          <w:tcPr>
            <w:tcW w:w="0" w:type="auto"/>
            <w:tcBorders>
              <w:top w:val="single" w:sz="6" w:space="0" w:color="auto"/>
              <w:bottom w:val="single" w:sz="6" w:space="0" w:color="auto"/>
            </w:tcBorders>
            <w:vAlign w:val="center"/>
            <w:hideMark/>
          </w:tcPr>
          <w:p w14:paraId="06288904"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60.7%</w:t>
            </w:r>
          </w:p>
        </w:tc>
        <w:tc>
          <w:tcPr>
            <w:tcW w:w="0" w:type="auto"/>
            <w:tcBorders>
              <w:top w:val="single" w:sz="6" w:space="0" w:color="auto"/>
              <w:bottom w:val="single" w:sz="6" w:space="0" w:color="auto"/>
            </w:tcBorders>
            <w:vAlign w:val="center"/>
            <w:hideMark/>
          </w:tcPr>
          <w:p w14:paraId="5C1D2170"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30.0%</w:t>
            </w:r>
          </w:p>
        </w:tc>
      </w:tr>
      <w:tr w:rsidR="00A20FF0" w:rsidRPr="004D3E32" w14:paraId="47AE4834" w14:textId="77777777" w:rsidTr="00DE6DFE">
        <w:trPr>
          <w:trHeight w:val="340"/>
        </w:trPr>
        <w:tc>
          <w:tcPr>
            <w:tcW w:w="0" w:type="auto"/>
            <w:tcBorders>
              <w:top w:val="single" w:sz="6" w:space="0" w:color="auto"/>
              <w:bottom w:val="single" w:sz="6" w:space="0" w:color="auto"/>
            </w:tcBorders>
            <w:vAlign w:val="center"/>
            <w:hideMark/>
          </w:tcPr>
          <w:p w14:paraId="5065F61C" w14:textId="77777777"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lastRenderedPageBreak/>
              <w:t>Incidence of AEs [SAEs]</w:t>
            </w:r>
          </w:p>
        </w:tc>
        <w:tc>
          <w:tcPr>
            <w:tcW w:w="0" w:type="auto"/>
            <w:tcBorders>
              <w:top w:val="single" w:sz="6" w:space="0" w:color="auto"/>
              <w:bottom w:val="single" w:sz="6" w:space="0" w:color="auto"/>
            </w:tcBorders>
            <w:vAlign w:val="center"/>
            <w:hideMark/>
          </w:tcPr>
          <w:p w14:paraId="729F5F38" w14:textId="1448B123"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6714D962" w14:textId="694CBD2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25E47020"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30.7% (5/26 skin reactions, 1/26 transaminase elevation, 1/26 arthrocentesis, 1/26 hospitalization for steroid boluses)</w:t>
            </w:r>
          </w:p>
        </w:tc>
      </w:tr>
      <w:tr w:rsidR="00A20FF0" w:rsidRPr="004D3E32" w14:paraId="7FB235BB" w14:textId="77777777" w:rsidTr="0061594A">
        <w:trPr>
          <w:trHeight w:val="340"/>
        </w:trPr>
        <w:tc>
          <w:tcPr>
            <w:tcW w:w="0" w:type="auto"/>
            <w:tcBorders>
              <w:top w:val="single" w:sz="6" w:space="0" w:color="auto"/>
              <w:bottom w:val="single" w:sz="6" w:space="0" w:color="auto"/>
            </w:tcBorders>
            <w:vAlign w:val="center"/>
            <w:hideMark/>
          </w:tcPr>
          <w:p w14:paraId="0414BECC" w14:textId="5482ABAE" w:rsidR="00A20FF0" w:rsidRPr="004D3E32" w:rsidRDefault="00A20FF0" w:rsidP="00A20FF0">
            <w:pPr>
              <w:spacing w:line="276" w:lineRule="auto"/>
              <w:jc w:val="center"/>
              <w:rPr>
                <w:rFonts w:ascii="Arial" w:hAnsi="Arial"/>
                <w:sz w:val="18"/>
                <w:szCs w:val="18"/>
              </w:rPr>
            </w:pPr>
            <w:r w:rsidRPr="004D3E32">
              <w:rPr>
                <w:rFonts w:ascii="Arial" w:hAnsi="Arial"/>
                <w:b/>
                <w:bCs/>
                <w:sz w:val="18"/>
                <w:szCs w:val="18"/>
              </w:rPr>
              <w:t>Reason for switch</w:t>
            </w:r>
          </w:p>
        </w:tc>
        <w:tc>
          <w:tcPr>
            <w:tcW w:w="0" w:type="auto"/>
            <w:tcBorders>
              <w:top w:val="single" w:sz="6" w:space="0" w:color="auto"/>
              <w:bottom w:val="single" w:sz="6" w:space="0" w:color="auto"/>
            </w:tcBorders>
            <w:vAlign w:val="center"/>
            <w:hideMark/>
          </w:tcPr>
          <w:p w14:paraId="2AE84BA9" w14:textId="2715A1F3"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2CAB6B09"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COVID pandemic context</w:t>
            </w:r>
          </w:p>
        </w:tc>
        <w:tc>
          <w:tcPr>
            <w:tcW w:w="0" w:type="auto"/>
            <w:tcBorders>
              <w:top w:val="single" w:sz="6" w:space="0" w:color="auto"/>
              <w:bottom w:val="single" w:sz="6" w:space="0" w:color="auto"/>
            </w:tcBorders>
            <w:vAlign w:val="center"/>
            <w:hideMark/>
          </w:tcPr>
          <w:p w14:paraId="47360D8A" w14:textId="77777777" w:rsidR="00A20FF0" w:rsidRPr="004D3E32" w:rsidRDefault="00A20FF0" w:rsidP="00A20FF0">
            <w:pPr>
              <w:spacing w:line="276" w:lineRule="auto"/>
              <w:jc w:val="center"/>
              <w:rPr>
                <w:rFonts w:ascii="Arial" w:hAnsi="Arial"/>
                <w:sz w:val="18"/>
                <w:szCs w:val="18"/>
              </w:rPr>
            </w:pPr>
            <w:r w:rsidRPr="004D3E32">
              <w:rPr>
                <w:rFonts w:ascii="Arial" w:hAnsi="Arial"/>
                <w:sz w:val="18"/>
                <w:szCs w:val="18"/>
              </w:rPr>
              <w:t>COVID pandemic context</w:t>
            </w:r>
          </w:p>
        </w:tc>
      </w:tr>
    </w:tbl>
    <w:p w14:paraId="2A643795" w14:textId="0BFD5263" w:rsidR="0040239B" w:rsidRPr="006C48F1" w:rsidRDefault="008C5464" w:rsidP="008C5464">
      <w:pPr>
        <w:spacing w:before="240" w:line="480" w:lineRule="auto"/>
        <w:jc w:val="both"/>
        <w:rPr>
          <w:rFonts w:ascii="Arial" w:hAnsi="Arial"/>
        </w:rPr>
      </w:pPr>
      <w:r w:rsidRPr="006C48F1">
        <w:rPr>
          <w:rFonts w:ascii="Arial" w:hAnsi="Arial"/>
          <w:sz w:val="18"/>
          <w:szCs w:val="18"/>
        </w:rPr>
        <w:t>Abbreviations: AE: adverse event; DAS28: Disease activity score on 28 joints; ESR: erythrocyte sedimentation rate; IV: intravenous; MTX: methotrexate; nr: not reported; np: not applicable; RA: rheumatoid arthritis; SAE: severe AE; SC: subcutaneous; SD: standard deviation; TCZ: tocilizumab.</w:t>
      </w:r>
    </w:p>
    <w:p w14:paraId="5C10ED17" w14:textId="77777777" w:rsidR="005D0757" w:rsidRDefault="005D0757">
      <w:pPr>
        <w:spacing w:after="160" w:line="278" w:lineRule="auto"/>
        <w:rPr>
          <w:rFonts w:ascii="Arial" w:hAnsi="Arial"/>
          <w:b/>
          <w:bCs/>
          <w:sz w:val="20"/>
          <w:szCs w:val="20"/>
        </w:rPr>
      </w:pPr>
      <w:r>
        <w:rPr>
          <w:rFonts w:ascii="Arial" w:hAnsi="Arial"/>
          <w:b/>
          <w:bCs/>
          <w:sz w:val="20"/>
          <w:szCs w:val="20"/>
        </w:rPr>
        <w:br w:type="page"/>
      </w:r>
    </w:p>
    <w:p w14:paraId="4E0C4769" w14:textId="59383332" w:rsidR="0040239B" w:rsidRPr="00DA5F4C" w:rsidRDefault="00997D09" w:rsidP="003C4310">
      <w:pPr>
        <w:spacing w:line="480" w:lineRule="auto"/>
        <w:rPr>
          <w:rFonts w:ascii="Arial" w:hAnsi="Arial"/>
          <w:b/>
          <w:bCs/>
          <w:sz w:val="20"/>
          <w:szCs w:val="20"/>
        </w:rPr>
      </w:pPr>
      <w:r w:rsidRPr="00DA5F4C">
        <w:rPr>
          <w:rFonts w:ascii="Arial" w:hAnsi="Arial"/>
          <w:b/>
          <w:bCs/>
          <w:sz w:val="20"/>
          <w:szCs w:val="20"/>
        </w:rPr>
        <w:lastRenderedPageBreak/>
        <w:t xml:space="preserve">Supplementary </w:t>
      </w:r>
      <w:r w:rsidR="001B42EB" w:rsidRPr="00DA5F4C">
        <w:rPr>
          <w:rFonts w:ascii="Arial" w:hAnsi="Arial"/>
          <w:b/>
          <w:bCs/>
          <w:sz w:val="20"/>
          <w:szCs w:val="20"/>
        </w:rPr>
        <w:t xml:space="preserve">Table S4. </w:t>
      </w:r>
      <w:r w:rsidR="001B42EB" w:rsidRPr="00DA5F4C">
        <w:rPr>
          <w:rFonts w:ascii="Arial" w:hAnsi="Arial"/>
          <w:sz w:val="20"/>
          <w:szCs w:val="20"/>
        </w:rPr>
        <w:t xml:space="preserve">Summary of studies comparing IV-to-SC switchers with IV-to-IV patients.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696"/>
        <w:gridCol w:w="1985"/>
        <w:gridCol w:w="1701"/>
        <w:gridCol w:w="1843"/>
        <w:gridCol w:w="1791"/>
      </w:tblGrid>
      <w:tr w:rsidR="00597F24" w:rsidRPr="004D3E32" w14:paraId="5152921F" w14:textId="39FA81EF" w:rsidTr="008460C9">
        <w:tc>
          <w:tcPr>
            <w:tcW w:w="1696" w:type="dxa"/>
            <w:tcBorders>
              <w:bottom w:val="single" w:sz="12" w:space="0" w:color="auto"/>
            </w:tcBorders>
            <w:vAlign w:val="center"/>
            <w:hideMark/>
          </w:tcPr>
          <w:p w14:paraId="79CCD37C" w14:textId="77777777" w:rsidR="00597F24" w:rsidRPr="004D3E32" w:rsidRDefault="00597F24" w:rsidP="001757E7">
            <w:pPr>
              <w:spacing w:line="276" w:lineRule="auto"/>
              <w:jc w:val="center"/>
              <w:rPr>
                <w:rFonts w:ascii="Arial" w:hAnsi="Arial"/>
                <w:b/>
                <w:bCs/>
                <w:sz w:val="16"/>
                <w:szCs w:val="16"/>
              </w:rPr>
            </w:pPr>
            <w:r w:rsidRPr="004D3E32">
              <w:rPr>
                <w:rFonts w:ascii="Arial" w:hAnsi="Arial"/>
                <w:b/>
                <w:bCs/>
                <w:sz w:val="16"/>
                <w:szCs w:val="16"/>
              </w:rPr>
              <w:t>Study</w:t>
            </w:r>
          </w:p>
        </w:tc>
        <w:tc>
          <w:tcPr>
            <w:tcW w:w="1985" w:type="dxa"/>
            <w:tcBorders>
              <w:bottom w:val="single" w:sz="12" w:space="0" w:color="auto"/>
            </w:tcBorders>
            <w:hideMark/>
          </w:tcPr>
          <w:p w14:paraId="41DA2DF0" w14:textId="398E234C" w:rsidR="00597F24" w:rsidRPr="004D3E32" w:rsidRDefault="00597F24" w:rsidP="009175EA">
            <w:pPr>
              <w:spacing w:line="276" w:lineRule="auto"/>
              <w:jc w:val="center"/>
              <w:rPr>
                <w:rFonts w:ascii="Arial" w:hAnsi="Arial"/>
                <w:b/>
                <w:bCs/>
                <w:sz w:val="16"/>
                <w:szCs w:val="16"/>
              </w:rPr>
            </w:pPr>
            <w:r w:rsidRPr="004D3E32">
              <w:rPr>
                <w:rFonts w:ascii="Arial" w:hAnsi="Arial"/>
                <w:b/>
                <w:bCs/>
                <w:sz w:val="16"/>
                <w:szCs w:val="16"/>
              </w:rPr>
              <w:t>Burm</w:t>
            </w:r>
            <w:r w:rsidR="00267A4C" w:rsidRPr="004D3E32">
              <w:rPr>
                <w:rFonts w:ascii="Arial" w:hAnsi="Arial"/>
                <w:b/>
                <w:bCs/>
                <w:sz w:val="16"/>
                <w:szCs w:val="16"/>
              </w:rPr>
              <w:t>e</w:t>
            </w:r>
            <w:r w:rsidRPr="004D3E32">
              <w:rPr>
                <w:rFonts w:ascii="Arial" w:hAnsi="Arial"/>
                <w:b/>
                <w:bCs/>
                <w:sz w:val="16"/>
                <w:szCs w:val="16"/>
              </w:rPr>
              <w:t xml:space="preserve">ster GR, 2015 </w:t>
            </w:r>
            <w:r w:rsidR="00267A4C" w:rsidRPr="004D3E32">
              <w:rPr>
                <w:rFonts w:ascii="Arial" w:hAnsi="Arial"/>
                <w:sz w:val="16"/>
                <w:szCs w:val="16"/>
              </w:rPr>
              <w:fldChar w:fldCharType="begin"/>
            </w:r>
            <w:r w:rsidR="004D3E32">
              <w:rPr>
                <w:rFonts w:ascii="Arial" w:hAnsi="Arial"/>
                <w:sz w:val="16"/>
                <w:szCs w:val="16"/>
              </w:rPr>
              <w:instrText xml:space="preserve"> ADDIN ZOTERO_ITEM CSL_CITATION {"citationID":"k860uTVG","properties":{"formattedCitation":"\\super 7\\nosupersub{}","plainCitation":"7","noteIndex":0},"citationItems":[{"id":75263,"uris":["http://zotero.org/groups/5287747/items/9MBBM4RM"],"itemData":{"id":75263,"type":"article-journal","abstract":"Objectives This study compared the efficacy and safety of subcutaneous (SC) versus intravenous (IV) formulations of tocilizumab in patients with rheumatoid arthritis with an inadequate response to disease-modifying antirheumatic drugs (DMARD). Methods Patients (n=1262) were randomly assigned to receive tocilizumab-SC 162 mg weekly+placebo-IV every 4 weeks or tocilizumab-IV 8 mg/kg every 4 weeks+placebo-SC weekly in combination with traditional DMARD. The primary outcome was to demonstrate the non-inferiority of tocilizumab-SC to tocilizumab-IV with regard to the proportion of patients in each group achieving an American College of Rheumatology (ACR) 20 response at week 24 using a 12% non-inferiority margin (NIM). Secondary outcomes were disease activity score using 28 joints (DAS28), ACR responses, health assessment questionnaire scores and safety assessments. Results At week 24, 69.4% (95% CI 65.5 to 73.2) of tocilizumab-SC-treated patients versus 73.4% (95% CI 69.6 to 77.1) of tocilizumab-IV-treated patients achieved an ACR20 response (weighted difference between groups -4.0%, 95% CI -9.2 to 1.2); the 12% NIM was met. ACR50/70 responses, DAS28 and physical function improvements were comparable between the tocilizumab- SC and tocilizumab-IV groups. The safety profiles of tocilizumab-SC and tocilizumab-IV were similar, and the most common adverse event was infection. Injection-site reactions (ISR) occurred more frequently in the tocilizumab- SC group than in the tocilizumab-IV (placebo-SC) group. No anaphylaxis was reported over the 24 weeks. Conclusions Tocilizumab-SC 162 mg weekly demonstrated comparable efficacy to tocilizumab-IV 8 mg/kg. The safety profile of tocilizumab-SC is consistent with the known and well-established safety profile of tocilizumab-IV, with the exception of a higher incidence of ISR, which were more common with tocilizumab-SC administration.","archive":"Embase","container-title":"Annals of the Rheumatic Diseases","DOI":"10.1136/annrheumdis-2013-203523","ISSN":"0003-4967","issue":"1","journalAbbreviation":"Ann. Rheum. Dis.","language":"English","page":"69-74","title":"A randomised, double-blind, parallel-group study of the safety and efficacy of subcutaneous tocilizumab versus intravenous tocilizumab in combination with traditional disease-modifying antirheumatic drugs in patients with moderate to severe rheumatoid arthritis (SUMMACTA study)","volume":"73","author":[{"family":"Burmester","given":"G.R."},{"family":"Rubbert-Roth","given":"A."},{"family":"Cantagrel","given":"A."},{"family":"Hall","given":"S."},{"family":"Leszczynski","given":"P."},{"family":"Feldman","given":"D."},{"family":"Rangaraj","given":"M.J."},{"family":"Roane","given":"G."},{"family":"Ludivico","given":"C."},{"family":"Lu","given":"P."},{"family":"Rowell","given":"L."},{"family":"Bao","given":"M."},{"family":"Mysler","given":"E.F."}],"issued":{"date-parts":[["2014"]]}}}],"schema":"https://github.com/citation-style-language/schema/raw/master/csl-citation.json"} </w:instrText>
            </w:r>
            <w:r w:rsidR="00267A4C" w:rsidRPr="004D3E32">
              <w:rPr>
                <w:rFonts w:ascii="Arial" w:hAnsi="Arial"/>
                <w:sz w:val="16"/>
                <w:szCs w:val="16"/>
              </w:rPr>
              <w:fldChar w:fldCharType="separate"/>
            </w:r>
            <w:r w:rsidR="004D3E32" w:rsidRPr="004D3E32">
              <w:rPr>
                <w:rFonts w:ascii="Arial" w:hAnsi="Arial"/>
                <w:sz w:val="16"/>
                <w:vertAlign w:val="superscript"/>
              </w:rPr>
              <w:t>7</w:t>
            </w:r>
            <w:r w:rsidR="00267A4C" w:rsidRPr="004D3E32">
              <w:rPr>
                <w:rFonts w:ascii="Arial" w:hAnsi="Arial"/>
                <w:sz w:val="16"/>
                <w:szCs w:val="16"/>
              </w:rPr>
              <w:fldChar w:fldCharType="end"/>
            </w:r>
          </w:p>
        </w:tc>
        <w:tc>
          <w:tcPr>
            <w:tcW w:w="1701" w:type="dxa"/>
            <w:tcBorders>
              <w:bottom w:val="single" w:sz="12" w:space="0" w:color="auto"/>
            </w:tcBorders>
            <w:hideMark/>
          </w:tcPr>
          <w:p w14:paraId="6A212D9F" w14:textId="22F1042A" w:rsidR="00597F24" w:rsidRPr="004D3E32" w:rsidRDefault="00597F24" w:rsidP="009175EA">
            <w:pPr>
              <w:spacing w:line="276" w:lineRule="auto"/>
              <w:jc w:val="center"/>
              <w:rPr>
                <w:rFonts w:ascii="Arial" w:hAnsi="Arial"/>
                <w:b/>
                <w:bCs/>
                <w:sz w:val="16"/>
                <w:szCs w:val="16"/>
              </w:rPr>
            </w:pPr>
            <w:proofErr w:type="spellStart"/>
            <w:r w:rsidRPr="004D3E32">
              <w:rPr>
                <w:rFonts w:ascii="Arial" w:hAnsi="Arial"/>
                <w:b/>
                <w:bCs/>
                <w:sz w:val="16"/>
                <w:szCs w:val="16"/>
              </w:rPr>
              <w:t>Darloy</w:t>
            </w:r>
            <w:proofErr w:type="spellEnd"/>
            <w:r w:rsidRPr="004D3E32">
              <w:rPr>
                <w:rFonts w:ascii="Arial" w:hAnsi="Arial"/>
                <w:b/>
                <w:bCs/>
                <w:sz w:val="16"/>
                <w:szCs w:val="16"/>
              </w:rPr>
              <w:t xml:space="preserve"> J, 2019 </w:t>
            </w:r>
            <w:r w:rsidR="00267A4C" w:rsidRPr="004D3E32">
              <w:rPr>
                <w:rFonts w:ascii="Arial" w:hAnsi="Arial"/>
                <w:sz w:val="16"/>
                <w:szCs w:val="16"/>
              </w:rPr>
              <w:fldChar w:fldCharType="begin"/>
            </w:r>
            <w:r w:rsidR="004D3E32">
              <w:rPr>
                <w:rFonts w:ascii="Arial" w:hAnsi="Arial"/>
                <w:sz w:val="16"/>
                <w:szCs w:val="16"/>
              </w:rPr>
              <w:instrText xml:space="preserve"> ADDIN ZOTERO_ITEM CSL_CITATION {"citationID":"EjPlaFvB","properties":{"formattedCitation":"\\super 8\\nosupersub{}","plainCitation":"8","noteIndex":0},"citationItems":[{"id":74969,"uris":["http://zotero.org/groups/5287747/items/AP4YDJNM"],"itemData":{"id":74969,"type":"article-journal","abstract":"Introduction: The main objective of this work was to assess the maintenance of effectiveness of subcutaneous tocilizumab 6 months after switching from intravenous to subcutaneous formulation in patients with rheumatoid arthritis (RA) in a real-world setting. Secondary objectives aimed to describe the characteristics of patients and disease, the effectiveness at 12 months after switching, the therapeutic maintenance, and to search for predictive factors of switching. Methods: We analyzed all the RA patients of the shared medical file “RIC Nord de France”, treated with tocilizumab, switching or not from intravenous to subcutaneous tocilizumab, between April 2015 and January 2016. The primary effectiveness endpoint was the proportion of patients remaining in their DAS28-ESR category remission/low disease activity (LDA) or moving to an inferior DAS28-ESR category at 6 months. Since RoSwitch was an observational study, without randomization, a propensity score was built in a sensitivity analysis to balance on RA and patients’ characteristics at inclusion between switching and no-switching groups. Results: An improvement of initial DAS28-ESR category or maintenance in DAS28-ESR remission/LDA at 6 months was shown in 203 of the 285 patients with an evaluation for the primary criterion (71.2%, 95% CI [65.6–76.4%]) without differences between groups (73.3%, 95% CI [63.0–82.1%] vs. 70.3%, 95% CI [63.3–76.6%]). The RoSwitch study showed the maintenance of effectiveness at 6 and 12 months. Similar therapeutic maintenance rates were observed for switch and no-switch patients. No clinical factor was associated with the switch in patients in remission/LDA at inclusion. Conclusions: The RoSwitch study showed the maintenance of effectiveness at 6 months in RA patients switching from intravenous (IV) to subcutaneous (SC) tocilizumab. Funding: Roche SAS and Chugai Pharma France.","archive":"Embase","container-title":"Rheumatology and Therapy","DOI":"10.1007/s40744-018-0138-y","ISSN":"2198-6584","issue":"1","journalAbbreviation":"Rheumatol. Ther.","language":"English","page":"61-75","title":"Tocilizumab Effectiveness After Switching from Intravenous to Subcutaneous Route in Patients with Rheumatoid Arthritis: The RoSwitch Study","volume":"6","author":[{"family":"Darloy","given":"J."},{"family":"Segaud","given":"N."},{"family":"Salmon","given":"J.-H."},{"family":"Eschard","given":"J.-P."},{"family":"Goëb","given":"V."},{"family":"Deprez","given":"X."},{"family":"Guyot","given":"M.-H."},{"family":"Houvenagel","given":"E."},{"family":"Lecuyer","given":"N."},{"family":"Marguerie","given":"L."},{"family":"Gally","given":"S."},{"family":"Pau","given":"D."},{"family":"Idier","given":"I."},{"family":"Baudens","given":"G."},{"family":"Flipo","given":"R.-M."}],"issued":{"date-parts":[["2019"]]}}}],"schema":"https://github.com/citation-style-language/schema/raw/master/csl-citation.json"} </w:instrText>
            </w:r>
            <w:r w:rsidR="00267A4C" w:rsidRPr="004D3E32">
              <w:rPr>
                <w:rFonts w:ascii="Arial" w:hAnsi="Arial"/>
                <w:sz w:val="16"/>
                <w:szCs w:val="16"/>
              </w:rPr>
              <w:fldChar w:fldCharType="separate"/>
            </w:r>
            <w:r w:rsidR="004D3E32" w:rsidRPr="004D3E32">
              <w:rPr>
                <w:rFonts w:ascii="Arial" w:hAnsi="Arial"/>
                <w:sz w:val="16"/>
                <w:vertAlign w:val="superscript"/>
              </w:rPr>
              <w:t>8</w:t>
            </w:r>
            <w:r w:rsidR="00267A4C" w:rsidRPr="004D3E32">
              <w:rPr>
                <w:rFonts w:ascii="Arial" w:hAnsi="Arial"/>
                <w:sz w:val="16"/>
                <w:szCs w:val="16"/>
              </w:rPr>
              <w:fldChar w:fldCharType="end"/>
            </w:r>
          </w:p>
        </w:tc>
        <w:tc>
          <w:tcPr>
            <w:tcW w:w="1843" w:type="dxa"/>
            <w:tcBorders>
              <w:bottom w:val="single" w:sz="12" w:space="0" w:color="auto"/>
            </w:tcBorders>
            <w:hideMark/>
          </w:tcPr>
          <w:p w14:paraId="15E01A03" w14:textId="50827B65" w:rsidR="00597F24" w:rsidRPr="004D3E32" w:rsidRDefault="00597F24" w:rsidP="009175EA">
            <w:pPr>
              <w:spacing w:line="276" w:lineRule="auto"/>
              <w:jc w:val="center"/>
              <w:rPr>
                <w:rFonts w:ascii="Arial" w:hAnsi="Arial"/>
                <w:b/>
                <w:bCs/>
                <w:sz w:val="16"/>
                <w:szCs w:val="16"/>
              </w:rPr>
            </w:pPr>
            <w:r w:rsidRPr="004D3E32">
              <w:rPr>
                <w:rFonts w:ascii="Arial" w:hAnsi="Arial"/>
                <w:b/>
                <w:bCs/>
                <w:sz w:val="16"/>
                <w:szCs w:val="16"/>
              </w:rPr>
              <w:t xml:space="preserve">Larid G, 2022 </w:t>
            </w:r>
            <w:r w:rsidR="00267A4C" w:rsidRPr="004D3E32">
              <w:rPr>
                <w:rFonts w:ascii="Arial" w:hAnsi="Arial"/>
                <w:sz w:val="16"/>
                <w:szCs w:val="16"/>
              </w:rPr>
              <w:fldChar w:fldCharType="begin"/>
            </w:r>
            <w:r w:rsidR="004D3E32">
              <w:rPr>
                <w:rFonts w:ascii="Arial" w:hAnsi="Arial"/>
                <w:sz w:val="16"/>
                <w:szCs w:val="16"/>
              </w:rPr>
              <w:instrText xml:space="preserve"> ADDIN ZOTERO_ITEM CSL_CITATION {"citationID":"dBrzH2sY","properties":{"formattedCitation":"\\super 9\\nosupersub{}","plainCitation":"9","noteIndex":0},"citationItems":[{"id":74742,"uris":["http://zotero.org/groups/5287747/items/N8L7U7BU"],"itemData":{"id":74742,"type":"article-journal","archive":"Embase","container-title":"Joint Bone Spine","DOI":"10.1016/j.jbspin.2022.105347","ISSN":"1778-7254","issue":"4","journalAbbreviation":"Jt. Bone Spine","language":"English","title":"Stable efficacy and safety after switching from intravenous to subcutaneous tocilizumab in a cohort of 200 patients in real life conditions","URL":"https://www.embase.com/search/results?subaction=viewrecord&amp;id=L2016853434&amp;from=export","volume":"89","author":[{"family":"Larid","given":"G."},{"family":"Joffres","given":"L."},{"family":"Ricard","given":"E."},{"family":"Pereira Gillion","given":"C."},{"family":"Herbette","given":"M."},{"family":"Lucas","given":"C."},{"family":"Cren","given":"J.B."},{"family":"Bergeal","given":"E."},{"family":"Maugars","given":"Y."},{"family":"Salliot","given":"C."},{"family":"Goupille","given":"P."},{"family":"Saraux","given":"A."},{"family":"Perdriger","given":"A."},{"family":"Bouvard","given":"B."},{"family":"Gervais","given":"E."}],"issued":{"date-parts":[["2022"]]}}}],"schema":"https://github.com/citation-style-language/schema/raw/master/csl-citation.json"} </w:instrText>
            </w:r>
            <w:r w:rsidR="00267A4C" w:rsidRPr="004D3E32">
              <w:rPr>
                <w:rFonts w:ascii="Arial" w:hAnsi="Arial"/>
                <w:sz w:val="16"/>
                <w:szCs w:val="16"/>
              </w:rPr>
              <w:fldChar w:fldCharType="separate"/>
            </w:r>
            <w:r w:rsidR="004D3E32" w:rsidRPr="004D3E32">
              <w:rPr>
                <w:rFonts w:ascii="Arial" w:hAnsi="Arial"/>
                <w:sz w:val="16"/>
                <w:vertAlign w:val="superscript"/>
              </w:rPr>
              <w:t>9</w:t>
            </w:r>
            <w:r w:rsidR="00267A4C" w:rsidRPr="004D3E32">
              <w:rPr>
                <w:rFonts w:ascii="Arial" w:hAnsi="Arial"/>
                <w:sz w:val="16"/>
                <w:szCs w:val="16"/>
              </w:rPr>
              <w:fldChar w:fldCharType="end"/>
            </w:r>
          </w:p>
        </w:tc>
        <w:tc>
          <w:tcPr>
            <w:tcW w:w="1791" w:type="dxa"/>
            <w:tcBorders>
              <w:bottom w:val="single" w:sz="12" w:space="0" w:color="auto"/>
            </w:tcBorders>
          </w:tcPr>
          <w:p w14:paraId="5A5777A1" w14:textId="2498FDA4" w:rsidR="00597F24" w:rsidRPr="004D3E32" w:rsidRDefault="00597F24" w:rsidP="009175EA">
            <w:pPr>
              <w:spacing w:line="276" w:lineRule="auto"/>
              <w:jc w:val="center"/>
              <w:rPr>
                <w:rFonts w:ascii="Arial" w:hAnsi="Arial"/>
                <w:b/>
                <w:bCs/>
                <w:sz w:val="16"/>
                <w:szCs w:val="16"/>
              </w:rPr>
            </w:pPr>
            <w:r w:rsidRPr="004D3E32">
              <w:rPr>
                <w:rFonts w:ascii="Arial" w:hAnsi="Arial"/>
                <w:b/>
                <w:bCs/>
                <w:sz w:val="16"/>
                <w:szCs w:val="16"/>
              </w:rPr>
              <w:t xml:space="preserve">Lauper, 2018 </w:t>
            </w:r>
            <w:r w:rsidR="00267A4C" w:rsidRPr="004D3E32">
              <w:rPr>
                <w:rFonts w:ascii="Arial" w:hAnsi="Arial"/>
                <w:sz w:val="16"/>
                <w:szCs w:val="16"/>
              </w:rPr>
              <w:fldChar w:fldCharType="begin"/>
            </w:r>
            <w:r w:rsidR="004D3E32">
              <w:rPr>
                <w:rFonts w:ascii="Arial" w:hAnsi="Arial"/>
                <w:sz w:val="16"/>
                <w:szCs w:val="16"/>
              </w:rPr>
              <w:instrText xml:space="preserve"> ADDIN ZOTERO_ITEM CSL_CITATION {"citationID":"4XOg8hbO","properties":{"formattedCitation":"\\super 10\\nosupersub{}","plainCitation":"10","noteIndex":0},"citationItems":[{"id":75000,"uris":["http://zotero.org/groups/5287747/items/5BZSXQH6"],"itemData":{"id":75000,"type":"article-journal","abstract":"Background: In randomised controlled trials, subcutaneous tocilizumab (TCZ sc) has been found non-inferior to intravenous TCZ (TCZ iv) for the treatment of rheumatoid arthritis (RA) patients. However, to our knowledge, there are no observational studies comparing these two different routes of administration in routine care. Objectives: To compare the real-world effectiveness of TCZ sc and TCZ iv in RA patients. Methods: We included RA patients treated with TCZ from 8 European registries. We compared drug retention using Kaplan-Meier and Cox models. The proportions of patients achieving CDAI remission and low disease activity (LDA) at 1 year were compared using LUNDEX correction with computation of confidence intervals by bootstrapping.1 Results: 2896 patients were retrieved from the collaborative registries before January 2017, including 2469 TCZ iv and 427 TCZ sc. Baseline demographics were similar between both groups, but patients in the TCZ iv group had a more severe disease activity, with higher DAS28, CDAI, tender joint count (TJC), swollen joint count (SJC), ESR and physician global assessment values (table 1). Crude median retention was 2.14 years (95% CI 2.03-2.33) for TCZ iv and 1.00 year for TCZ sc (95% CI 0.83-1.10), p&lt;0.001. However, in a covariateadjusted analysis, stratified by country- and year of treatment initiation, we found that hazards of discontinuation were similar among patients on TCZ iv compared to patients on TCZ sc (hazard ratio: 0.92, CI 95% 0.77-1.09). The average adjusted CDAI change at 1 year was -1.15 for TCZ iv, and -1.06 for TCZ sc patients (p-value of interaction between treatment group and time: 0.68). The average adjusted DAS28 change at 1 year was also similar between groups (-0.28 for TCZ iv and -0.09 for TCZ sc, p value of interaction: 0.21). CDAI remission and LDA at 1 year (LUNDEX corrected) were similar between TCZ sc and TCZ iv patients (CDAI remission: 9.5% in TCZ iv vs. 9.4% in TCZ sc (difference: -0.1%, bootstrap 95% CI: -3.8%&gt;3.8%); CDAI LDA: 37.3% in TCZ iv vs.33.7% in TCZ sc (difference:-3.6%; bootstrap 95% CI: -9.4%; 2.5%)). Likewise, DAS28 remission and LDA at 1 year (LUNDEX corrected) were comparable between TCZ sc and TCZ iv (difference in DAS28 remission: -2.7%; bootstrap 95% CI: -8.8%; 3.5%; difference in DAS28 LDA: -5.8%; bootstrap 95% CI: -11.9%; 0.4%). Conclusions: Drug retention and clinical effectiveness, assessed by CDAI and DAS28 changes and responses, were similar in both groups of patients, treated with TCZ sc or TCZ iv.","archive":"Embase","container-title":"Annals of the Rheumatic Diseases","DOI":"10.1136/annrheumdis-2018-eular.2886","ISSN":"1468-2060","issue":"(Lauper K.; Courvoisier D.S.; Gabay C.) Rheumatology, University Hospitals of Geneva, Geneva, Switzerland","journalAbbreviation":"Ann. Rheum. Dis.","language":"English","page":"606","title":"Comparative effectiveness of subcutaneous versus intravenous tocilizumab in a paneuropean collaboration of registries","volume":"77","author":[{"family":"Lauper","given":"K."},{"family":"Santos","given":"M.J."},{"family":"Ianonne","given":"F."},{"family":"Rotar","given":"Z."},{"family":"Nordström","given":"D.C."},{"family":"Codreanu","given":"C."},{"family":"Kvien","given":"T.K."},{"family":"Kristianslund","given":"E.K."},{"family":"Pavelka","given":"K."},{"family":"Lukina","given":"G."},{"family":"Hernández","given":"M.V."},{"family":"Gale","given":"S.L."},{"family":"Sarsour","given":"K."},{"family":"Luder","given":"Y."},{"family":"Courvoisier","given":"D.S."},{"family":"Gabay","given":"C."}],"issued":{"date-parts":[["2018"]]}}}],"schema":"https://github.com/citation-style-language/schema/raw/master/csl-citation.json"} </w:instrText>
            </w:r>
            <w:r w:rsidR="00267A4C" w:rsidRPr="004D3E32">
              <w:rPr>
                <w:rFonts w:ascii="Arial" w:hAnsi="Arial"/>
                <w:sz w:val="16"/>
                <w:szCs w:val="16"/>
              </w:rPr>
              <w:fldChar w:fldCharType="separate"/>
            </w:r>
            <w:r w:rsidR="004D3E32" w:rsidRPr="004D3E32">
              <w:rPr>
                <w:rFonts w:ascii="Arial" w:hAnsi="Arial"/>
                <w:sz w:val="16"/>
                <w:vertAlign w:val="superscript"/>
              </w:rPr>
              <w:t>10</w:t>
            </w:r>
            <w:r w:rsidR="00267A4C" w:rsidRPr="004D3E32">
              <w:rPr>
                <w:rFonts w:ascii="Arial" w:hAnsi="Arial"/>
                <w:sz w:val="16"/>
                <w:szCs w:val="16"/>
              </w:rPr>
              <w:fldChar w:fldCharType="end"/>
            </w:r>
          </w:p>
        </w:tc>
      </w:tr>
      <w:tr w:rsidR="00597F24" w:rsidRPr="004D3E32" w14:paraId="0011354B" w14:textId="6895321A" w:rsidTr="008460C9">
        <w:tc>
          <w:tcPr>
            <w:tcW w:w="1696" w:type="dxa"/>
            <w:tcBorders>
              <w:top w:val="single" w:sz="12" w:space="0" w:color="auto"/>
              <w:bottom w:val="single" w:sz="6" w:space="0" w:color="auto"/>
            </w:tcBorders>
            <w:vAlign w:val="center"/>
            <w:hideMark/>
          </w:tcPr>
          <w:p w14:paraId="67BC8F78" w14:textId="77777777"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Study Design</w:t>
            </w:r>
          </w:p>
        </w:tc>
        <w:tc>
          <w:tcPr>
            <w:tcW w:w="1985" w:type="dxa"/>
            <w:tcBorders>
              <w:top w:val="single" w:sz="12" w:space="0" w:color="auto"/>
              <w:bottom w:val="single" w:sz="6" w:space="0" w:color="auto"/>
            </w:tcBorders>
            <w:vAlign w:val="center"/>
            <w:hideMark/>
          </w:tcPr>
          <w:p w14:paraId="47D8D120"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Open-label RCT, prospective</w:t>
            </w:r>
          </w:p>
        </w:tc>
        <w:tc>
          <w:tcPr>
            <w:tcW w:w="1701" w:type="dxa"/>
            <w:tcBorders>
              <w:top w:val="single" w:sz="12" w:space="0" w:color="auto"/>
              <w:bottom w:val="single" w:sz="6" w:space="0" w:color="auto"/>
            </w:tcBorders>
            <w:vAlign w:val="center"/>
            <w:hideMark/>
          </w:tcPr>
          <w:p w14:paraId="63DB8CFE"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Cohort, retrospective</w:t>
            </w:r>
          </w:p>
        </w:tc>
        <w:tc>
          <w:tcPr>
            <w:tcW w:w="1843" w:type="dxa"/>
            <w:tcBorders>
              <w:top w:val="single" w:sz="12" w:space="0" w:color="auto"/>
              <w:bottom w:val="single" w:sz="6" w:space="0" w:color="auto"/>
            </w:tcBorders>
            <w:vAlign w:val="center"/>
            <w:hideMark/>
          </w:tcPr>
          <w:p w14:paraId="78BCDA57"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Observational, retrospective</w:t>
            </w:r>
          </w:p>
        </w:tc>
        <w:tc>
          <w:tcPr>
            <w:tcW w:w="1791" w:type="dxa"/>
            <w:tcBorders>
              <w:top w:val="single" w:sz="12" w:space="0" w:color="auto"/>
              <w:bottom w:val="single" w:sz="6" w:space="0" w:color="auto"/>
            </w:tcBorders>
            <w:vAlign w:val="center"/>
          </w:tcPr>
          <w:p w14:paraId="3EB00EC0" w14:textId="5121FA91" w:rsidR="00597F24" w:rsidRPr="004D3E32" w:rsidRDefault="003E37B2" w:rsidP="00725A4E">
            <w:pPr>
              <w:spacing w:line="276" w:lineRule="auto"/>
              <w:jc w:val="center"/>
              <w:rPr>
                <w:rFonts w:ascii="Arial" w:hAnsi="Arial"/>
                <w:sz w:val="16"/>
                <w:szCs w:val="16"/>
              </w:rPr>
            </w:pPr>
            <w:r w:rsidRPr="004D3E32">
              <w:rPr>
                <w:rFonts w:ascii="Arial" w:hAnsi="Arial"/>
                <w:sz w:val="16"/>
                <w:szCs w:val="16"/>
              </w:rPr>
              <w:t>Observational, retrospective</w:t>
            </w:r>
          </w:p>
        </w:tc>
      </w:tr>
      <w:tr w:rsidR="00597F24" w:rsidRPr="004D3E32" w14:paraId="163CE2E2" w14:textId="0332A688" w:rsidTr="008460C9">
        <w:trPr>
          <w:trHeight w:val="283"/>
        </w:trPr>
        <w:tc>
          <w:tcPr>
            <w:tcW w:w="1696" w:type="dxa"/>
            <w:tcBorders>
              <w:top w:val="single" w:sz="6" w:space="0" w:color="auto"/>
              <w:bottom w:val="single" w:sz="6" w:space="0" w:color="auto"/>
            </w:tcBorders>
            <w:vAlign w:val="center"/>
            <w:hideMark/>
          </w:tcPr>
          <w:p w14:paraId="2F363120" w14:textId="47461BB1" w:rsidR="00597F24" w:rsidRPr="004D3E32" w:rsidRDefault="0061594A" w:rsidP="001757E7">
            <w:pPr>
              <w:spacing w:line="276" w:lineRule="auto"/>
              <w:jc w:val="center"/>
              <w:rPr>
                <w:rFonts w:ascii="Arial" w:hAnsi="Arial"/>
                <w:sz w:val="16"/>
                <w:szCs w:val="16"/>
              </w:rPr>
            </w:pPr>
            <w:r w:rsidRPr="004D3E32">
              <w:rPr>
                <w:rFonts w:ascii="Arial" w:hAnsi="Arial"/>
                <w:b/>
                <w:bCs/>
                <w:sz w:val="16"/>
                <w:szCs w:val="16"/>
              </w:rPr>
              <w:t>Location</w:t>
            </w:r>
          </w:p>
        </w:tc>
        <w:tc>
          <w:tcPr>
            <w:tcW w:w="1985" w:type="dxa"/>
            <w:tcBorders>
              <w:top w:val="single" w:sz="6" w:space="0" w:color="auto"/>
              <w:bottom w:val="single" w:sz="6" w:space="0" w:color="auto"/>
            </w:tcBorders>
            <w:vAlign w:val="center"/>
            <w:hideMark/>
          </w:tcPr>
          <w:p w14:paraId="4D0758EA" w14:textId="030E036B" w:rsidR="00597F24" w:rsidRPr="004D3E32" w:rsidRDefault="00A20FF0" w:rsidP="00725A4E">
            <w:pPr>
              <w:spacing w:line="276" w:lineRule="auto"/>
              <w:jc w:val="center"/>
              <w:rPr>
                <w:rFonts w:ascii="Arial" w:hAnsi="Arial"/>
                <w:sz w:val="16"/>
                <w:szCs w:val="16"/>
              </w:rPr>
            </w:pPr>
            <w:r w:rsidRPr="004D3E32">
              <w:rPr>
                <w:rFonts w:ascii="Arial" w:hAnsi="Arial"/>
                <w:sz w:val="16"/>
                <w:szCs w:val="16"/>
              </w:rPr>
              <w:t>Worldwide</w:t>
            </w:r>
          </w:p>
        </w:tc>
        <w:tc>
          <w:tcPr>
            <w:tcW w:w="1701" w:type="dxa"/>
            <w:tcBorders>
              <w:top w:val="single" w:sz="6" w:space="0" w:color="auto"/>
              <w:bottom w:val="single" w:sz="6" w:space="0" w:color="auto"/>
            </w:tcBorders>
            <w:vAlign w:val="center"/>
            <w:hideMark/>
          </w:tcPr>
          <w:p w14:paraId="2DEAEAA4"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France</w:t>
            </w:r>
          </w:p>
        </w:tc>
        <w:tc>
          <w:tcPr>
            <w:tcW w:w="1843" w:type="dxa"/>
            <w:tcBorders>
              <w:top w:val="single" w:sz="6" w:space="0" w:color="auto"/>
              <w:bottom w:val="single" w:sz="6" w:space="0" w:color="auto"/>
            </w:tcBorders>
            <w:vAlign w:val="center"/>
            <w:hideMark/>
          </w:tcPr>
          <w:p w14:paraId="2838630E"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France</w:t>
            </w:r>
          </w:p>
        </w:tc>
        <w:tc>
          <w:tcPr>
            <w:tcW w:w="1791" w:type="dxa"/>
            <w:tcBorders>
              <w:top w:val="single" w:sz="6" w:space="0" w:color="auto"/>
              <w:bottom w:val="single" w:sz="6" w:space="0" w:color="auto"/>
            </w:tcBorders>
            <w:vAlign w:val="center"/>
          </w:tcPr>
          <w:p w14:paraId="492B6D86" w14:textId="4DBA1B0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Europe</w:t>
            </w:r>
          </w:p>
        </w:tc>
      </w:tr>
      <w:tr w:rsidR="00597F24" w:rsidRPr="004D3E32" w14:paraId="4619BFF3" w14:textId="2215776A" w:rsidTr="008460C9">
        <w:tc>
          <w:tcPr>
            <w:tcW w:w="1696" w:type="dxa"/>
            <w:tcBorders>
              <w:top w:val="single" w:sz="6" w:space="0" w:color="auto"/>
              <w:bottom w:val="single" w:sz="6" w:space="0" w:color="auto"/>
            </w:tcBorders>
            <w:vAlign w:val="center"/>
            <w:hideMark/>
          </w:tcPr>
          <w:p w14:paraId="38D8C6ED" w14:textId="524C3F2B" w:rsidR="00597F24" w:rsidRPr="004D3E32" w:rsidRDefault="00A20FF0" w:rsidP="001757E7">
            <w:pPr>
              <w:spacing w:line="276" w:lineRule="auto"/>
              <w:jc w:val="center"/>
              <w:rPr>
                <w:rFonts w:ascii="Arial" w:hAnsi="Arial"/>
                <w:sz w:val="16"/>
                <w:szCs w:val="16"/>
              </w:rPr>
            </w:pPr>
            <w:r w:rsidRPr="004D3E32">
              <w:rPr>
                <w:rFonts w:ascii="Arial" w:hAnsi="Arial"/>
                <w:b/>
                <w:bCs/>
                <w:sz w:val="16"/>
                <w:szCs w:val="16"/>
              </w:rPr>
              <w:t>M</w:t>
            </w:r>
            <w:r w:rsidR="00597F24" w:rsidRPr="004D3E32">
              <w:rPr>
                <w:rFonts w:ascii="Arial" w:hAnsi="Arial"/>
                <w:b/>
                <w:bCs/>
                <w:sz w:val="16"/>
                <w:szCs w:val="16"/>
              </w:rPr>
              <w:t xml:space="preserve">onths </w:t>
            </w:r>
            <w:r w:rsidRPr="004D3E32">
              <w:rPr>
                <w:rFonts w:ascii="Arial" w:hAnsi="Arial"/>
                <w:b/>
                <w:bCs/>
                <w:sz w:val="16"/>
                <w:szCs w:val="16"/>
              </w:rPr>
              <w:t xml:space="preserve">of follow-up </w:t>
            </w:r>
            <w:r w:rsidR="00597F24" w:rsidRPr="004D3E32">
              <w:rPr>
                <w:rFonts w:ascii="Arial" w:hAnsi="Arial"/>
                <w:b/>
                <w:bCs/>
                <w:sz w:val="16"/>
                <w:szCs w:val="16"/>
              </w:rPr>
              <w:t xml:space="preserve">per </w:t>
            </w:r>
            <w:r w:rsidRPr="004D3E32">
              <w:rPr>
                <w:rFonts w:ascii="Arial" w:hAnsi="Arial"/>
                <w:b/>
                <w:bCs/>
                <w:sz w:val="16"/>
                <w:szCs w:val="16"/>
              </w:rPr>
              <w:t>p</w:t>
            </w:r>
            <w:r w:rsidR="00597F24" w:rsidRPr="004D3E32">
              <w:rPr>
                <w:rFonts w:ascii="Arial" w:hAnsi="Arial"/>
                <w:b/>
                <w:bCs/>
                <w:sz w:val="16"/>
                <w:szCs w:val="16"/>
              </w:rPr>
              <w:t>atient (observation periods</w:t>
            </w:r>
            <w:r w:rsidRPr="004D3E32">
              <w:rPr>
                <w:rFonts w:ascii="Arial" w:hAnsi="Arial"/>
                <w:b/>
                <w:bCs/>
                <w:sz w:val="16"/>
                <w:szCs w:val="16"/>
              </w:rPr>
              <w:t xml:space="preserve">, </w:t>
            </w:r>
            <w:r w:rsidR="00597F24" w:rsidRPr="004D3E32">
              <w:rPr>
                <w:rFonts w:ascii="Arial" w:hAnsi="Arial"/>
                <w:b/>
                <w:bCs/>
                <w:sz w:val="16"/>
                <w:szCs w:val="16"/>
              </w:rPr>
              <w:t>year</w:t>
            </w:r>
            <w:r w:rsidRPr="004D3E32">
              <w:rPr>
                <w:rFonts w:ascii="Arial" w:hAnsi="Arial"/>
                <w:b/>
                <w:bCs/>
                <w:sz w:val="16"/>
                <w:szCs w:val="16"/>
              </w:rPr>
              <w:t>s</w:t>
            </w:r>
            <w:r w:rsidR="00597F24" w:rsidRPr="004D3E32">
              <w:rPr>
                <w:rFonts w:ascii="Arial" w:hAnsi="Arial"/>
                <w:b/>
                <w:bCs/>
                <w:sz w:val="16"/>
                <w:szCs w:val="16"/>
              </w:rPr>
              <w:t>)</w:t>
            </w:r>
          </w:p>
        </w:tc>
        <w:tc>
          <w:tcPr>
            <w:tcW w:w="1985" w:type="dxa"/>
            <w:tcBorders>
              <w:top w:val="single" w:sz="6" w:space="0" w:color="auto"/>
              <w:bottom w:val="single" w:sz="6" w:space="0" w:color="auto"/>
            </w:tcBorders>
            <w:vAlign w:val="center"/>
            <w:hideMark/>
          </w:tcPr>
          <w:p w14:paraId="6F544F3B"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18 (2011-2014)</w:t>
            </w:r>
          </w:p>
        </w:tc>
        <w:tc>
          <w:tcPr>
            <w:tcW w:w="1701" w:type="dxa"/>
            <w:tcBorders>
              <w:top w:val="single" w:sz="6" w:space="0" w:color="auto"/>
              <w:bottom w:val="single" w:sz="6" w:space="0" w:color="auto"/>
            </w:tcBorders>
            <w:vAlign w:val="center"/>
            <w:hideMark/>
          </w:tcPr>
          <w:p w14:paraId="1070822C"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12 (2015-2016)</w:t>
            </w:r>
          </w:p>
        </w:tc>
        <w:tc>
          <w:tcPr>
            <w:tcW w:w="1843" w:type="dxa"/>
            <w:tcBorders>
              <w:top w:val="single" w:sz="6" w:space="0" w:color="auto"/>
              <w:bottom w:val="single" w:sz="6" w:space="0" w:color="auto"/>
            </w:tcBorders>
            <w:vAlign w:val="center"/>
            <w:hideMark/>
          </w:tcPr>
          <w:p w14:paraId="473E8FA6"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6 (2015-2016)</w:t>
            </w:r>
          </w:p>
        </w:tc>
        <w:tc>
          <w:tcPr>
            <w:tcW w:w="1791" w:type="dxa"/>
            <w:tcBorders>
              <w:top w:val="single" w:sz="6" w:space="0" w:color="auto"/>
            </w:tcBorders>
            <w:vAlign w:val="center"/>
          </w:tcPr>
          <w:p w14:paraId="2C92DDCC" w14:textId="31BEBE9B"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108 (2009-2018)</w:t>
            </w:r>
          </w:p>
        </w:tc>
      </w:tr>
      <w:tr w:rsidR="00725A4E" w:rsidRPr="004D3E32" w14:paraId="2EB205ED" w14:textId="1953AF1B" w:rsidTr="008460C9">
        <w:tc>
          <w:tcPr>
            <w:tcW w:w="9016" w:type="dxa"/>
            <w:gridSpan w:val="5"/>
            <w:tcBorders>
              <w:top w:val="single" w:sz="6" w:space="0" w:color="auto"/>
            </w:tcBorders>
            <w:vAlign w:val="center"/>
            <w:hideMark/>
          </w:tcPr>
          <w:p w14:paraId="3A716A0A" w14:textId="285F9FDD" w:rsidR="00725A4E" w:rsidRPr="004D3E32" w:rsidRDefault="00725A4E" w:rsidP="00725A4E">
            <w:pPr>
              <w:spacing w:line="276" w:lineRule="auto"/>
              <w:rPr>
                <w:rFonts w:ascii="Arial" w:hAnsi="Arial"/>
                <w:sz w:val="16"/>
                <w:szCs w:val="16"/>
              </w:rPr>
            </w:pPr>
            <w:r w:rsidRPr="004D3E32">
              <w:rPr>
                <w:rFonts w:ascii="Arial" w:hAnsi="Arial"/>
                <w:b/>
                <w:bCs/>
                <w:sz w:val="16"/>
                <w:szCs w:val="16"/>
              </w:rPr>
              <w:t>Number of RA patients (total)</w:t>
            </w:r>
          </w:p>
        </w:tc>
      </w:tr>
      <w:tr w:rsidR="00725A4E" w:rsidRPr="004D3E32" w14:paraId="72DF703E" w14:textId="77777777" w:rsidTr="008460C9">
        <w:tc>
          <w:tcPr>
            <w:tcW w:w="1696" w:type="dxa"/>
            <w:vAlign w:val="center"/>
          </w:tcPr>
          <w:p w14:paraId="5A1C854F" w14:textId="1F333497" w:rsidR="00725A4E" w:rsidRPr="004D3E32" w:rsidRDefault="00725A4E" w:rsidP="001757E7">
            <w:pPr>
              <w:spacing w:line="276" w:lineRule="auto"/>
              <w:jc w:val="center"/>
              <w:rPr>
                <w:rFonts w:ascii="Arial" w:hAnsi="Arial"/>
                <w:b/>
                <w:bCs/>
                <w:sz w:val="16"/>
                <w:szCs w:val="16"/>
              </w:rPr>
            </w:pPr>
            <w:r w:rsidRPr="004D3E32">
              <w:rPr>
                <w:rFonts w:ascii="Arial" w:hAnsi="Arial"/>
                <w:b/>
                <w:bCs/>
                <w:sz w:val="16"/>
                <w:szCs w:val="16"/>
              </w:rPr>
              <w:t>IV-to-SC</w:t>
            </w:r>
          </w:p>
        </w:tc>
        <w:tc>
          <w:tcPr>
            <w:tcW w:w="1985" w:type="dxa"/>
            <w:tcBorders>
              <w:bottom w:val="single" w:sz="6" w:space="0" w:color="auto"/>
            </w:tcBorders>
            <w:vAlign w:val="center"/>
          </w:tcPr>
          <w:p w14:paraId="133307FC" w14:textId="4C0BD4A9"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186</w:t>
            </w:r>
          </w:p>
        </w:tc>
        <w:tc>
          <w:tcPr>
            <w:tcW w:w="1701" w:type="dxa"/>
            <w:tcBorders>
              <w:bottom w:val="single" w:sz="6" w:space="0" w:color="auto"/>
            </w:tcBorders>
            <w:vAlign w:val="center"/>
          </w:tcPr>
          <w:p w14:paraId="27C611AF" w14:textId="6F9B7930"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94</w:t>
            </w:r>
          </w:p>
        </w:tc>
        <w:tc>
          <w:tcPr>
            <w:tcW w:w="1843" w:type="dxa"/>
            <w:tcBorders>
              <w:bottom w:val="single" w:sz="6" w:space="0" w:color="auto"/>
            </w:tcBorders>
            <w:vAlign w:val="center"/>
          </w:tcPr>
          <w:p w14:paraId="74A136D2" w14:textId="01CE91C5"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76</w:t>
            </w:r>
          </w:p>
        </w:tc>
        <w:tc>
          <w:tcPr>
            <w:tcW w:w="1791" w:type="dxa"/>
            <w:tcBorders>
              <w:bottom w:val="single" w:sz="6" w:space="0" w:color="auto"/>
            </w:tcBorders>
            <w:vAlign w:val="center"/>
          </w:tcPr>
          <w:p w14:paraId="67C104BB" w14:textId="7E725710"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274</w:t>
            </w:r>
          </w:p>
        </w:tc>
      </w:tr>
      <w:tr w:rsidR="00597F24" w:rsidRPr="004D3E32" w14:paraId="2BEB8221" w14:textId="2BFDC332" w:rsidTr="008460C9">
        <w:tc>
          <w:tcPr>
            <w:tcW w:w="1696" w:type="dxa"/>
            <w:tcBorders>
              <w:bottom w:val="single" w:sz="6" w:space="0" w:color="auto"/>
            </w:tcBorders>
            <w:vAlign w:val="center"/>
            <w:hideMark/>
          </w:tcPr>
          <w:p w14:paraId="7E9A275E" w14:textId="68C55746" w:rsidR="00597F24" w:rsidRPr="004D3E32" w:rsidRDefault="00725A4E" w:rsidP="001757E7">
            <w:pPr>
              <w:spacing w:line="276" w:lineRule="auto"/>
              <w:jc w:val="center"/>
              <w:rPr>
                <w:rFonts w:ascii="Arial" w:hAnsi="Arial"/>
                <w:b/>
                <w:bCs/>
                <w:sz w:val="16"/>
                <w:szCs w:val="16"/>
              </w:rPr>
            </w:pPr>
            <w:r w:rsidRPr="004D3E32">
              <w:rPr>
                <w:rFonts w:ascii="Arial" w:hAnsi="Arial"/>
                <w:b/>
                <w:bCs/>
                <w:sz w:val="16"/>
                <w:szCs w:val="16"/>
              </w:rPr>
              <w:t>IV-to-IV</w:t>
            </w:r>
          </w:p>
        </w:tc>
        <w:tc>
          <w:tcPr>
            <w:tcW w:w="1985" w:type="dxa"/>
            <w:tcBorders>
              <w:top w:val="single" w:sz="6" w:space="0" w:color="auto"/>
              <w:bottom w:val="single" w:sz="6" w:space="0" w:color="auto"/>
            </w:tcBorders>
            <w:vAlign w:val="center"/>
            <w:hideMark/>
          </w:tcPr>
          <w:p w14:paraId="7AE52BEB" w14:textId="45B1967E"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372</w:t>
            </w:r>
          </w:p>
        </w:tc>
        <w:tc>
          <w:tcPr>
            <w:tcW w:w="1701" w:type="dxa"/>
            <w:tcBorders>
              <w:top w:val="single" w:sz="6" w:space="0" w:color="auto"/>
              <w:bottom w:val="single" w:sz="6" w:space="0" w:color="auto"/>
            </w:tcBorders>
            <w:vAlign w:val="center"/>
            <w:hideMark/>
          </w:tcPr>
          <w:p w14:paraId="44D2D06E" w14:textId="2438C875"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220</w:t>
            </w:r>
          </w:p>
        </w:tc>
        <w:tc>
          <w:tcPr>
            <w:tcW w:w="1843" w:type="dxa"/>
            <w:tcBorders>
              <w:top w:val="single" w:sz="6" w:space="0" w:color="auto"/>
              <w:bottom w:val="single" w:sz="6" w:space="0" w:color="auto"/>
            </w:tcBorders>
            <w:vAlign w:val="center"/>
            <w:hideMark/>
          </w:tcPr>
          <w:p w14:paraId="6692E1C0" w14:textId="1EFB4395"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124</w:t>
            </w:r>
          </w:p>
        </w:tc>
        <w:tc>
          <w:tcPr>
            <w:tcW w:w="1791" w:type="dxa"/>
            <w:tcBorders>
              <w:top w:val="single" w:sz="6" w:space="0" w:color="auto"/>
              <w:bottom w:val="single" w:sz="6" w:space="0" w:color="auto"/>
            </w:tcBorders>
            <w:vAlign w:val="center"/>
          </w:tcPr>
          <w:p w14:paraId="41362C88" w14:textId="5DB62155"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2140</w:t>
            </w:r>
          </w:p>
        </w:tc>
      </w:tr>
      <w:tr w:rsidR="00597F24" w:rsidRPr="004D3E32" w14:paraId="540560DE" w14:textId="56572F4D" w:rsidTr="008460C9">
        <w:tc>
          <w:tcPr>
            <w:tcW w:w="1696" w:type="dxa"/>
            <w:tcBorders>
              <w:top w:val="single" w:sz="6" w:space="0" w:color="auto"/>
              <w:bottom w:val="single" w:sz="6" w:space="0" w:color="auto"/>
            </w:tcBorders>
            <w:vAlign w:val="center"/>
            <w:hideMark/>
          </w:tcPr>
          <w:p w14:paraId="04EBFDBD" w14:textId="77777777"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Exclusion Criteria</w:t>
            </w:r>
          </w:p>
        </w:tc>
        <w:tc>
          <w:tcPr>
            <w:tcW w:w="1985" w:type="dxa"/>
            <w:tcBorders>
              <w:top w:val="single" w:sz="6" w:space="0" w:color="auto"/>
              <w:bottom w:val="single" w:sz="6" w:space="0" w:color="auto"/>
            </w:tcBorders>
            <w:vAlign w:val="center"/>
            <w:hideMark/>
          </w:tcPr>
          <w:p w14:paraId="6C71F5A7"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See SUMMACTA protocol, double-dummy phase</w:t>
            </w:r>
          </w:p>
        </w:tc>
        <w:tc>
          <w:tcPr>
            <w:tcW w:w="1701" w:type="dxa"/>
            <w:tcBorders>
              <w:top w:val="single" w:sz="6" w:space="0" w:color="auto"/>
              <w:bottom w:val="single" w:sz="6" w:space="0" w:color="auto"/>
            </w:tcBorders>
            <w:vAlign w:val="center"/>
            <w:hideMark/>
          </w:tcPr>
          <w:p w14:paraId="6AE9F822"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Lack of informed consent</w:t>
            </w:r>
          </w:p>
        </w:tc>
        <w:tc>
          <w:tcPr>
            <w:tcW w:w="1843" w:type="dxa"/>
            <w:tcBorders>
              <w:top w:val="single" w:sz="6" w:space="0" w:color="auto"/>
              <w:bottom w:val="single" w:sz="6" w:space="0" w:color="auto"/>
            </w:tcBorders>
            <w:vAlign w:val="center"/>
            <w:hideMark/>
          </w:tcPr>
          <w:p w14:paraId="2CE122EB" w14:textId="1C415CC7" w:rsidR="00597F24" w:rsidRPr="004D3E32" w:rsidRDefault="00725A4E" w:rsidP="00725A4E">
            <w:pPr>
              <w:spacing w:line="276" w:lineRule="auto"/>
              <w:jc w:val="center"/>
              <w:rPr>
                <w:rFonts w:ascii="Arial" w:hAnsi="Arial"/>
                <w:sz w:val="16"/>
                <w:szCs w:val="16"/>
              </w:rPr>
            </w:pPr>
            <w:r w:rsidRPr="004D3E32">
              <w:rPr>
                <w:rFonts w:ascii="Arial" w:hAnsi="Arial"/>
                <w:sz w:val="16"/>
                <w:szCs w:val="16"/>
              </w:rPr>
              <w:t>nr</w:t>
            </w:r>
          </w:p>
        </w:tc>
        <w:tc>
          <w:tcPr>
            <w:tcW w:w="1791" w:type="dxa"/>
            <w:tcBorders>
              <w:top w:val="single" w:sz="6" w:space="0" w:color="auto"/>
              <w:bottom w:val="single" w:sz="6" w:space="0" w:color="auto"/>
            </w:tcBorders>
            <w:vAlign w:val="center"/>
          </w:tcPr>
          <w:p w14:paraId="69BE8B44" w14:textId="02891A35" w:rsidR="00597F24" w:rsidRPr="004D3E32" w:rsidRDefault="00725A4E" w:rsidP="00725A4E">
            <w:pPr>
              <w:spacing w:line="276" w:lineRule="auto"/>
              <w:jc w:val="center"/>
              <w:rPr>
                <w:rFonts w:ascii="Arial" w:hAnsi="Arial"/>
                <w:sz w:val="16"/>
                <w:szCs w:val="16"/>
              </w:rPr>
            </w:pPr>
            <w:r w:rsidRPr="004D3E32">
              <w:rPr>
                <w:rFonts w:ascii="Arial" w:hAnsi="Arial"/>
                <w:sz w:val="16"/>
                <w:szCs w:val="16"/>
              </w:rPr>
              <w:t>nr</w:t>
            </w:r>
          </w:p>
        </w:tc>
      </w:tr>
      <w:tr w:rsidR="00597F24" w:rsidRPr="004D3E32" w14:paraId="1CF636CD" w14:textId="4DF197EE" w:rsidTr="008460C9">
        <w:tc>
          <w:tcPr>
            <w:tcW w:w="1696" w:type="dxa"/>
            <w:tcBorders>
              <w:top w:val="single" w:sz="6" w:space="0" w:color="auto"/>
              <w:bottom w:val="single" w:sz="6" w:space="0" w:color="auto"/>
            </w:tcBorders>
            <w:vAlign w:val="center"/>
            <w:hideMark/>
          </w:tcPr>
          <w:p w14:paraId="6D621A22" w14:textId="762074A0"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SC-TCZ </w:t>
            </w:r>
            <w:r w:rsidR="00725A4E" w:rsidRPr="004D3E32">
              <w:rPr>
                <w:rFonts w:ascii="Arial" w:hAnsi="Arial"/>
                <w:b/>
                <w:bCs/>
                <w:sz w:val="16"/>
                <w:szCs w:val="16"/>
              </w:rPr>
              <w:t>d</w:t>
            </w:r>
            <w:r w:rsidRPr="004D3E32">
              <w:rPr>
                <w:rFonts w:ascii="Arial" w:hAnsi="Arial"/>
                <w:b/>
                <w:bCs/>
                <w:sz w:val="16"/>
                <w:szCs w:val="16"/>
              </w:rPr>
              <w:t>ose (mg/week)</w:t>
            </w:r>
          </w:p>
        </w:tc>
        <w:tc>
          <w:tcPr>
            <w:tcW w:w="1985" w:type="dxa"/>
            <w:tcBorders>
              <w:top w:val="single" w:sz="6" w:space="0" w:color="auto"/>
              <w:bottom w:val="single" w:sz="6" w:space="0" w:color="auto"/>
            </w:tcBorders>
            <w:vAlign w:val="center"/>
            <w:hideMark/>
          </w:tcPr>
          <w:p w14:paraId="6791835C"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162</w:t>
            </w:r>
          </w:p>
        </w:tc>
        <w:tc>
          <w:tcPr>
            <w:tcW w:w="1701" w:type="dxa"/>
            <w:tcBorders>
              <w:top w:val="single" w:sz="6" w:space="0" w:color="auto"/>
              <w:bottom w:val="single" w:sz="6" w:space="0" w:color="auto"/>
            </w:tcBorders>
            <w:vAlign w:val="center"/>
            <w:hideMark/>
          </w:tcPr>
          <w:p w14:paraId="546947BF"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162</w:t>
            </w:r>
          </w:p>
        </w:tc>
        <w:tc>
          <w:tcPr>
            <w:tcW w:w="1843" w:type="dxa"/>
            <w:tcBorders>
              <w:top w:val="single" w:sz="6" w:space="0" w:color="auto"/>
              <w:bottom w:val="single" w:sz="6" w:space="0" w:color="auto"/>
            </w:tcBorders>
            <w:vAlign w:val="center"/>
            <w:hideMark/>
          </w:tcPr>
          <w:p w14:paraId="65F256BB" w14:textId="1D595B4D" w:rsidR="00597F24" w:rsidRPr="004D3E32" w:rsidRDefault="00725A4E" w:rsidP="00725A4E">
            <w:pPr>
              <w:spacing w:line="276" w:lineRule="auto"/>
              <w:jc w:val="center"/>
              <w:rPr>
                <w:rFonts w:ascii="Arial" w:hAnsi="Arial"/>
                <w:sz w:val="16"/>
                <w:szCs w:val="16"/>
              </w:rPr>
            </w:pPr>
            <w:r w:rsidRPr="004D3E32">
              <w:rPr>
                <w:rFonts w:ascii="Arial" w:hAnsi="Arial"/>
                <w:sz w:val="16"/>
                <w:szCs w:val="16"/>
              </w:rPr>
              <w:t>nr</w:t>
            </w:r>
          </w:p>
        </w:tc>
        <w:tc>
          <w:tcPr>
            <w:tcW w:w="1791" w:type="dxa"/>
            <w:tcBorders>
              <w:top w:val="single" w:sz="6" w:space="0" w:color="auto"/>
              <w:bottom w:val="single" w:sz="6" w:space="0" w:color="auto"/>
            </w:tcBorders>
            <w:vAlign w:val="center"/>
          </w:tcPr>
          <w:p w14:paraId="485E5256" w14:textId="2FE45C63" w:rsidR="00597F24" w:rsidRPr="004D3E32" w:rsidRDefault="005303C9" w:rsidP="00725A4E">
            <w:pPr>
              <w:spacing w:line="276" w:lineRule="auto"/>
              <w:jc w:val="center"/>
              <w:rPr>
                <w:rFonts w:ascii="Arial" w:hAnsi="Arial"/>
                <w:sz w:val="16"/>
                <w:szCs w:val="16"/>
              </w:rPr>
            </w:pPr>
            <w:r w:rsidRPr="004D3E32">
              <w:rPr>
                <w:rFonts w:ascii="Arial" w:hAnsi="Arial"/>
                <w:sz w:val="16"/>
                <w:szCs w:val="16"/>
              </w:rPr>
              <w:t>81.5 (majority)</w:t>
            </w:r>
          </w:p>
        </w:tc>
      </w:tr>
      <w:tr w:rsidR="00597F24" w:rsidRPr="004D3E32" w14:paraId="6312380F" w14:textId="65899504" w:rsidTr="008460C9">
        <w:tc>
          <w:tcPr>
            <w:tcW w:w="1696" w:type="dxa"/>
            <w:tcBorders>
              <w:top w:val="single" w:sz="6" w:space="0" w:color="auto"/>
              <w:bottom w:val="single" w:sz="6" w:space="0" w:color="auto"/>
            </w:tcBorders>
            <w:vAlign w:val="center"/>
            <w:hideMark/>
          </w:tcPr>
          <w:p w14:paraId="2CA11B68" w14:textId="340002A4"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IV-TCZ </w:t>
            </w:r>
            <w:r w:rsidR="00725A4E" w:rsidRPr="004D3E32">
              <w:rPr>
                <w:rFonts w:ascii="Arial" w:hAnsi="Arial"/>
                <w:b/>
                <w:bCs/>
                <w:sz w:val="16"/>
                <w:szCs w:val="16"/>
              </w:rPr>
              <w:t>d</w:t>
            </w:r>
            <w:r w:rsidRPr="004D3E32">
              <w:rPr>
                <w:rFonts w:ascii="Arial" w:hAnsi="Arial"/>
                <w:b/>
                <w:bCs/>
                <w:sz w:val="16"/>
                <w:szCs w:val="16"/>
              </w:rPr>
              <w:t>ose (mg/kg/month)</w:t>
            </w:r>
          </w:p>
        </w:tc>
        <w:tc>
          <w:tcPr>
            <w:tcW w:w="1985" w:type="dxa"/>
            <w:tcBorders>
              <w:top w:val="single" w:sz="6" w:space="0" w:color="auto"/>
              <w:bottom w:val="single" w:sz="6" w:space="0" w:color="auto"/>
            </w:tcBorders>
            <w:vAlign w:val="center"/>
            <w:hideMark/>
          </w:tcPr>
          <w:p w14:paraId="3BA542D1"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8</w:t>
            </w:r>
          </w:p>
        </w:tc>
        <w:tc>
          <w:tcPr>
            <w:tcW w:w="1701" w:type="dxa"/>
            <w:tcBorders>
              <w:top w:val="single" w:sz="6" w:space="0" w:color="auto"/>
              <w:bottom w:val="single" w:sz="6" w:space="0" w:color="auto"/>
            </w:tcBorders>
            <w:vAlign w:val="center"/>
            <w:hideMark/>
          </w:tcPr>
          <w:p w14:paraId="4E012431"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7</w:t>
            </w:r>
          </w:p>
        </w:tc>
        <w:tc>
          <w:tcPr>
            <w:tcW w:w="1843" w:type="dxa"/>
            <w:tcBorders>
              <w:top w:val="single" w:sz="6" w:space="0" w:color="auto"/>
              <w:bottom w:val="single" w:sz="6" w:space="0" w:color="auto"/>
            </w:tcBorders>
            <w:vAlign w:val="center"/>
            <w:hideMark/>
          </w:tcPr>
          <w:p w14:paraId="1CD64498" w14:textId="7DEC68D2"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8 (67% of patients)</w:t>
            </w:r>
          </w:p>
        </w:tc>
        <w:tc>
          <w:tcPr>
            <w:tcW w:w="1791" w:type="dxa"/>
            <w:tcBorders>
              <w:top w:val="single" w:sz="6" w:space="0" w:color="auto"/>
            </w:tcBorders>
            <w:vAlign w:val="center"/>
          </w:tcPr>
          <w:p w14:paraId="6A26AA3E" w14:textId="71889D79" w:rsidR="00597F24" w:rsidRPr="004D3E32" w:rsidRDefault="005303C9" w:rsidP="00725A4E">
            <w:pPr>
              <w:spacing w:line="276" w:lineRule="auto"/>
              <w:jc w:val="center"/>
              <w:rPr>
                <w:rFonts w:ascii="Arial" w:hAnsi="Arial"/>
                <w:sz w:val="16"/>
                <w:szCs w:val="16"/>
              </w:rPr>
            </w:pPr>
            <w:r w:rsidRPr="004D3E32">
              <w:rPr>
                <w:rFonts w:ascii="Arial" w:hAnsi="Arial"/>
                <w:sz w:val="16"/>
                <w:szCs w:val="16"/>
              </w:rPr>
              <w:t>8 (majority)</w:t>
            </w:r>
          </w:p>
        </w:tc>
      </w:tr>
      <w:tr w:rsidR="00725A4E" w:rsidRPr="004D3E32" w14:paraId="38669319" w14:textId="685E0D06" w:rsidTr="008460C9">
        <w:tc>
          <w:tcPr>
            <w:tcW w:w="9016" w:type="dxa"/>
            <w:gridSpan w:val="5"/>
            <w:tcBorders>
              <w:top w:val="single" w:sz="6" w:space="0" w:color="auto"/>
            </w:tcBorders>
            <w:vAlign w:val="center"/>
            <w:hideMark/>
          </w:tcPr>
          <w:p w14:paraId="7B268CB9" w14:textId="21138206" w:rsidR="00725A4E" w:rsidRPr="004D3E32" w:rsidRDefault="00725A4E" w:rsidP="00725A4E">
            <w:pPr>
              <w:spacing w:line="276" w:lineRule="auto"/>
              <w:rPr>
                <w:rFonts w:ascii="Arial" w:hAnsi="Arial"/>
                <w:sz w:val="16"/>
                <w:szCs w:val="16"/>
              </w:rPr>
            </w:pPr>
            <w:r w:rsidRPr="004D3E32">
              <w:rPr>
                <w:rFonts w:ascii="Arial" w:hAnsi="Arial"/>
                <w:b/>
                <w:bCs/>
                <w:sz w:val="16"/>
                <w:szCs w:val="16"/>
              </w:rPr>
              <w:t xml:space="preserve">Baseline characteristics </w:t>
            </w:r>
            <w:proofErr w:type="gramStart"/>
            <w:r w:rsidRPr="004D3E32">
              <w:rPr>
                <w:rFonts w:ascii="Arial" w:hAnsi="Arial"/>
                <w:b/>
                <w:bCs/>
                <w:sz w:val="16"/>
                <w:szCs w:val="16"/>
              </w:rPr>
              <w:t>significantly</w:t>
            </w:r>
            <w:proofErr w:type="gramEnd"/>
            <w:r w:rsidRPr="004D3E32">
              <w:rPr>
                <w:rFonts w:ascii="Arial" w:hAnsi="Arial"/>
                <w:b/>
                <w:bCs/>
                <w:sz w:val="16"/>
                <w:szCs w:val="16"/>
              </w:rPr>
              <w:t xml:space="preserve"> different between groups</w:t>
            </w:r>
          </w:p>
        </w:tc>
      </w:tr>
      <w:tr w:rsidR="00725A4E" w:rsidRPr="004D3E32" w14:paraId="6EED9250" w14:textId="77777777" w:rsidTr="008460C9">
        <w:tc>
          <w:tcPr>
            <w:tcW w:w="1696" w:type="dxa"/>
            <w:vAlign w:val="center"/>
          </w:tcPr>
          <w:p w14:paraId="117ADB33" w14:textId="456EFA89" w:rsidR="00725A4E" w:rsidRPr="004D3E32" w:rsidRDefault="00725A4E" w:rsidP="001757E7">
            <w:pPr>
              <w:spacing w:line="276" w:lineRule="auto"/>
              <w:jc w:val="center"/>
              <w:rPr>
                <w:rFonts w:ascii="Arial" w:hAnsi="Arial"/>
                <w:b/>
                <w:bCs/>
                <w:sz w:val="16"/>
                <w:szCs w:val="16"/>
              </w:rPr>
            </w:pPr>
            <w:r w:rsidRPr="004D3E32">
              <w:rPr>
                <w:rFonts w:ascii="Arial" w:hAnsi="Arial"/>
                <w:b/>
                <w:bCs/>
                <w:sz w:val="16"/>
                <w:szCs w:val="16"/>
              </w:rPr>
              <w:t>IV-to-SC</w:t>
            </w:r>
          </w:p>
        </w:tc>
        <w:tc>
          <w:tcPr>
            <w:tcW w:w="1985" w:type="dxa"/>
            <w:tcBorders>
              <w:bottom w:val="single" w:sz="6" w:space="0" w:color="auto"/>
            </w:tcBorders>
            <w:vAlign w:val="center"/>
          </w:tcPr>
          <w:p w14:paraId="3137E1AF" w14:textId="4941302C" w:rsidR="00725A4E" w:rsidRPr="006C48F1" w:rsidRDefault="00725A4E" w:rsidP="00725A4E">
            <w:pPr>
              <w:spacing w:line="276" w:lineRule="auto"/>
              <w:jc w:val="center"/>
              <w:rPr>
                <w:rFonts w:ascii="Arial" w:hAnsi="Arial"/>
                <w:sz w:val="16"/>
                <w:szCs w:val="16"/>
              </w:rPr>
            </w:pPr>
            <w:r w:rsidRPr="006C48F1">
              <w:rPr>
                <w:rFonts w:ascii="Arial" w:hAnsi="Arial"/>
                <w:sz w:val="16"/>
                <w:szCs w:val="16"/>
              </w:rPr>
              <w:t xml:space="preserve">Anti-CCP+ 153 (83.2%); RF+ 145 (78.4%); </w:t>
            </w:r>
            <w:proofErr w:type="spellStart"/>
            <w:r w:rsidRPr="006C48F1">
              <w:rPr>
                <w:rFonts w:ascii="Arial" w:hAnsi="Arial"/>
                <w:sz w:val="16"/>
                <w:szCs w:val="16"/>
              </w:rPr>
              <w:t>TNFi</w:t>
            </w:r>
            <w:proofErr w:type="spellEnd"/>
            <w:r w:rsidRPr="006C48F1">
              <w:rPr>
                <w:rFonts w:ascii="Arial" w:hAnsi="Arial"/>
                <w:sz w:val="16"/>
                <w:szCs w:val="16"/>
              </w:rPr>
              <w:t>-non-responder 31 (16.7%)</w:t>
            </w:r>
          </w:p>
        </w:tc>
        <w:tc>
          <w:tcPr>
            <w:tcW w:w="1701" w:type="dxa"/>
            <w:tcBorders>
              <w:bottom w:val="single" w:sz="6" w:space="0" w:color="auto"/>
            </w:tcBorders>
            <w:vAlign w:val="center"/>
          </w:tcPr>
          <w:p w14:paraId="47D9CC38" w14:textId="561239FC"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c>
          <w:tcPr>
            <w:tcW w:w="1843" w:type="dxa"/>
            <w:tcBorders>
              <w:bottom w:val="single" w:sz="6" w:space="0" w:color="auto"/>
            </w:tcBorders>
            <w:vAlign w:val="center"/>
          </w:tcPr>
          <w:p w14:paraId="097C4B6D" w14:textId="5BB5BC8C"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c>
          <w:tcPr>
            <w:tcW w:w="1791" w:type="dxa"/>
            <w:tcBorders>
              <w:bottom w:val="single" w:sz="6" w:space="0" w:color="auto"/>
            </w:tcBorders>
            <w:vAlign w:val="center"/>
          </w:tcPr>
          <w:p w14:paraId="0066483A" w14:textId="30E711F0"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r>
      <w:tr w:rsidR="00725A4E" w:rsidRPr="004D3E32" w14:paraId="7FFFBBFB" w14:textId="77777777" w:rsidTr="008460C9">
        <w:tc>
          <w:tcPr>
            <w:tcW w:w="1696" w:type="dxa"/>
            <w:tcBorders>
              <w:bottom w:val="single" w:sz="6" w:space="0" w:color="auto"/>
            </w:tcBorders>
            <w:vAlign w:val="center"/>
          </w:tcPr>
          <w:p w14:paraId="76D99029" w14:textId="06E4C959" w:rsidR="00725A4E" w:rsidRPr="004D3E32" w:rsidRDefault="00725A4E" w:rsidP="001757E7">
            <w:pPr>
              <w:spacing w:line="276" w:lineRule="auto"/>
              <w:jc w:val="center"/>
              <w:rPr>
                <w:rFonts w:ascii="Arial" w:hAnsi="Arial"/>
                <w:b/>
                <w:bCs/>
                <w:sz w:val="16"/>
                <w:szCs w:val="16"/>
              </w:rPr>
            </w:pPr>
            <w:r w:rsidRPr="004D3E32">
              <w:rPr>
                <w:rFonts w:ascii="Arial" w:hAnsi="Arial"/>
                <w:b/>
                <w:bCs/>
                <w:sz w:val="16"/>
                <w:szCs w:val="16"/>
              </w:rPr>
              <w:t>IV-to-IV</w:t>
            </w:r>
          </w:p>
        </w:tc>
        <w:tc>
          <w:tcPr>
            <w:tcW w:w="1985" w:type="dxa"/>
            <w:tcBorders>
              <w:top w:val="single" w:sz="6" w:space="0" w:color="auto"/>
              <w:bottom w:val="single" w:sz="6" w:space="0" w:color="auto"/>
            </w:tcBorders>
            <w:vAlign w:val="center"/>
          </w:tcPr>
          <w:p w14:paraId="137C71BA" w14:textId="3F65101C" w:rsidR="00725A4E" w:rsidRPr="006C48F1" w:rsidRDefault="00725A4E" w:rsidP="00725A4E">
            <w:pPr>
              <w:spacing w:line="276" w:lineRule="auto"/>
              <w:jc w:val="center"/>
              <w:rPr>
                <w:rFonts w:ascii="Arial" w:hAnsi="Arial"/>
                <w:sz w:val="16"/>
                <w:szCs w:val="16"/>
              </w:rPr>
            </w:pPr>
            <w:r w:rsidRPr="006C48F1">
              <w:rPr>
                <w:rFonts w:ascii="Arial" w:hAnsi="Arial"/>
                <w:sz w:val="16"/>
                <w:szCs w:val="16"/>
              </w:rPr>
              <w:t xml:space="preserve">Anti-CCP+ 276 (75%); RF+ 273 (74%); </w:t>
            </w:r>
            <w:proofErr w:type="spellStart"/>
            <w:r w:rsidRPr="006C48F1">
              <w:rPr>
                <w:rFonts w:ascii="Arial" w:hAnsi="Arial"/>
                <w:sz w:val="16"/>
                <w:szCs w:val="16"/>
              </w:rPr>
              <w:t>TNFi</w:t>
            </w:r>
            <w:proofErr w:type="spellEnd"/>
            <w:r w:rsidRPr="006C48F1">
              <w:rPr>
                <w:rFonts w:ascii="Arial" w:hAnsi="Arial"/>
                <w:sz w:val="16"/>
                <w:szCs w:val="16"/>
              </w:rPr>
              <w:t>-non-responder 87 (23.4%)</w:t>
            </w:r>
          </w:p>
        </w:tc>
        <w:tc>
          <w:tcPr>
            <w:tcW w:w="1701" w:type="dxa"/>
            <w:tcBorders>
              <w:top w:val="single" w:sz="6" w:space="0" w:color="auto"/>
              <w:bottom w:val="single" w:sz="6" w:space="0" w:color="auto"/>
            </w:tcBorders>
            <w:vAlign w:val="center"/>
          </w:tcPr>
          <w:p w14:paraId="2823B7BA" w14:textId="237B1A4F"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c>
          <w:tcPr>
            <w:tcW w:w="1843" w:type="dxa"/>
            <w:tcBorders>
              <w:top w:val="single" w:sz="6" w:space="0" w:color="auto"/>
              <w:bottom w:val="single" w:sz="6" w:space="0" w:color="auto"/>
            </w:tcBorders>
            <w:vAlign w:val="center"/>
          </w:tcPr>
          <w:p w14:paraId="7D4C1529" w14:textId="761E79E5"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c>
          <w:tcPr>
            <w:tcW w:w="1791" w:type="dxa"/>
            <w:tcBorders>
              <w:top w:val="single" w:sz="6" w:space="0" w:color="auto"/>
              <w:bottom w:val="single" w:sz="6" w:space="0" w:color="auto"/>
            </w:tcBorders>
            <w:vAlign w:val="center"/>
          </w:tcPr>
          <w:p w14:paraId="6AD4C7BE" w14:textId="69065D47" w:rsidR="00725A4E" w:rsidRPr="004D3E32" w:rsidRDefault="003F0D35" w:rsidP="00725A4E">
            <w:pPr>
              <w:spacing w:line="276" w:lineRule="auto"/>
              <w:jc w:val="center"/>
              <w:rPr>
                <w:rFonts w:ascii="Arial" w:hAnsi="Arial"/>
                <w:sz w:val="16"/>
                <w:szCs w:val="16"/>
              </w:rPr>
            </w:pPr>
            <w:r w:rsidRPr="004D3E32">
              <w:rPr>
                <w:rFonts w:ascii="Arial" w:hAnsi="Arial"/>
                <w:sz w:val="16"/>
                <w:szCs w:val="16"/>
              </w:rPr>
              <w:t>No</w:t>
            </w:r>
          </w:p>
        </w:tc>
      </w:tr>
      <w:tr w:rsidR="00597F24" w:rsidRPr="004D3E32" w14:paraId="63CEB4FB" w14:textId="10F1847B" w:rsidTr="008460C9">
        <w:tc>
          <w:tcPr>
            <w:tcW w:w="1696" w:type="dxa"/>
            <w:tcBorders>
              <w:top w:val="single" w:sz="6" w:space="0" w:color="auto"/>
              <w:bottom w:val="single" w:sz="6" w:space="0" w:color="auto"/>
            </w:tcBorders>
            <w:vAlign w:val="center"/>
            <w:hideMark/>
          </w:tcPr>
          <w:p w14:paraId="52260B02" w14:textId="76FA8FB9"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Time to </w:t>
            </w:r>
            <w:r w:rsidR="00725A4E" w:rsidRPr="004D3E32">
              <w:rPr>
                <w:rFonts w:ascii="Arial" w:hAnsi="Arial"/>
                <w:b/>
                <w:bCs/>
                <w:sz w:val="16"/>
                <w:szCs w:val="16"/>
              </w:rPr>
              <w:t>p</w:t>
            </w:r>
            <w:r w:rsidRPr="004D3E32">
              <w:rPr>
                <w:rFonts w:ascii="Arial" w:hAnsi="Arial"/>
                <w:b/>
                <w:bCs/>
                <w:sz w:val="16"/>
                <w:szCs w:val="16"/>
              </w:rPr>
              <w:t xml:space="preserve">rimary </w:t>
            </w:r>
            <w:r w:rsidR="00725A4E" w:rsidRPr="004D3E32">
              <w:rPr>
                <w:rFonts w:ascii="Arial" w:hAnsi="Arial"/>
                <w:b/>
                <w:bCs/>
                <w:sz w:val="16"/>
                <w:szCs w:val="16"/>
              </w:rPr>
              <w:t>o</w:t>
            </w:r>
            <w:r w:rsidRPr="004D3E32">
              <w:rPr>
                <w:rFonts w:ascii="Arial" w:hAnsi="Arial"/>
                <w:b/>
                <w:bCs/>
                <w:sz w:val="16"/>
                <w:szCs w:val="16"/>
              </w:rPr>
              <w:t xml:space="preserve">utcome, </w:t>
            </w:r>
            <w:r w:rsidR="00725A4E" w:rsidRPr="004D3E32">
              <w:rPr>
                <w:rFonts w:ascii="Arial" w:hAnsi="Arial"/>
                <w:b/>
                <w:bCs/>
                <w:sz w:val="16"/>
                <w:szCs w:val="16"/>
              </w:rPr>
              <w:t>m</w:t>
            </w:r>
            <w:r w:rsidRPr="004D3E32">
              <w:rPr>
                <w:rFonts w:ascii="Arial" w:hAnsi="Arial"/>
                <w:b/>
                <w:bCs/>
                <w:sz w:val="16"/>
                <w:szCs w:val="16"/>
              </w:rPr>
              <w:t>ean (</w:t>
            </w:r>
            <w:r w:rsidR="00725A4E" w:rsidRPr="004D3E32">
              <w:rPr>
                <w:rFonts w:ascii="Arial" w:hAnsi="Arial"/>
                <w:b/>
                <w:bCs/>
                <w:sz w:val="16"/>
                <w:szCs w:val="16"/>
              </w:rPr>
              <w:t>m</w:t>
            </w:r>
            <w:r w:rsidRPr="004D3E32">
              <w:rPr>
                <w:rFonts w:ascii="Arial" w:hAnsi="Arial"/>
                <w:b/>
                <w:bCs/>
                <w:sz w:val="16"/>
                <w:szCs w:val="16"/>
              </w:rPr>
              <w:t>onths)</w:t>
            </w:r>
          </w:p>
        </w:tc>
        <w:tc>
          <w:tcPr>
            <w:tcW w:w="1985" w:type="dxa"/>
            <w:tcBorders>
              <w:top w:val="single" w:sz="6" w:space="0" w:color="auto"/>
              <w:bottom w:val="single" w:sz="6" w:space="0" w:color="auto"/>
            </w:tcBorders>
            <w:vAlign w:val="center"/>
            <w:hideMark/>
          </w:tcPr>
          <w:p w14:paraId="18813F45"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18</w:t>
            </w:r>
          </w:p>
        </w:tc>
        <w:tc>
          <w:tcPr>
            <w:tcW w:w="1701" w:type="dxa"/>
            <w:tcBorders>
              <w:top w:val="single" w:sz="6" w:space="0" w:color="auto"/>
              <w:bottom w:val="single" w:sz="6" w:space="0" w:color="auto"/>
            </w:tcBorders>
            <w:vAlign w:val="center"/>
            <w:hideMark/>
          </w:tcPr>
          <w:p w14:paraId="3164F0FD"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6</w:t>
            </w:r>
          </w:p>
        </w:tc>
        <w:tc>
          <w:tcPr>
            <w:tcW w:w="1843" w:type="dxa"/>
            <w:tcBorders>
              <w:top w:val="single" w:sz="6" w:space="0" w:color="auto"/>
              <w:bottom w:val="single" w:sz="6" w:space="0" w:color="auto"/>
            </w:tcBorders>
            <w:vAlign w:val="center"/>
            <w:hideMark/>
          </w:tcPr>
          <w:p w14:paraId="087DF939"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9</w:t>
            </w:r>
          </w:p>
        </w:tc>
        <w:tc>
          <w:tcPr>
            <w:tcW w:w="1791" w:type="dxa"/>
            <w:tcBorders>
              <w:top w:val="single" w:sz="6" w:space="0" w:color="auto"/>
              <w:bottom w:val="single" w:sz="6" w:space="0" w:color="auto"/>
            </w:tcBorders>
            <w:vAlign w:val="center"/>
          </w:tcPr>
          <w:p w14:paraId="1C740C1F" w14:textId="09EC3F5C" w:rsidR="00597F24" w:rsidRPr="004D3E32" w:rsidRDefault="005551A3" w:rsidP="00725A4E">
            <w:pPr>
              <w:spacing w:line="276" w:lineRule="auto"/>
              <w:jc w:val="center"/>
              <w:rPr>
                <w:rFonts w:ascii="Arial" w:hAnsi="Arial"/>
                <w:sz w:val="16"/>
                <w:szCs w:val="16"/>
              </w:rPr>
            </w:pPr>
            <w:r w:rsidRPr="004D3E32">
              <w:rPr>
                <w:rFonts w:ascii="Arial" w:hAnsi="Arial"/>
                <w:sz w:val="16"/>
                <w:szCs w:val="16"/>
              </w:rPr>
              <w:t xml:space="preserve">End of study and </w:t>
            </w:r>
            <w:r w:rsidR="003F0D35" w:rsidRPr="004D3E32">
              <w:rPr>
                <w:rFonts w:ascii="Arial" w:hAnsi="Arial"/>
                <w:sz w:val="16"/>
                <w:szCs w:val="16"/>
              </w:rPr>
              <w:t>12</w:t>
            </w:r>
            <w:r w:rsidRPr="004D3E32">
              <w:rPr>
                <w:rFonts w:ascii="Arial" w:hAnsi="Arial"/>
                <w:sz w:val="16"/>
                <w:szCs w:val="16"/>
              </w:rPr>
              <w:t xml:space="preserve"> (respectively, for co-primary outcomes)</w:t>
            </w:r>
          </w:p>
        </w:tc>
      </w:tr>
      <w:tr w:rsidR="00597F24" w:rsidRPr="004D3E32" w14:paraId="11D6A159" w14:textId="2B01C5E6" w:rsidTr="008460C9">
        <w:tc>
          <w:tcPr>
            <w:tcW w:w="1696" w:type="dxa"/>
            <w:tcBorders>
              <w:top w:val="single" w:sz="6" w:space="0" w:color="auto"/>
              <w:bottom w:val="single" w:sz="6" w:space="0" w:color="auto"/>
            </w:tcBorders>
            <w:vAlign w:val="center"/>
            <w:hideMark/>
          </w:tcPr>
          <w:p w14:paraId="0C01E0A5" w14:textId="0668B8EE"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Primary</w:t>
            </w:r>
            <w:r w:rsidR="00725A4E" w:rsidRPr="004D3E32">
              <w:rPr>
                <w:rFonts w:ascii="Arial" w:hAnsi="Arial"/>
                <w:b/>
                <w:bCs/>
                <w:sz w:val="16"/>
                <w:szCs w:val="16"/>
              </w:rPr>
              <w:t xml:space="preserve"> o</w:t>
            </w:r>
            <w:r w:rsidRPr="004D3E32">
              <w:rPr>
                <w:rFonts w:ascii="Arial" w:hAnsi="Arial"/>
                <w:b/>
                <w:bCs/>
                <w:sz w:val="16"/>
                <w:szCs w:val="16"/>
              </w:rPr>
              <w:t>utcome</w:t>
            </w:r>
          </w:p>
        </w:tc>
        <w:tc>
          <w:tcPr>
            <w:tcW w:w="1985" w:type="dxa"/>
            <w:tcBorders>
              <w:top w:val="single" w:sz="6" w:space="0" w:color="auto"/>
              <w:bottom w:val="single" w:sz="6" w:space="0" w:color="auto"/>
            </w:tcBorders>
            <w:vAlign w:val="center"/>
            <w:hideMark/>
          </w:tcPr>
          <w:p w14:paraId="3F13DD27" w14:textId="5F8AB0E5"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 xml:space="preserve">Efficacy (proportion of patients in </w:t>
            </w:r>
            <w:r w:rsidR="00725A4E" w:rsidRPr="004D3E32">
              <w:rPr>
                <w:rFonts w:ascii="Arial" w:hAnsi="Arial"/>
                <w:sz w:val="16"/>
                <w:szCs w:val="16"/>
              </w:rPr>
              <w:t xml:space="preserve">DAS28/CDAI/ Boolean </w:t>
            </w:r>
            <w:r w:rsidRPr="004D3E32">
              <w:rPr>
                <w:rFonts w:ascii="Arial" w:hAnsi="Arial"/>
                <w:sz w:val="16"/>
                <w:szCs w:val="16"/>
              </w:rPr>
              <w:t>remission, DAS28 LDA, HAQ-DI response) and long-term safety (AE [SAE] incidence) of SC-TCZ</w:t>
            </w:r>
          </w:p>
        </w:tc>
        <w:tc>
          <w:tcPr>
            <w:tcW w:w="1701" w:type="dxa"/>
            <w:tcBorders>
              <w:top w:val="single" w:sz="6" w:space="0" w:color="auto"/>
              <w:bottom w:val="single" w:sz="6" w:space="0" w:color="auto"/>
            </w:tcBorders>
            <w:vAlign w:val="center"/>
            <w:hideMark/>
          </w:tcPr>
          <w:p w14:paraId="7817F862" w14:textId="33C3F8D2"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Proportion of patients with</w:t>
            </w:r>
            <w:r w:rsidR="00725A4E" w:rsidRPr="004D3E32">
              <w:rPr>
                <w:rFonts w:ascii="Arial" w:hAnsi="Arial"/>
                <w:sz w:val="16"/>
                <w:szCs w:val="16"/>
              </w:rPr>
              <w:t xml:space="preserve"> persistent</w:t>
            </w:r>
            <w:r w:rsidRPr="004D3E32">
              <w:rPr>
                <w:rFonts w:ascii="Arial" w:hAnsi="Arial"/>
                <w:sz w:val="16"/>
                <w:szCs w:val="16"/>
              </w:rPr>
              <w:t xml:space="preserve"> DAS28 &lt;3.2 or improving disease activity 6 months after switch</w:t>
            </w:r>
          </w:p>
        </w:tc>
        <w:tc>
          <w:tcPr>
            <w:tcW w:w="1843" w:type="dxa"/>
            <w:tcBorders>
              <w:top w:val="single" w:sz="6" w:space="0" w:color="auto"/>
              <w:bottom w:val="single" w:sz="6" w:space="0" w:color="auto"/>
            </w:tcBorders>
            <w:vAlign w:val="center"/>
            <w:hideMark/>
          </w:tcPr>
          <w:p w14:paraId="4AA0B1ED"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Efficacy, persistence, safety, SC-TCZ dose changes after switch; characteristics of IV-to-SC patients</w:t>
            </w:r>
          </w:p>
        </w:tc>
        <w:tc>
          <w:tcPr>
            <w:tcW w:w="1791" w:type="dxa"/>
            <w:tcBorders>
              <w:top w:val="single" w:sz="6" w:space="0" w:color="auto"/>
              <w:bottom w:val="single" w:sz="6" w:space="0" w:color="auto"/>
            </w:tcBorders>
            <w:vAlign w:val="center"/>
          </w:tcPr>
          <w:p w14:paraId="7E11CAB7" w14:textId="6B3E48C0"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TCZ retention and efficacy (CDAI)</w:t>
            </w:r>
          </w:p>
        </w:tc>
      </w:tr>
      <w:tr w:rsidR="00597F24" w:rsidRPr="004D3E32" w14:paraId="60E56B0F" w14:textId="0B9AB73C" w:rsidTr="008460C9">
        <w:tc>
          <w:tcPr>
            <w:tcW w:w="1696" w:type="dxa"/>
            <w:tcBorders>
              <w:top w:val="single" w:sz="6" w:space="0" w:color="auto"/>
              <w:bottom w:val="single" w:sz="6" w:space="0" w:color="auto"/>
            </w:tcBorders>
            <w:vAlign w:val="center"/>
            <w:hideMark/>
          </w:tcPr>
          <w:p w14:paraId="71F89B69" w14:textId="77777777"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Results (based on primary outcome)</w:t>
            </w:r>
          </w:p>
        </w:tc>
        <w:tc>
          <w:tcPr>
            <w:tcW w:w="1985" w:type="dxa"/>
            <w:tcBorders>
              <w:top w:val="single" w:sz="6" w:space="0" w:color="auto"/>
              <w:bottom w:val="single" w:sz="6" w:space="0" w:color="auto"/>
            </w:tcBorders>
            <w:vAlign w:val="center"/>
            <w:hideMark/>
          </w:tcPr>
          <w:p w14:paraId="696F014E"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DAS28-REM: 91/186 (55.6%) vs 142/372 (46.4%)</w:t>
            </w:r>
          </w:p>
        </w:tc>
        <w:tc>
          <w:tcPr>
            <w:tcW w:w="1701" w:type="dxa"/>
            <w:tcBorders>
              <w:top w:val="single" w:sz="6" w:space="0" w:color="auto"/>
              <w:bottom w:val="single" w:sz="6" w:space="0" w:color="auto"/>
            </w:tcBorders>
            <w:vAlign w:val="center"/>
            <w:hideMark/>
          </w:tcPr>
          <w:p w14:paraId="6291F868"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66 (73.3%) vs 137 (70.3%) (baseline: 81.9% and 59.5%, respectively)</w:t>
            </w:r>
          </w:p>
        </w:tc>
        <w:tc>
          <w:tcPr>
            <w:tcW w:w="1843" w:type="dxa"/>
            <w:tcBorders>
              <w:top w:val="single" w:sz="6" w:space="0" w:color="auto"/>
              <w:bottom w:val="single" w:sz="6" w:space="0" w:color="auto"/>
            </w:tcBorders>
            <w:vAlign w:val="center"/>
            <w:hideMark/>
          </w:tcPr>
          <w:p w14:paraId="14F39D47"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DAS28 ≤3.2*: 29/34 (85%); +29 mg/week</w:t>
            </w:r>
          </w:p>
        </w:tc>
        <w:tc>
          <w:tcPr>
            <w:tcW w:w="1791" w:type="dxa"/>
            <w:tcBorders>
              <w:top w:val="single" w:sz="6" w:space="0" w:color="auto"/>
            </w:tcBorders>
            <w:vAlign w:val="center"/>
          </w:tcPr>
          <w:p w14:paraId="656A5A28" w14:textId="05859460"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CDAI IV-to-SC: 30.7 (19.4-41.0) (</w:t>
            </w:r>
            <w:proofErr w:type="spellStart"/>
            <w:r w:rsidR="00D6407A" w:rsidRPr="004D3E32">
              <w:rPr>
                <w:rFonts w:ascii="Arial" w:hAnsi="Arial"/>
                <w:sz w:val="16"/>
                <w:szCs w:val="16"/>
              </w:rPr>
              <w:t>Bsl</w:t>
            </w:r>
            <w:proofErr w:type="spellEnd"/>
            <w:r w:rsidRPr="004D3E32">
              <w:rPr>
                <w:rFonts w:ascii="Arial" w:hAnsi="Arial"/>
                <w:sz w:val="16"/>
                <w:szCs w:val="16"/>
              </w:rPr>
              <w:t xml:space="preserve">) - 8.0 (3.0-15.4) (switch) - 5.8 (2.9-9.4) (last). </w:t>
            </w:r>
          </w:p>
          <w:p w14:paraId="50759977" w14:textId="1F133E7B" w:rsidR="003F0D35" w:rsidRPr="004D3E32" w:rsidRDefault="003F0D35" w:rsidP="00725A4E">
            <w:pPr>
              <w:spacing w:line="276" w:lineRule="auto"/>
              <w:jc w:val="center"/>
              <w:rPr>
                <w:rFonts w:ascii="Arial" w:hAnsi="Arial"/>
                <w:sz w:val="16"/>
                <w:szCs w:val="16"/>
              </w:rPr>
            </w:pPr>
            <w:r w:rsidRPr="004D3E32">
              <w:rPr>
                <w:rFonts w:ascii="Arial" w:hAnsi="Arial"/>
                <w:sz w:val="16"/>
                <w:szCs w:val="16"/>
              </w:rPr>
              <w:t>CDAI IV-only 25.0 (14-36.</w:t>
            </w:r>
            <w:proofErr w:type="gramStart"/>
            <w:r w:rsidRPr="004D3E32">
              <w:rPr>
                <w:rFonts w:ascii="Arial" w:hAnsi="Arial"/>
                <w:sz w:val="16"/>
                <w:szCs w:val="16"/>
              </w:rPr>
              <w:t>5)(</w:t>
            </w:r>
            <w:proofErr w:type="spellStart"/>
            <w:proofErr w:type="gramEnd"/>
            <w:r w:rsidR="00D6407A" w:rsidRPr="004D3E32">
              <w:rPr>
                <w:rFonts w:ascii="Arial" w:hAnsi="Arial"/>
                <w:sz w:val="16"/>
                <w:szCs w:val="16"/>
              </w:rPr>
              <w:t>Bsl</w:t>
            </w:r>
            <w:proofErr w:type="spellEnd"/>
            <w:r w:rsidRPr="004D3E32">
              <w:rPr>
                <w:rFonts w:ascii="Arial" w:hAnsi="Arial"/>
                <w:sz w:val="16"/>
                <w:szCs w:val="16"/>
              </w:rPr>
              <w:t>) - 8.5 (3-18.</w:t>
            </w:r>
            <w:proofErr w:type="gramStart"/>
            <w:r w:rsidRPr="004D3E32">
              <w:rPr>
                <w:rFonts w:ascii="Arial" w:hAnsi="Arial"/>
                <w:sz w:val="16"/>
                <w:szCs w:val="16"/>
              </w:rPr>
              <w:t>0)(</w:t>
            </w:r>
            <w:proofErr w:type="gramEnd"/>
            <w:r w:rsidRPr="004D3E32">
              <w:rPr>
                <w:rFonts w:ascii="Arial" w:hAnsi="Arial"/>
                <w:sz w:val="16"/>
                <w:szCs w:val="16"/>
              </w:rPr>
              <w:t>last)</w:t>
            </w:r>
            <w:r w:rsidR="00D6407A" w:rsidRPr="004D3E32">
              <w:rPr>
                <w:rFonts w:ascii="Arial" w:hAnsi="Arial"/>
                <w:sz w:val="16"/>
                <w:szCs w:val="16"/>
              </w:rPr>
              <w:t>.</w:t>
            </w:r>
          </w:p>
          <w:p w14:paraId="497429E0" w14:textId="29596E20" w:rsidR="00D6407A" w:rsidRPr="004D3E32" w:rsidRDefault="00D6407A" w:rsidP="00D6407A">
            <w:pPr>
              <w:spacing w:line="276" w:lineRule="auto"/>
              <w:jc w:val="center"/>
              <w:rPr>
                <w:rFonts w:ascii="Arial" w:hAnsi="Arial"/>
                <w:sz w:val="16"/>
                <w:szCs w:val="16"/>
              </w:rPr>
            </w:pPr>
            <w:r w:rsidRPr="004D3E32">
              <w:rPr>
                <w:rFonts w:ascii="Arial" w:hAnsi="Arial"/>
                <w:sz w:val="16"/>
                <w:szCs w:val="16"/>
              </w:rPr>
              <w:t>See below for Rr.</w:t>
            </w:r>
          </w:p>
        </w:tc>
      </w:tr>
      <w:tr w:rsidR="00725A4E" w:rsidRPr="004D3E32" w14:paraId="31D4636A" w14:textId="08774F3E" w:rsidTr="008460C9">
        <w:tc>
          <w:tcPr>
            <w:tcW w:w="9016" w:type="dxa"/>
            <w:gridSpan w:val="5"/>
            <w:tcBorders>
              <w:top w:val="single" w:sz="6" w:space="0" w:color="auto"/>
            </w:tcBorders>
            <w:vAlign w:val="center"/>
            <w:hideMark/>
          </w:tcPr>
          <w:p w14:paraId="6427C155" w14:textId="4C0B1714" w:rsidR="00725A4E" w:rsidRPr="004D3E32" w:rsidRDefault="00725A4E" w:rsidP="00725A4E">
            <w:pPr>
              <w:spacing w:line="276" w:lineRule="auto"/>
              <w:rPr>
                <w:rFonts w:ascii="Arial" w:hAnsi="Arial"/>
                <w:sz w:val="16"/>
                <w:szCs w:val="16"/>
              </w:rPr>
            </w:pPr>
            <w:r w:rsidRPr="004D3E32">
              <w:rPr>
                <w:rFonts w:ascii="Arial" w:hAnsi="Arial"/>
                <w:b/>
                <w:bCs/>
                <w:sz w:val="16"/>
                <w:szCs w:val="16"/>
              </w:rPr>
              <w:t>DAS28 baseline-follow up, mean (SD)</w:t>
            </w:r>
          </w:p>
        </w:tc>
      </w:tr>
      <w:tr w:rsidR="00597F24" w:rsidRPr="004D3E32" w14:paraId="5DF636F7" w14:textId="6430C27A" w:rsidTr="008460C9">
        <w:tc>
          <w:tcPr>
            <w:tcW w:w="1696" w:type="dxa"/>
            <w:vAlign w:val="center"/>
            <w:hideMark/>
          </w:tcPr>
          <w:p w14:paraId="3BF6953A" w14:textId="206D443E" w:rsidR="00597F24" w:rsidRPr="004D3E32" w:rsidRDefault="00725A4E" w:rsidP="001757E7">
            <w:pPr>
              <w:spacing w:line="276" w:lineRule="auto"/>
              <w:jc w:val="center"/>
              <w:rPr>
                <w:rFonts w:ascii="Arial" w:hAnsi="Arial"/>
                <w:sz w:val="16"/>
                <w:szCs w:val="16"/>
              </w:rPr>
            </w:pPr>
            <w:r w:rsidRPr="004D3E32">
              <w:rPr>
                <w:rFonts w:ascii="Arial" w:hAnsi="Arial"/>
                <w:sz w:val="16"/>
                <w:szCs w:val="16"/>
              </w:rPr>
              <w:t>IV-to-SC</w:t>
            </w:r>
          </w:p>
        </w:tc>
        <w:tc>
          <w:tcPr>
            <w:tcW w:w="1985" w:type="dxa"/>
            <w:tcBorders>
              <w:bottom w:val="single" w:sz="6" w:space="0" w:color="auto"/>
            </w:tcBorders>
            <w:vAlign w:val="center"/>
            <w:hideMark/>
          </w:tcPr>
          <w:p w14:paraId="7DC7A2FD" w14:textId="4EEC804A" w:rsidR="00597F24" w:rsidRPr="004D3E32" w:rsidRDefault="00725A4E" w:rsidP="00725A4E">
            <w:pPr>
              <w:spacing w:line="276" w:lineRule="auto"/>
              <w:jc w:val="center"/>
              <w:rPr>
                <w:rFonts w:ascii="Arial" w:hAnsi="Arial"/>
                <w:sz w:val="16"/>
                <w:szCs w:val="16"/>
              </w:rPr>
            </w:pPr>
            <w:r w:rsidRPr="004D3E32">
              <w:rPr>
                <w:rFonts w:ascii="Arial" w:hAnsi="Arial"/>
                <w:sz w:val="16"/>
                <w:szCs w:val="16"/>
              </w:rPr>
              <w:t>6.7 (1.0) - nr</w:t>
            </w:r>
          </w:p>
        </w:tc>
        <w:tc>
          <w:tcPr>
            <w:tcW w:w="1701" w:type="dxa"/>
            <w:tcBorders>
              <w:bottom w:val="single" w:sz="6" w:space="0" w:color="auto"/>
            </w:tcBorders>
            <w:vAlign w:val="center"/>
            <w:hideMark/>
          </w:tcPr>
          <w:p w14:paraId="6EC4CAB4" w14:textId="7A942B2E" w:rsidR="00597F24" w:rsidRPr="004D3E32" w:rsidRDefault="00725A4E" w:rsidP="00725A4E">
            <w:pPr>
              <w:spacing w:line="276" w:lineRule="auto"/>
              <w:jc w:val="center"/>
              <w:rPr>
                <w:rFonts w:ascii="Arial" w:hAnsi="Arial"/>
                <w:sz w:val="16"/>
                <w:szCs w:val="16"/>
              </w:rPr>
            </w:pPr>
            <w:r w:rsidRPr="004D3E32">
              <w:rPr>
                <w:rFonts w:ascii="Arial" w:hAnsi="Arial"/>
                <w:sz w:val="16"/>
                <w:szCs w:val="16"/>
              </w:rPr>
              <w:t>2.1 (1.1) - 1.7 (0.9)</w:t>
            </w:r>
          </w:p>
        </w:tc>
        <w:tc>
          <w:tcPr>
            <w:tcW w:w="1843" w:type="dxa"/>
            <w:tcBorders>
              <w:bottom w:val="single" w:sz="6" w:space="0" w:color="auto"/>
            </w:tcBorders>
            <w:vAlign w:val="center"/>
            <w:hideMark/>
          </w:tcPr>
          <w:p w14:paraId="0EA152E8" w14:textId="21498C28"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1.40 (0.9) - 1.36 (1.19)</w:t>
            </w:r>
          </w:p>
        </w:tc>
        <w:tc>
          <w:tcPr>
            <w:tcW w:w="1791" w:type="dxa"/>
            <w:tcBorders>
              <w:bottom w:val="single" w:sz="6" w:space="0" w:color="auto"/>
            </w:tcBorders>
            <w:vAlign w:val="center"/>
          </w:tcPr>
          <w:p w14:paraId="3DA1B20A" w14:textId="1608E627" w:rsidR="00597F24" w:rsidRPr="004D3E32" w:rsidRDefault="000C3816" w:rsidP="00725A4E">
            <w:pPr>
              <w:spacing w:line="276" w:lineRule="auto"/>
              <w:jc w:val="center"/>
              <w:rPr>
                <w:rFonts w:ascii="Arial" w:hAnsi="Arial"/>
                <w:sz w:val="16"/>
                <w:szCs w:val="16"/>
              </w:rPr>
            </w:pPr>
            <w:r w:rsidRPr="004D3E32">
              <w:rPr>
                <w:rFonts w:ascii="Arial" w:hAnsi="Arial"/>
                <w:sz w:val="16"/>
                <w:szCs w:val="16"/>
              </w:rPr>
              <w:t>nr</w:t>
            </w:r>
          </w:p>
        </w:tc>
      </w:tr>
      <w:tr w:rsidR="00725A4E" w:rsidRPr="004D3E32" w14:paraId="48F9E564" w14:textId="77777777" w:rsidTr="008460C9">
        <w:tc>
          <w:tcPr>
            <w:tcW w:w="1696" w:type="dxa"/>
            <w:tcBorders>
              <w:bottom w:val="single" w:sz="6" w:space="0" w:color="auto"/>
            </w:tcBorders>
            <w:vAlign w:val="center"/>
          </w:tcPr>
          <w:p w14:paraId="37691B50" w14:textId="511166BA" w:rsidR="00725A4E" w:rsidRPr="004D3E32" w:rsidRDefault="00725A4E" w:rsidP="001757E7">
            <w:pPr>
              <w:spacing w:line="276" w:lineRule="auto"/>
              <w:jc w:val="center"/>
              <w:rPr>
                <w:rFonts w:ascii="Arial" w:hAnsi="Arial"/>
                <w:sz w:val="16"/>
                <w:szCs w:val="16"/>
              </w:rPr>
            </w:pPr>
            <w:r w:rsidRPr="004D3E32">
              <w:rPr>
                <w:rFonts w:ascii="Arial" w:hAnsi="Arial"/>
                <w:sz w:val="16"/>
                <w:szCs w:val="16"/>
              </w:rPr>
              <w:t>IV-to-IV</w:t>
            </w:r>
          </w:p>
        </w:tc>
        <w:tc>
          <w:tcPr>
            <w:tcW w:w="1985" w:type="dxa"/>
            <w:tcBorders>
              <w:top w:val="single" w:sz="6" w:space="0" w:color="auto"/>
              <w:bottom w:val="single" w:sz="6" w:space="0" w:color="auto"/>
            </w:tcBorders>
            <w:vAlign w:val="center"/>
          </w:tcPr>
          <w:p w14:paraId="5649981D" w14:textId="74E4CF23"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6.6 (1.0) - nr</w:t>
            </w:r>
          </w:p>
        </w:tc>
        <w:tc>
          <w:tcPr>
            <w:tcW w:w="1701" w:type="dxa"/>
            <w:tcBorders>
              <w:top w:val="single" w:sz="6" w:space="0" w:color="auto"/>
              <w:bottom w:val="single" w:sz="6" w:space="0" w:color="auto"/>
            </w:tcBorders>
            <w:vAlign w:val="center"/>
          </w:tcPr>
          <w:p w14:paraId="605D7862" w14:textId="461B8CD5"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2.95 (1.6) - 2.5 (1.3)</w:t>
            </w:r>
          </w:p>
        </w:tc>
        <w:tc>
          <w:tcPr>
            <w:tcW w:w="1843" w:type="dxa"/>
            <w:tcBorders>
              <w:top w:val="single" w:sz="6" w:space="0" w:color="auto"/>
              <w:bottom w:val="single" w:sz="6" w:space="0" w:color="auto"/>
            </w:tcBorders>
            <w:vAlign w:val="center"/>
          </w:tcPr>
          <w:p w14:paraId="7CE03E5C" w14:textId="200E1698" w:rsidR="00725A4E" w:rsidRPr="004D3E32" w:rsidRDefault="00725A4E" w:rsidP="00725A4E">
            <w:pPr>
              <w:spacing w:line="276" w:lineRule="auto"/>
              <w:jc w:val="center"/>
              <w:rPr>
                <w:rFonts w:ascii="Arial" w:hAnsi="Arial"/>
                <w:sz w:val="16"/>
                <w:szCs w:val="16"/>
              </w:rPr>
            </w:pPr>
            <w:r w:rsidRPr="004D3E32">
              <w:rPr>
                <w:rFonts w:ascii="Arial" w:hAnsi="Arial"/>
                <w:sz w:val="16"/>
                <w:szCs w:val="16"/>
              </w:rPr>
              <w:t>1.6 (1.1) - nr</w:t>
            </w:r>
          </w:p>
        </w:tc>
        <w:tc>
          <w:tcPr>
            <w:tcW w:w="1791" w:type="dxa"/>
            <w:tcBorders>
              <w:top w:val="single" w:sz="6" w:space="0" w:color="auto"/>
              <w:bottom w:val="single" w:sz="6" w:space="0" w:color="auto"/>
            </w:tcBorders>
            <w:vAlign w:val="center"/>
          </w:tcPr>
          <w:p w14:paraId="41C54BCE" w14:textId="2D7EFBE3" w:rsidR="00725A4E" w:rsidRPr="004D3E32" w:rsidRDefault="000C3816" w:rsidP="00725A4E">
            <w:pPr>
              <w:spacing w:line="276" w:lineRule="auto"/>
              <w:jc w:val="center"/>
              <w:rPr>
                <w:rFonts w:ascii="Arial" w:hAnsi="Arial"/>
                <w:sz w:val="16"/>
                <w:szCs w:val="16"/>
              </w:rPr>
            </w:pPr>
            <w:r w:rsidRPr="004D3E32">
              <w:rPr>
                <w:rFonts w:ascii="Arial" w:hAnsi="Arial"/>
                <w:sz w:val="16"/>
                <w:szCs w:val="16"/>
              </w:rPr>
              <w:t>nr</w:t>
            </w:r>
          </w:p>
        </w:tc>
      </w:tr>
      <w:tr w:rsidR="00597F24" w:rsidRPr="004D3E32" w14:paraId="6CF7AB27" w14:textId="7F37FCCD" w:rsidTr="008460C9">
        <w:tc>
          <w:tcPr>
            <w:tcW w:w="1696" w:type="dxa"/>
            <w:tcBorders>
              <w:top w:val="single" w:sz="6" w:space="0" w:color="auto"/>
              <w:bottom w:val="single" w:sz="6" w:space="0" w:color="auto"/>
            </w:tcBorders>
            <w:vAlign w:val="center"/>
            <w:hideMark/>
          </w:tcPr>
          <w:p w14:paraId="49A793C5" w14:textId="75030D16"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Factors </w:t>
            </w:r>
            <w:r w:rsidR="00725A4E" w:rsidRPr="004D3E32">
              <w:rPr>
                <w:rFonts w:ascii="Arial" w:hAnsi="Arial"/>
                <w:b/>
                <w:bCs/>
                <w:sz w:val="16"/>
                <w:szCs w:val="16"/>
              </w:rPr>
              <w:t>s</w:t>
            </w:r>
            <w:r w:rsidRPr="004D3E32">
              <w:rPr>
                <w:rFonts w:ascii="Arial" w:hAnsi="Arial"/>
                <w:b/>
                <w:bCs/>
                <w:sz w:val="16"/>
                <w:szCs w:val="16"/>
              </w:rPr>
              <w:t xml:space="preserve">ignificantly </w:t>
            </w:r>
            <w:r w:rsidR="00725A4E" w:rsidRPr="004D3E32">
              <w:rPr>
                <w:rFonts w:ascii="Arial" w:hAnsi="Arial"/>
                <w:b/>
                <w:bCs/>
                <w:sz w:val="16"/>
                <w:szCs w:val="16"/>
              </w:rPr>
              <w:t>a</w:t>
            </w:r>
            <w:r w:rsidRPr="004D3E32">
              <w:rPr>
                <w:rFonts w:ascii="Arial" w:hAnsi="Arial"/>
                <w:b/>
                <w:bCs/>
                <w:sz w:val="16"/>
                <w:szCs w:val="16"/>
              </w:rPr>
              <w:t xml:space="preserve">ssociated with </w:t>
            </w:r>
            <w:r w:rsidR="00725A4E" w:rsidRPr="004D3E32">
              <w:rPr>
                <w:rFonts w:ascii="Arial" w:hAnsi="Arial"/>
                <w:b/>
                <w:bCs/>
                <w:sz w:val="16"/>
                <w:szCs w:val="16"/>
              </w:rPr>
              <w:t>p</w:t>
            </w:r>
            <w:r w:rsidRPr="004D3E32">
              <w:rPr>
                <w:rFonts w:ascii="Arial" w:hAnsi="Arial"/>
                <w:b/>
                <w:bCs/>
                <w:sz w:val="16"/>
                <w:szCs w:val="16"/>
              </w:rPr>
              <w:t xml:space="preserve">rimary </w:t>
            </w:r>
            <w:r w:rsidR="00725A4E" w:rsidRPr="004D3E32">
              <w:rPr>
                <w:rFonts w:ascii="Arial" w:hAnsi="Arial"/>
                <w:b/>
                <w:bCs/>
                <w:sz w:val="16"/>
                <w:szCs w:val="16"/>
              </w:rPr>
              <w:t>o</w:t>
            </w:r>
            <w:r w:rsidRPr="004D3E32">
              <w:rPr>
                <w:rFonts w:ascii="Arial" w:hAnsi="Arial"/>
                <w:b/>
                <w:bCs/>
                <w:sz w:val="16"/>
                <w:szCs w:val="16"/>
              </w:rPr>
              <w:t>utcome</w:t>
            </w:r>
          </w:p>
        </w:tc>
        <w:tc>
          <w:tcPr>
            <w:tcW w:w="1985" w:type="dxa"/>
            <w:tcBorders>
              <w:top w:val="single" w:sz="6" w:space="0" w:color="auto"/>
              <w:bottom w:val="single" w:sz="6" w:space="0" w:color="auto"/>
            </w:tcBorders>
            <w:vAlign w:val="center"/>
            <w:hideMark/>
          </w:tcPr>
          <w:p w14:paraId="3CDCD7F0"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No</w:t>
            </w:r>
          </w:p>
        </w:tc>
        <w:tc>
          <w:tcPr>
            <w:tcW w:w="1701" w:type="dxa"/>
            <w:tcBorders>
              <w:top w:val="single" w:sz="6" w:space="0" w:color="auto"/>
              <w:bottom w:val="single" w:sz="6" w:space="0" w:color="auto"/>
            </w:tcBorders>
            <w:vAlign w:val="center"/>
            <w:hideMark/>
          </w:tcPr>
          <w:p w14:paraId="7F54F730"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No</w:t>
            </w:r>
          </w:p>
        </w:tc>
        <w:tc>
          <w:tcPr>
            <w:tcW w:w="1843" w:type="dxa"/>
            <w:tcBorders>
              <w:top w:val="single" w:sz="6" w:space="0" w:color="auto"/>
              <w:bottom w:val="single" w:sz="6" w:space="0" w:color="auto"/>
            </w:tcBorders>
            <w:vAlign w:val="center"/>
            <w:hideMark/>
          </w:tcPr>
          <w:p w14:paraId="799BE6F1"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No</w:t>
            </w:r>
          </w:p>
        </w:tc>
        <w:tc>
          <w:tcPr>
            <w:tcW w:w="1791" w:type="dxa"/>
            <w:tcBorders>
              <w:top w:val="single" w:sz="6" w:space="0" w:color="auto"/>
              <w:bottom w:val="single" w:sz="6" w:space="0" w:color="auto"/>
            </w:tcBorders>
            <w:vAlign w:val="center"/>
          </w:tcPr>
          <w:p w14:paraId="21EA3624" w14:textId="69E86221" w:rsidR="00597F24" w:rsidRPr="004D3E32" w:rsidRDefault="000C3816" w:rsidP="003F0D35">
            <w:pPr>
              <w:spacing w:line="276" w:lineRule="auto"/>
              <w:jc w:val="center"/>
              <w:rPr>
                <w:rFonts w:ascii="Arial" w:hAnsi="Arial"/>
                <w:sz w:val="16"/>
                <w:szCs w:val="16"/>
              </w:rPr>
            </w:pPr>
            <w:r w:rsidRPr="004D3E32">
              <w:rPr>
                <w:rFonts w:ascii="Arial" w:hAnsi="Arial"/>
                <w:sz w:val="16"/>
                <w:szCs w:val="16"/>
              </w:rPr>
              <w:t>No</w:t>
            </w:r>
          </w:p>
        </w:tc>
      </w:tr>
      <w:tr w:rsidR="00597F24" w:rsidRPr="004D3E32" w14:paraId="13F72CE5" w14:textId="312BCBAF" w:rsidTr="008460C9">
        <w:tc>
          <w:tcPr>
            <w:tcW w:w="1696" w:type="dxa"/>
            <w:tcBorders>
              <w:top w:val="single" w:sz="6" w:space="0" w:color="auto"/>
            </w:tcBorders>
            <w:vAlign w:val="center"/>
            <w:hideMark/>
          </w:tcPr>
          <w:p w14:paraId="746DDDE4" w14:textId="580A23BE"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Other </w:t>
            </w:r>
            <w:r w:rsidR="00725A4E" w:rsidRPr="004D3E32">
              <w:rPr>
                <w:rFonts w:ascii="Arial" w:hAnsi="Arial"/>
                <w:b/>
                <w:bCs/>
                <w:sz w:val="16"/>
                <w:szCs w:val="16"/>
              </w:rPr>
              <w:t>s</w:t>
            </w:r>
            <w:r w:rsidRPr="004D3E32">
              <w:rPr>
                <w:rFonts w:ascii="Arial" w:hAnsi="Arial"/>
                <w:b/>
                <w:bCs/>
                <w:sz w:val="16"/>
                <w:szCs w:val="16"/>
              </w:rPr>
              <w:t xml:space="preserve">ignificant </w:t>
            </w:r>
            <w:r w:rsidR="00725A4E" w:rsidRPr="004D3E32">
              <w:rPr>
                <w:rFonts w:ascii="Arial" w:hAnsi="Arial"/>
                <w:b/>
                <w:bCs/>
                <w:sz w:val="16"/>
                <w:szCs w:val="16"/>
              </w:rPr>
              <w:t>o</w:t>
            </w:r>
            <w:r w:rsidRPr="004D3E32">
              <w:rPr>
                <w:rFonts w:ascii="Arial" w:hAnsi="Arial"/>
                <w:b/>
                <w:bCs/>
                <w:sz w:val="16"/>
                <w:szCs w:val="16"/>
              </w:rPr>
              <w:t>utcomes</w:t>
            </w:r>
          </w:p>
        </w:tc>
        <w:tc>
          <w:tcPr>
            <w:tcW w:w="1985" w:type="dxa"/>
            <w:tcBorders>
              <w:top w:val="single" w:sz="6" w:space="0" w:color="auto"/>
            </w:tcBorders>
            <w:vAlign w:val="center"/>
            <w:hideMark/>
          </w:tcPr>
          <w:p w14:paraId="35E6753B"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ISR rate: 93.45/100 PY (IV-to-SC) vs 33.63/100 PY (IV-to-IV)</w:t>
            </w:r>
          </w:p>
        </w:tc>
        <w:tc>
          <w:tcPr>
            <w:tcW w:w="1701" w:type="dxa"/>
            <w:tcBorders>
              <w:top w:val="single" w:sz="6" w:space="0" w:color="auto"/>
            </w:tcBorders>
            <w:vAlign w:val="center"/>
            <w:hideMark/>
          </w:tcPr>
          <w:p w14:paraId="652C2695"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No</w:t>
            </w:r>
          </w:p>
        </w:tc>
        <w:tc>
          <w:tcPr>
            <w:tcW w:w="1843" w:type="dxa"/>
            <w:tcBorders>
              <w:top w:val="single" w:sz="6" w:space="0" w:color="auto"/>
            </w:tcBorders>
            <w:vAlign w:val="center"/>
            <w:hideMark/>
          </w:tcPr>
          <w:p w14:paraId="69D10D46" w14:textId="388BF9BF" w:rsidR="00597F24" w:rsidRPr="004D3E32" w:rsidRDefault="00C65AD7" w:rsidP="00725A4E">
            <w:pPr>
              <w:spacing w:line="276" w:lineRule="auto"/>
              <w:jc w:val="center"/>
              <w:rPr>
                <w:rFonts w:ascii="Arial" w:hAnsi="Arial"/>
                <w:sz w:val="16"/>
                <w:szCs w:val="16"/>
              </w:rPr>
            </w:pPr>
            <w:r w:rsidRPr="004D3E32">
              <w:rPr>
                <w:rFonts w:ascii="Arial" w:hAnsi="Arial"/>
                <w:sz w:val="16"/>
                <w:szCs w:val="16"/>
              </w:rPr>
              <w:t>Higher p</w:t>
            </w:r>
            <w:r w:rsidR="00597F24" w:rsidRPr="004D3E32">
              <w:rPr>
                <w:rFonts w:ascii="Arial" w:hAnsi="Arial"/>
                <w:sz w:val="16"/>
                <w:szCs w:val="16"/>
              </w:rPr>
              <w:t>robability of physician not proposing switch</w:t>
            </w:r>
            <w:r w:rsidRPr="004D3E32">
              <w:rPr>
                <w:rFonts w:ascii="Arial" w:hAnsi="Arial"/>
                <w:sz w:val="16"/>
                <w:szCs w:val="16"/>
              </w:rPr>
              <w:t xml:space="preserve"> </w:t>
            </w:r>
            <w:r w:rsidR="00597F24" w:rsidRPr="004D3E32">
              <w:rPr>
                <w:rFonts w:ascii="Arial" w:hAnsi="Arial"/>
                <w:sz w:val="16"/>
                <w:szCs w:val="16"/>
              </w:rPr>
              <w:t xml:space="preserve">if male patient, </w:t>
            </w:r>
            <w:r w:rsidR="00597F24" w:rsidRPr="004D3E32">
              <w:rPr>
                <w:rFonts w:ascii="Arial" w:hAnsi="Arial"/>
                <w:sz w:val="16"/>
                <w:szCs w:val="16"/>
              </w:rPr>
              <w:lastRenderedPageBreak/>
              <w:t>overweight, on steroid therapy (p&lt;</w:t>
            </w:r>
            <w:r w:rsidRPr="004D3E32">
              <w:rPr>
                <w:rFonts w:ascii="Arial" w:hAnsi="Arial"/>
                <w:sz w:val="16"/>
                <w:szCs w:val="16"/>
              </w:rPr>
              <w:t>0.</w:t>
            </w:r>
            <w:r w:rsidR="00597F24" w:rsidRPr="004D3E32">
              <w:rPr>
                <w:rFonts w:ascii="Arial" w:hAnsi="Arial"/>
                <w:sz w:val="16"/>
                <w:szCs w:val="16"/>
              </w:rPr>
              <w:t>05, &lt;</w:t>
            </w:r>
            <w:r w:rsidRPr="004D3E32">
              <w:rPr>
                <w:rFonts w:ascii="Arial" w:hAnsi="Arial"/>
                <w:sz w:val="16"/>
                <w:szCs w:val="16"/>
              </w:rPr>
              <w:t>0</w:t>
            </w:r>
            <w:r w:rsidR="00597F24" w:rsidRPr="004D3E32">
              <w:rPr>
                <w:rFonts w:ascii="Arial" w:hAnsi="Arial"/>
                <w:sz w:val="16"/>
                <w:szCs w:val="16"/>
              </w:rPr>
              <w:t>.05, &lt;</w:t>
            </w:r>
            <w:r w:rsidRPr="004D3E32">
              <w:rPr>
                <w:rFonts w:ascii="Arial" w:hAnsi="Arial"/>
                <w:sz w:val="16"/>
                <w:szCs w:val="16"/>
              </w:rPr>
              <w:t>0</w:t>
            </w:r>
            <w:r w:rsidR="00597F24" w:rsidRPr="004D3E32">
              <w:rPr>
                <w:rFonts w:ascii="Arial" w:hAnsi="Arial"/>
                <w:sz w:val="16"/>
                <w:szCs w:val="16"/>
              </w:rPr>
              <w:t>.001 respectively)</w:t>
            </w:r>
          </w:p>
        </w:tc>
        <w:tc>
          <w:tcPr>
            <w:tcW w:w="1791" w:type="dxa"/>
            <w:tcBorders>
              <w:top w:val="single" w:sz="6" w:space="0" w:color="auto"/>
            </w:tcBorders>
            <w:vAlign w:val="center"/>
          </w:tcPr>
          <w:p w14:paraId="35CD58BC" w14:textId="77777777" w:rsidR="003F0D35" w:rsidRPr="004D3E32" w:rsidRDefault="003F0D35" w:rsidP="00725A4E">
            <w:pPr>
              <w:spacing w:line="276" w:lineRule="auto"/>
              <w:jc w:val="center"/>
              <w:rPr>
                <w:rFonts w:ascii="Arial" w:hAnsi="Arial"/>
                <w:sz w:val="16"/>
                <w:szCs w:val="16"/>
              </w:rPr>
            </w:pPr>
          </w:p>
          <w:p w14:paraId="7831D2C9" w14:textId="47474F91" w:rsidR="003F0D35" w:rsidRPr="004D3E32" w:rsidRDefault="003F0D35" w:rsidP="00725A4E">
            <w:pPr>
              <w:spacing w:line="276" w:lineRule="auto"/>
              <w:jc w:val="center"/>
              <w:rPr>
                <w:rFonts w:ascii="Arial" w:hAnsi="Arial"/>
                <w:sz w:val="16"/>
                <w:szCs w:val="16"/>
              </w:rPr>
            </w:pPr>
            <w:r w:rsidRPr="004D3E32">
              <w:rPr>
                <w:rFonts w:ascii="Arial" w:hAnsi="Arial"/>
                <w:sz w:val="16"/>
                <w:szCs w:val="16"/>
              </w:rPr>
              <w:t xml:space="preserve">HR of discontinuation in IV-to-Sc group vs </w:t>
            </w:r>
            <w:r w:rsidRPr="004D3E32">
              <w:rPr>
                <w:rFonts w:ascii="Arial" w:hAnsi="Arial"/>
                <w:sz w:val="16"/>
                <w:szCs w:val="16"/>
              </w:rPr>
              <w:lastRenderedPageBreak/>
              <w:t>IV-only group: 0.65 (95%CI 0.56 - 0.76)</w:t>
            </w:r>
          </w:p>
        </w:tc>
      </w:tr>
      <w:tr w:rsidR="00597F24" w:rsidRPr="004D3E32" w14:paraId="658C46E2" w14:textId="2A705D89" w:rsidTr="008460C9">
        <w:tc>
          <w:tcPr>
            <w:tcW w:w="1696" w:type="dxa"/>
            <w:tcBorders>
              <w:top w:val="single" w:sz="6" w:space="0" w:color="auto"/>
              <w:bottom w:val="single" w:sz="6" w:space="0" w:color="auto"/>
            </w:tcBorders>
            <w:vAlign w:val="center"/>
            <w:hideMark/>
          </w:tcPr>
          <w:p w14:paraId="0C820757" w14:textId="127D8D40"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lastRenderedPageBreak/>
              <w:t xml:space="preserve">SC-TCZ </w:t>
            </w:r>
            <w:r w:rsidR="00C65AD7" w:rsidRPr="004D3E32">
              <w:rPr>
                <w:rFonts w:ascii="Arial" w:hAnsi="Arial"/>
                <w:b/>
                <w:bCs/>
                <w:sz w:val="16"/>
                <w:szCs w:val="16"/>
              </w:rPr>
              <w:t>maintenance or r</w:t>
            </w:r>
            <w:r w:rsidRPr="004D3E32">
              <w:rPr>
                <w:rFonts w:ascii="Arial" w:hAnsi="Arial"/>
                <w:b/>
                <w:bCs/>
                <w:sz w:val="16"/>
                <w:szCs w:val="16"/>
              </w:rPr>
              <w:t xml:space="preserve">etention </w:t>
            </w:r>
            <w:r w:rsidR="00C65AD7" w:rsidRPr="004D3E32">
              <w:rPr>
                <w:rFonts w:ascii="Arial" w:hAnsi="Arial"/>
                <w:b/>
                <w:bCs/>
                <w:sz w:val="16"/>
                <w:szCs w:val="16"/>
              </w:rPr>
              <w:t>r</w:t>
            </w:r>
            <w:r w:rsidRPr="004D3E32">
              <w:rPr>
                <w:rFonts w:ascii="Arial" w:hAnsi="Arial"/>
                <w:b/>
                <w:bCs/>
                <w:sz w:val="16"/>
                <w:szCs w:val="16"/>
              </w:rPr>
              <w:t>ate</w:t>
            </w:r>
          </w:p>
        </w:tc>
        <w:tc>
          <w:tcPr>
            <w:tcW w:w="1985" w:type="dxa"/>
            <w:tcBorders>
              <w:top w:val="single" w:sz="6" w:space="0" w:color="auto"/>
              <w:bottom w:val="single" w:sz="6" w:space="0" w:color="auto"/>
            </w:tcBorders>
            <w:vAlign w:val="center"/>
            <w:hideMark/>
          </w:tcPr>
          <w:p w14:paraId="73604648" w14:textId="6E31FCE1" w:rsidR="00597F24" w:rsidRPr="004D3E32" w:rsidRDefault="00C65AD7" w:rsidP="00725A4E">
            <w:pPr>
              <w:spacing w:line="276" w:lineRule="auto"/>
              <w:jc w:val="center"/>
              <w:rPr>
                <w:rFonts w:ascii="Arial" w:hAnsi="Arial"/>
                <w:sz w:val="16"/>
                <w:szCs w:val="16"/>
              </w:rPr>
            </w:pPr>
            <w:r w:rsidRPr="004D3E32">
              <w:rPr>
                <w:rFonts w:ascii="Arial" w:hAnsi="Arial"/>
                <w:sz w:val="16"/>
                <w:szCs w:val="16"/>
              </w:rPr>
              <w:t>nr</w:t>
            </w:r>
          </w:p>
        </w:tc>
        <w:tc>
          <w:tcPr>
            <w:tcW w:w="1701" w:type="dxa"/>
            <w:tcBorders>
              <w:top w:val="single" w:sz="6" w:space="0" w:color="auto"/>
              <w:bottom w:val="single" w:sz="6" w:space="0" w:color="auto"/>
            </w:tcBorders>
            <w:vAlign w:val="center"/>
            <w:hideMark/>
          </w:tcPr>
          <w:p w14:paraId="4F752267"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77.7% (95% CI 67.8 - 84.8%)</w:t>
            </w:r>
          </w:p>
        </w:tc>
        <w:tc>
          <w:tcPr>
            <w:tcW w:w="1843" w:type="dxa"/>
            <w:tcBorders>
              <w:top w:val="single" w:sz="6" w:space="0" w:color="auto"/>
              <w:bottom w:val="single" w:sz="6" w:space="0" w:color="auto"/>
            </w:tcBorders>
            <w:vAlign w:val="center"/>
            <w:hideMark/>
          </w:tcPr>
          <w:p w14:paraId="5BB5B922"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85.0%</w:t>
            </w:r>
          </w:p>
        </w:tc>
        <w:tc>
          <w:tcPr>
            <w:tcW w:w="1791" w:type="dxa"/>
            <w:tcBorders>
              <w:top w:val="single" w:sz="6" w:space="0" w:color="auto"/>
              <w:bottom w:val="single" w:sz="6" w:space="0" w:color="auto"/>
            </w:tcBorders>
            <w:vAlign w:val="center"/>
          </w:tcPr>
          <w:p w14:paraId="33C115A1" w14:textId="6C4A36FA"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7.94 years, 95%CI 6.96 to NA**</w:t>
            </w:r>
            <w:r w:rsidR="005551A3" w:rsidRPr="004D3E32">
              <w:rPr>
                <w:rFonts w:ascii="Arial" w:hAnsi="Arial"/>
                <w:sz w:val="16"/>
                <w:szCs w:val="16"/>
              </w:rPr>
              <w:t xml:space="preserve"> (vs 3.12 years, 95%CI 2.76-3.47 in IV-only)</w:t>
            </w:r>
          </w:p>
        </w:tc>
      </w:tr>
      <w:tr w:rsidR="00C65AD7" w:rsidRPr="004D3E32" w14:paraId="022DA6AB" w14:textId="1167988F" w:rsidTr="008460C9">
        <w:tc>
          <w:tcPr>
            <w:tcW w:w="9016" w:type="dxa"/>
            <w:gridSpan w:val="5"/>
            <w:tcBorders>
              <w:top w:val="single" w:sz="6" w:space="0" w:color="auto"/>
            </w:tcBorders>
            <w:vAlign w:val="center"/>
            <w:hideMark/>
          </w:tcPr>
          <w:p w14:paraId="4E545BF9" w14:textId="2CE7E4C2" w:rsidR="00C65AD7" w:rsidRPr="004D3E32" w:rsidRDefault="00C65AD7" w:rsidP="00C65AD7">
            <w:pPr>
              <w:spacing w:line="276" w:lineRule="auto"/>
              <w:rPr>
                <w:rFonts w:ascii="Arial" w:hAnsi="Arial"/>
                <w:sz w:val="16"/>
                <w:szCs w:val="16"/>
              </w:rPr>
            </w:pPr>
            <w:r w:rsidRPr="004D3E32">
              <w:rPr>
                <w:rFonts w:ascii="Arial" w:hAnsi="Arial"/>
                <w:b/>
                <w:bCs/>
                <w:sz w:val="16"/>
                <w:szCs w:val="16"/>
              </w:rPr>
              <w:t>Incidence of AEs [SAEs]</w:t>
            </w:r>
          </w:p>
        </w:tc>
      </w:tr>
      <w:tr w:rsidR="00C65AD7" w:rsidRPr="004D3E32" w14:paraId="2574A76B" w14:textId="77777777" w:rsidTr="008460C9">
        <w:tc>
          <w:tcPr>
            <w:tcW w:w="1696" w:type="dxa"/>
            <w:vAlign w:val="center"/>
          </w:tcPr>
          <w:p w14:paraId="59260896" w14:textId="771ADED8" w:rsidR="00C65AD7" w:rsidRPr="004D3E32" w:rsidRDefault="00C65AD7" w:rsidP="001757E7">
            <w:pPr>
              <w:spacing w:line="276" w:lineRule="auto"/>
              <w:jc w:val="center"/>
              <w:rPr>
                <w:rFonts w:ascii="Arial" w:hAnsi="Arial"/>
                <w:b/>
                <w:bCs/>
                <w:sz w:val="16"/>
                <w:szCs w:val="16"/>
              </w:rPr>
            </w:pPr>
            <w:r w:rsidRPr="004D3E32">
              <w:rPr>
                <w:rFonts w:ascii="Arial" w:hAnsi="Arial"/>
                <w:sz w:val="16"/>
                <w:szCs w:val="16"/>
              </w:rPr>
              <w:t>IV-to-SC</w:t>
            </w:r>
          </w:p>
        </w:tc>
        <w:tc>
          <w:tcPr>
            <w:tcW w:w="1985" w:type="dxa"/>
            <w:tcBorders>
              <w:bottom w:val="single" w:sz="6" w:space="0" w:color="auto"/>
            </w:tcBorders>
            <w:vAlign w:val="center"/>
          </w:tcPr>
          <w:p w14:paraId="23244B05" w14:textId="1631F4C9" w:rsidR="00C65AD7" w:rsidRPr="004D3E32" w:rsidRDefault="00C65AD7" w:rsidP="00725A4E">
            <w:pPr>
              <w:spacing w:line="276" w:lineRule="auto"/>
              <w:jc w:val="center"/>
              <w:rPr>
                <w:rFonts w:ascii="Arial" w:hAnsi="Arial"/>
                <w:sz w:val="16"/>
                <w:szCs w:val="16"/>
              </w:rPr>
            </w:pPr>
            <w:r w:rsidRPr="004D3E32">
              <w:rPr>
                <w:rFonts w:ascii="Arial" w:hAnsi="Arial"/>
                <w:sz w:val="16"/>
                <w:szCs w:val="16"/>
              </w:rPr>
              <w:t xml:space="preserve">394.92/100 PY, of which 96.97/100 PY were </w:t>
            </w:r>
            <w:proofErr w:type="gramStart"/>
            <w:r w:rsidRPr="004D3E32">
              <w:rPr>
                <w:rFonts w:ascii="Arial" w:hAnsi="Arial"/>
                <w:sz w:val="16"/>
                <w:szCs w:val="16"/>
              </w:rPr>
              <w:t>infections</w:t>
            </w:r>
            <w:proofErr w:type="gramEnd"/>
            <w:r w:rsidRPr="004D3E32">
              <w:rPr>
                <w:rFonts w:ascii="Arial" w:hAnsi="Arial"/>
                <w:sz w:val="16"/>
                <w:szCs w:val="16"/>
              </w:rPr>
              <w:t xml:space="preserve"> [19.55/100 PY, of which 6.65/100 PY were infections]</w:t>
            </w:r>
          </w:p>
        </w:tc>
        <w:tc>
          <w:tcPr>
            <w:tcW w:w="1701" w:type="dxa"/>
            <w:tcBorders>
              <w:bottom w:val="single" w:sz="6" w:space="0" w:color="auto"/>
            </w:tcBorders>
            <w:vAlign w:val="center"/>
          </w:tcPr>
          <w:p w14:paraId="425EC134" w14:textId="193162DC" w:rsidR="00C65AD7" w:rsidRPr="004D3E32" w:rsidRDefault="00C65AD7" w:rsidP="00725A4E">
            <w:pPr>
              <w:spacing w:line="276" w:lineRule="auto"/>
              <w:jc w:val="center"/>
              <w:rPr>
                <w:rFonts w:ascii="Arial" w:hAnsi="Arial"/>
                <w:sz w:val="16"/>
                <w:szCs w:val="16"/>
              </w:rPr>
            </w:pPr>
            <w:r w:rsidRPr="004D3E32">
              <w:rPr>
                <w:rFonts w:ascii="Arial" w:hAnsi="Arial"/>
                <w:sz w:val="16"/>
                <w:szCs w:val="16"/>
              </w:rPr>
              <w:t>8.5%</w:t>
            </w:r>
          </w:p>
        </w:tc>
        <w:tc>
          <w:tcPr>
            <w:tcW w:w="1843" w:type="dxa"/>
            <w:tcBorders>
              <w:bottom w:val="single" w:sz="6" w:space="0" w:color="auto"/>
            </w:tcBorders>
            <w:vAlign w:val="center"/>
          </w:tcPr>
          <w:p w14:paraId="4826BF2F" w14:textId="66392B9B" w:rsidR="00C65AD7" w:rsidRPr="004D3E32" w:rsidRDefault="00C65AD7" w:rsidP="00725A4E">
            <w:pPr>
              <w:spacing w:line="276" w:lineRule="auto"/>
              <w:jc w:val="center"/>
              <w:rPr>
                <w:rFonts w:ascii="Arial" w:hAnsi="Arial"/>
                <w:sz w:val="16"/>
                <w:szCs w:val="16"/>
              </w:rPr>
            </w:pPr>
            <w:r w:rsidRPr="004D3E32">
              <w:rPr>
                <w:rFonts w:ascii="Arial" w:hAnsi="Arial"/>
                <w:sz w:val="16"/>
                <w:szCs w:val="16"/>
              </w:rPr>
              <w:t>10/76 (13.15%) [4/76 (5.26%)]</w:t>
            </w:r>
          </w:p>
        </w:tc>
        <w:tc>
          <w:tcPr>
            <w:tcW w:w="1791" w:type="dxa"/>
            <w:tcBorders>
              <w:bottom w:val="single" w:sz="6" w:space="0" w:color="auto"/>
            </w:tcBorders>
            <w:vAlign w:val="center"/>
          </w:tcPr>
          <w:p w14:paraId="11813901" w14:textId="437BA901" w:rsidR="00C65AD7" w:rsidRPr="004D3E32" w:rsidRDefault="003F0D35" w:rsidP="00725A4E">
            <w:pPr>
              <w:spacing w:line="276" w:lineRule="auto"/>
              <w:jc w:val="center"/>
              <w:rPr>
                <w:rFonts w:ascii="Arial" w:hAnsi="Arial"/>
                <w:sz w:val="16"/>
                <w:szCs w:val="16"/>
              </w:rPr>
            </w:pPr>
            <w:r w:rsidRPr="004D3E32">
              <w:rPr>
                <w:rFonts w:ascii="Arial" w:hAnsi="Arial"/>
                <w:sz w:val="16"/>
                <w:szCs w:val="16"/>
              </w:rPr>
              <w:t>nr</w:t>
            </w:r>
          </w:p>
        </w:tc>
      </w:tr>
      <w:tr w:rsidR="00597F24" w:rsidRPr="004D3E32" w14:paraId="650A5DDB" w14:textId="155937E0" w:rsidTr="008460C9">
        <w:tc>
          <w:tcPr>
            <w:tcW w:w="1696" w:type="dxa"/>
            <w:tcBorders>
              <w:bottom w:val="single" w:sz="6" w:space="0" w:color="auto"/>
            </w:tcBorders>
            <w:vAlign w:val="center"/>
            <w:hideMark/>
          </w:tcPr>
          <w:p w14:paraId="2C5F9768" w14:textId="66BD6A60" w:rsidR="00597F24" w:rsidRPr="004D3E32" w:rsidRDefault="00C65AD7" w:rsidP="001757E7">
            <w:pPr>
              <w:spacing w:line="276" w:lineRule="auto"/>
              <w:jc w:val="center"/>
              <w:rPr>
                <w:rFonts w:ascii="Arial" w:hAnsi="Arial"/>
                <w:sz w:val="16"/>
                <w:szCs w:val="16"/>
              </w:rPr>
            </w:pPr>
            <w:r w:rsidRPr="004D3E32">
              <w:rPr>
                <w:rFonts w:ascii="Arial" w:hAnsi="Arial"/>
                <w:sz w:val="16"/>
                <w:szCs w:val="16"/>
              </w:rPr>
              <w:t>IV-to-IV</w:t>
            </w:r>
          </w:p>
        </w:tc>
        <w:tc>
          <w:tcPr>
            <w:tcW w:w="1985" w:type="dxa"/>
            <w:tcBorders>
              <w:top w:val="single" w:sz="6" w:space="0" w:color="auto"/>
              <w:bottom w:val="single" w:sz="6" w:space="0" w:color="auto"/>
            </w:tcBorders>
            <w:vAlign w:val="center"/>
            <w:hideMark/>
          </w:tcPr>
          <w:p w14:paraId="6A404DD8" w14:textId="6C6050EA"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408.56/100 PY, of which 105.57/100 PY were infections [15.43/100 PY, of which 3.92/100 PY were infections]</w:t>
            </w:r>
          </w:p>
        </w:tc>
        <w:tc>
          <w:tcPr>
            <w:tcW w:w="1701" w:type="dxa"/>
            <w:tcBorders>
              <w:top w:val="single" w:sz="6" w:space="0" w:color="auto"/>
              <w:bottom w:val="single" w:sz="6" w:space="0" w:color="auto"/>
            </w:tcBorders>
            <w:vAlign w:val="center"/>
            <w:hideMark/>
          </w:tcPr>
          <w:p w14:paraId="3FF738E0"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9.1%</w:t>
            </w:r>
          </w:p>
        </w:tc>
        <w:tc>
          <w:tcPr>
            <w:tcW w:w="1843" w:type="dxa"/>
            <w:tcBorders>
              <w:top w:val="single" w:sz="6" w:space="0" w:color="auto"/>
              <w:bottom w:val="single" w:sz="6" w:space="0" w:color="auto"/>
            </w:tcBorders>
            <w:vAlign w:val="center"/>
            <w:hideMark/>
          </w:tcPr>
          <w:p w14:paraId="0A4DC850" w14:textId="6156B6DA"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nr</w:t>
            </w:r>
          </w:p>
        </w:tc>
        <w:tc>
          <w:tcPr>
            <w:tcW w:w="1791" w:type="dxa"/>
            <w:tcBorders>
              <w:top w:val="single" w:sz="6" w:space="0" w:color="auto"/>
              <w:bottom w:val="single" w:sz="6" w:space="0" w:color="auto"/>
            </w:tcBorders>
            <w:vAlign w:val="center"/>
          </w:tcPr>
          <w:p w14:paraId="1AC14CBE" w14:textId="0F283088"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nr</w:t>
            </w:r>
          </w:p>
        </w:tc>
      </w:tr>
      <w:tr w:rsidR="00597F24" w:rsidRPr="004D3E32" w14:paraId="4D1DD31F" w14:textId="04A9C9A1" w:rsidTr="00734B24">
        <w:tc>
          <w:tcPr>
            <w:tcW w:w="1696" w:type="dxa"/>
            <w:tcBorders>
              <w:top w:val="single" w:sz="6" w:space="0" w:color="auto"/>
              <w:bottom w:val="single" w:sz="6" w:space="0" w:color="auto"/>
            </w:tcBorders>
            <w:vAlign w:val="center"/>
            <w:hideMark/>
          </w:tcPr>
          <w:p w14:paraId="59BF8E9F" w14:textId="3EE22D3A" w:rsidR="00597F24" w:rsidRPr="004D3E32" w:rsidRDefault="00597F24" w:rsidP="001757E7">
            <w:pPr>
              <w:spacing w:line="276" w:lineRule="auto"/>
              <w:jc w:val="center"/>
              <w:rPr>
                <w:rFonts w:ascii="Arial" w:hAnsi="Arial"/>
                <w:sz w:val="16"/>
                <w:szCs w:val="16"/>
              </w:rPr>
            </w:pPr>
            <w:r w:rsidRPr="004D3E32">
              <w:rPr>
                <w:rFonts w:ascii="Arial" w:hAnsi="Arial"/>
                <w:b/>
                <w:bCs/>
                <w:sz w:val="16"/>
                <w:szCs w:val="16"/>
              </w:rPr>
              <w:t xml:space="preserve">Reason for </w:t>
            </w:r>
            <w:r w:rsidR="00C65AD7" w:rsidRPr="004D3E32">
              <w:rPr>
                <w:rFonts w:ascii="Arial" w:hAnsi="Arial"/>
                <w:b/>
                <w:bCs/>
                <w:sz w:val="16"/>
                <w:szCs w:val="16"/>
              </w:rPr>
              <w:t>s</w:t>
            </w:r>
            <w:r w:rsidRPr="004D3E32">
              <w:rPr>
                <w:rFonts w:ascii="Arial" w:hAnsi="Arial"/>
                <w:b/>
                <w:bCs/>
                <w:sz w:val="16"/>
                <w:szCs w:val="16"/>
              </w:rPr>
              <w:t>witch</w:t>
            </w:r>
          </w:p>
        </w:tc>
        <w:tc>
          <w:tcPr>
            <w:tcW w:w="1985" w:type="dxa"/>
            <w:tcBorders>
              <w:top w:val="single" w:sz="6" w:space="0" w:color="auto"/>
              <w:bottom w:val="single" w:sz="6" w:space="0" w:color="auto"/>
            </w:tcBorders>
            <w:vAlign w:val="center"/>
            <w:hideMark/>
          </w:tcPr>
          <w:p w14:paraId="24CF5177" w14:textId="6EF4EB63" w:rsidR="00597F24" w:rsidRPr="004D3E32" w:rsidRDefault="00893FCF" w:rsidP="00725A4E">
            <w:pPr>
              <w:spacing w:line="276" w:lineRule="auto"/>
              <w:jc w:val="center"/>
              <w:rPr>
                <w:rFonts w:ascii="Arial" w:hAnsi="Arial"/>
                <w:sz w:val="16"/>
                <w:szCs w:val="16"/>
              </w:rPr>
            </w:pPr>
            <w:r w:rsidRPr="004D3E32">
              <w:rPr>
                <w:rFonts w:ascii="Arial" w:hAnsi="Arial"/>
                <w:sz w:val="16"/>
                <w:szCs w:val="16"/>
              </w:rPr>
              <w:t>Per</w:t>
            </w:r>
            <w:r w:rsidR="00597F24" w:rsidRPr="004D3E32">
              <w:rPr>
                <w:rFonts w:ascii="Arial" w:hAnsi="Arial"/>
                <w:sz w:val="16"/>
                <w:szCs w:val="16"/>
              </w:rPr>
              <w:t xml:space="preserve"> protocol</w:t>
            </w:r>
          </w:p>
        </w:tc>
        <w:tc>
          <w:tcPr>
            <w:tcW w:w="1701" w:type="dxa"/>
            <w:tcBorders>
              <w:top w:val="single" w:sz="6" w:space="0" w:color="auto"/>
              <w:bottom w:val="single" w:sz="6" w:space="0" w:color="auto"/>
            </w:tcBorders>
            <w:vAlign w:val="center"/>
            <w:hideMark/>
          </w:tcPr>
          <w:p w14:paraId="407504B1"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Shared decision</w:t>
            </w:r>
          </w:p>
        </w:tc>
        <w:tc>
          <w:tcPr>
            <w:tcW w:w="1843" w:type="dxa"/>
            <w:tcBorders>
              <w:top w:val="single" w:sz="6" w:space="0" w:color="auto"/>
              <w:bottom w:val="single" w:sz="6" w:space="0" w:color="auto"/>
            </w:tcBorders>
            <w:vAlign w:val="center"/>
            <w:hideMark/>
          </w:tcPr>
          <w:p w14:paraId="6441D88F" w14:textId="77777777" w:rsidR="00597F24" w:rsidRPr="004D3E32" w:rsidRDefault="00597F24" w:rsidP="00725A4E">
            <w:pPr>
              <w:spacing w:line="276" w:lineRule="auto"/>
              <w:jc w:val="center"/>
              <w:rPr>
                <w:rFonts w:ascii="Arial" w:hAnsi="Arial"/>
                <w:sz w:val="16"/>
                <w:szCs w:val="16"/>
              </w:rPr>
            </w:pPr>
            <w:r w:rsidRPr="004D3E32">
              <w:rPr>
                <w:rFonts w:ascii="Arial" w:hAnsi="Arial"/>
                <w:sz w:val="16"/>
                <w:szCs w:val="16"/>
              </w:rPr>
              <w:t>Shared decision</w:t>
            </w:r>
          </w:p>
        </w:tc>
        <w:tc>
          <w:tcPr>
            <w:tcW w:w="1791" w:type="dxa"/>
            <w:tcBorders>
              <w:top w:val="single" w:sz="6" w:space="0" w:color="auto"/>
              <w:bottom w:val="single" w:sz="6" w:space="0" w:color="auto"/>
            </w:tcBorders>
            <w:vAlign w:val="center"/>
          </w:tcPr>
          <w:p w14:paraId="00A8C63C" w14:textId="3D996C2E" w:rsidR="00597F24" w:rsidRPr="004D3E32" w:rsidRDefault="003F0D35" w:rsidP="00725A4E">
            <w:pPr>
              <w:spacing w:line="276" w:lineRule="auto"/>
              <w:jc w:val="center"/>
              <w:rPr>
                <w:rFonts w:ascii="Arial" w:hAnsi="Arial"/>
                <w:sz w:val="16"/>
                <w:szCs w:val="16"/>
              </w:rPr>
            </w:pPr>
            <w:r w:rsidRPr="004D3E32">
              <w:rPr>
                <w:rFonts w:ascii="Arial" w:hAnsi="Arial"/>
                <w:sz w:val="16"/>
                <w:szCs w:val="16"/>
              </w:rPr>
              <w:t>nr</w:t>
            </w:r>
          </w:p>
        </w:tc>
      </w:tr>
    </w:tbl>
    <w:p w14:paraId="1B82710C" w14:textId="77777777" w:rsidR="008C5464" w:rsidRPr="006C48F1" w:rsidRDefault="008C5464" w:rsidP="008C5464">
      <w:pPr>
        <w:spacing w:before="240" w:line="480" w:lineRule="auto"/>
        <w:jc w:val="both"/>
        <w:rPr>
          <w:rFonts w:ascii="Arial" w:hAnsi="Arial"/>
          <w:sz w:val="18"/>
          <w:szCs w:val="18"/>
        </w:rPr>
      </w:pPr>
      <w:r w:rsidRPr="006C48F1">
        <w:rPr>
          <w:rFonts w:ascii="Arial" w:hAnsi="Arial"/>
          <w:sz w:val="18"/>
          <w:szCs w:val="18"/>
        </w:rPr>
        <w:t xml:space="preserve">*DAS28 </w:t>
      </w:r>
      <w:proofErr w:type="gramStart"/>
      <w:r w:rsidRPr="006C48F1">
        <w:rPr>
          <w:rFonts w:ascii="Arial" w:hAnsi="Arial"/>
          <w:sz w:val="18"/>
          <w:szCs w:val="18"/>
        </w:rPr>
        <w:t>available</w:t>
      </w:r>
      <w:proofErr w:type="gramEnd"/>
      <w:r w:rsidRPr="006C48F1">
        <w:rPr>
          <w:rFonts w:ascii="Arial" w:hAnsi="Arial"/>
          <w:sz w:val="18"/>
          <w:szCs w:val="18"/>
        </w:rPr>
        <w:t xml:space="preserve"> only for 34 patients.</w:t>
      </w:r>
    </w:p>
    <w:p w14:paraId="76378CE8" w14:textId="77777777" w:rsidR="008C5464" w:rsidRPr="006C48F1" w:rsidRDefault="008C5464" w:rsidP="008C5464">
      <w:pPr>
        <w:spacing w:line="480" w:lineRule="auto"/>
        <w:jc w:val="both"/>
        <w:rPr>
          <w:rFonts w:ascii="Arial" w:hAnsi="Arial"/>
          <w:sz w:val="18"/>
          <w:szCs w:val="18"/>
        </w:rPr>
      </w:pPr>
      <w:r w:rsidRPr="006C48F1">
        <w:rPr>
          <w:rFonts w:ascii="Arial" w:hAnsi="Arial"/>
          <w:sz w:val="18"/>
          <w:szCs w:val="18"/>
        </w:rPr>
        <w:t>**the upper endpoint of the 95% CI never reaching 50% of discontinuation</w:t>
      </w:r>
    </w:p>
    <w:p w14:paraId="525EF660" w14:textId="632368D3" w:rsidR="001B42EB" w:rsidRPr="006C48F1" w:rsidRDefault="008C5464" w:rsidP="001B42EB">
      <w:pPr>
        <w:spacing w:line="480" w:lineRule="auto"/>
        <w:jc w:val="both"/>
        <w:rPr>
          <w:rFonts w:ascii="Arial" w:hAnsi="Arial"/>
          <w:sz w:val="22"/>
          <w:szCs w:val="22"/>
        </w:rPr>
      </w:pPr>
      <w:r w:rsidRPr="006C48F1">
        <w:rPr>
          <w:rFonts w:ascii="Arial" w:hAnsi="Arial"/>
          <w:sz w:val="18"/>
          <w:szCs w:val="18"/>
        </w:rPr>
        <w:t xml:space="preserve">Abbreviations: Anti-CCP: anti-cyclic citrullinated peptides; AE: adverse event; </w:t>
      </w:r>
      <w:proofErr w:type="spellStart"/>
      <w:r w:rsidRPr="006C48F1">
        <w:rPr>
          <w:rFonts w:ascii="Arial" w:hAnsi="Arial"/>
          <w:sz w:val="18"/>
          <w:szCs w:val="18"/>
        </w:rPr>
        <w:t>Bsl</w:t>
      </w:r>
      <w:proofErr w:type="spellEnd"/>
      <w:r w:rsidRPr="006C48F1">
        <w:rPr>
          <w:rFonts w:ascii="Arial" w:hAnsi="Arial"/>
          <w:sz w:val="18"/>
          <w:szCs w:val="18"/>
        </w:rPr>
        <w:t xml:space="preserve">: baseline; DAS28: Disease activity score on 28 joints; Δ: delta; IV: intravenous; HR: hazard ratio; L/M/H-DA: low/moderate/high disease activity; nr: not reported; NA: not applicable; RA: rheumatoid arthritis; RCT: randomized controlled trial; REM: remission; RF: rheumatoid factor; Rr: retention rate; SAE: severe AE; SC: subcutaneous; SD: standard deviation; TCZ: tocilizumab; </w:t>
      </w:r>
      <w:proofErr w:type="spellStart"/>
      <w:r w:rsidRPr="006C48F1">
        <w:rPr>
          <w:rFonts w:ascii="Arial" w:hAnsi="Arial"/>
          <w:sz w:val="18"/>
          <w:szCs w:val="18"/>
        </w:rPr>
        <w:t>TNFi</w:t>
      </w:r>
      <w:proofErr w:type="spellEnd"/>
      <w:r w:rsidRPr="006C48F1">
        <w:rPr>
          <w:rFonts w:ascii="Arial" w:hAnsi="Arial"/>
          <w:sz w:val="18"/>
          <w:szCs w:val="18"/>
        </w:rPr>
        <w:t>: Tumor necrosis factor α inhibitor.</w:t>
      </w:r>
    </w:p>
    <w:p w14:paraId="18805C36" w14:textId="77777777" w:rsidR="001B42EB" w:rsidRDefault="001B42EB" w:rsidP="001B42EB">
      <w:pPr>
        <w:spacing w:line="480" w:lineRule="auto"/>
        <w:jc w:val="both"/>
        <w:rPr>
          <w:rFonts w:ascii="Arial" w:hAnsi="Arial"/>
          <w:sz w:val="20"/>
          <w:szCs w:val="20"/>
        </w:rPr>
      </w:pPr>
    </w:p>
    <w:p w14:paraId="60BCD285" w14:textId="7A5261E4" w:rsidR="001B42EB" w:rsidRDefault="001B42EB" w:rsidP="001B42EB">
      <w:pPr>
        <w:spacing w:line="480" w:lineRule="auto"/>
        <w:jc w:val="both"/>
        <w:rPr>
          <w:rFonts w:ascii="Arial" w:hAnsi="Arial"/>
          <w:sz w:val="20"/>
          <w:szCs w:val="20"/>
        </w:rPr>
      </w:pPr>
    </w:p>
    <w:p w14:paraId="6DF14448" w14:textId="77777777" w:rsidR="001B42EB" w:rsidRPr="004D3E32" w:rsidRDefault="001B42EB" w:rsidP="001B42EB">
      <w:pPr>
        <w:spacing w:line="480" w:lineRule="auto"/>
        <w:jc w:val="both"/>
        <w:rPr>
          <w:rFonts w:ascii="Arial" w:hAnsi="Arial"/>
          <w:sz w:val="20"/>
          <w:szCs w:val="20"/>
        </w:rPr>
      </w:pPr>
    </w:p>
    <w:p w14:paraId="768DDA6B" w14:textId="77777777" w:rsidR="005D0757" w:rsidRDefault="005D0757">
      <w:pPr>
        <w:spacing w:after="160" w:line="278" w:lineRule="auto"/>
        <w:rPr>
          <w:rFonts w:ascii="Arial" w:hAnsi="Arial"/>
          <w:b/>
          <w:bCs/>
          <w:sz w:val="20"/>
          <w:szCs w:val="20"/>
        </w:rPr>
      </w:pPr>
      <w:r>
        <w:rPr>
          <w:rFonts w:ascii="Arial" w:hAnsi="Arial"/>
          <w:b/>
          <w:bCs/>
          <w:sz w:val="20"/>
          <w:szCs w:val="20"/>
        </w:rPr>
        <w:br w:type="page"/>
      </w:r>
    </w:p>
    <w:p w14:paraId="1C13EA32" w14:textId="77864EE7" w:rsidR="0040239B" w:rsidRPr="005D0757" w:rsidRDefault="00997D09" w:rsidP="003C4310">
      <w:pPr>
        <w:spacing w:line="480" w:lineRule="auto"/>
        <w:rPr>
          <w:rFonts w:ascii="Arial" w:hAnsi="Arial"/>
          <w:b/>
          <w:bCs/>
          <w:sz w:val="20"/>
          <w:szCs w:val="20"/>
        </w:rPr>
      </w:pPr>
      <w:r w:rsidRPr="00DA5F4C">
        <w:rPr>
          <w:rFonts w:ascii="Arial" w:hAnsi="Arial"/>
          <w:b/>
          <w:bCs/>
          <w:sz w:val="20"/>
          <w:szCs w:val="20"/>
        </w:rPr>
        <w:lastRenderedPageBreak/>
        <w:t xml:space="preserve">Supplementary </w:t>
      </w:r>
      <w:r w:rsidR="001B42EB" w:rsidRPr="00DA5F4C">
        <w:rPr>
          <w:rFonts w:ascii="Arial" w:hAnsi="Arial"/>
          <w:b/>
          <w:bCs/>
          <w:sz w:val="20"/>
          <w:szCs w:val="20"/>
        </w:rPr>
        <w:t xml:space="preserve">Table S5. </w:t>
      </w:r>
      <w:r w:rsidR="001B42EB" w:rsidRPr="00DA5F4C">
        <w:rPr>
          <w:rFonts w:ascii="Arial" w:hAnsi="Arial"/>
          <w:sz w:val="20"/>
          <w:szCs w:val="20"/>
        </w:rPr>
        <w:t xml:space="preserve">Summary of studies comparing IV-to-SC switchers with SC-TCZ group or no group.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41"/>
        <w:gridCol w:w="1687"/>
        <w:gridCol w:w="1450"/>
        <w:gridCol w:w="1488"/>
        <w:gridCol w:w="1425"/>
        <w:gridCol w:w="1435"/>
      </w:tblGrid>
      <w:tr w:rsidR="001A200D" w:rsidRPr="004D3E32" w14:paraId="701D7853" w14:textId="77777777" w:rsidTr="008460C9">
        <w:tc>
          <w:tcPr>
            <w:tcW w:w="0" w:type="auto"/>
            <w:tcBorders>
              <w:bottom w:val="single" w:sz="12" w:space="0" w:color="auto"/>
            </w:tcBorders>
            <w:vAlign w:val="center"/>
            <w:hideMark/>
          </w:tcPr>
          <w:p w14:paraId="2EA2EF07" w14:textId="77777777"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Study</w:t>
            </w:r>
          </w:p>
        </w:tc>
        <w:tc>
          <w:tcPr>
            <w:tcW w:w="0" w:type="auto"/>
            <w:tcBorders>
              <w:bottom w:val="single" w:sz="12" w:space="0" w:color="auto"/>
            </w:tcBorders>
            <w:vAlign w:val="center"/>
            <w:hideMark/>
          </w:tcPr>
          <w:p w14:paraId="3BB8BA82" w14:textId="2CD99429"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 xml:space="preserve">Atsumi T, 2018 </w:t>
            </w:r>
            <w:r w:rsidR="00267A4C" w:rsidRPr="004D3E32">
              <w:rPr>
                <w:rFonts w:ascii="Arial" w:hAnsi="Arial"/>
                <w:sz w:val="18"/>
                <w:szCs w:val="18"/>
              </w:rPr>
              <w:fldChar w:fldCharType="begin"/>
            </w:r>
            <w:r w:rsidR="004D3E32">
              <w:rPr>
                <w:rFonts w:ascii="Arial" w:hAnsi="Arial"/>
                <w:sz w:val="18"/>
                <w:szCs w:val="18"/>
              </w:rPr>
              <w:instrText xml:space="preserve"> ADDIN ZOTERO_ITEM CSL_CITATION {"citationID":"LCLs1bo5","properties":{"formattedCitation":"\\super 11\\nosupersub{}","plainCitation":"11","noteIndex":0},"citationItems":[{"id":74979,"uris":["http://zotero.org/groups/5287747/items/3NHNT82A"],"itemData":{"id":74979,"type":"article-journal","abstract":"Objectives: The objective of this study is to evaluate the safety and effectiveness of subcutaneous tocilizumab (TCZ-SC) in a real-world clinical setting in Japan. Methods: This single arm, 26-week prospective observational study enrolled patients with RA who were either TCZ naïve or switched from TCZ-IV to TCZ-SC (TCZ-IV-SC group) (UMIN Clinical Trials Registry UMIN000011102). All patients received TCZ-SC 162 mg every 2 weeks and data were collected until week 26 or discontinuation. Results: Overall 784 (78.1%) were TCZ naïve and 219 (21.8%) were in the TCZ-IV-SC group. 70.9% received disease-modifying antirheumatic drugs at baseline. Adverse events (AEs) and serious AEs occurred in 28.2% and 4.9% of patients, respectively (TCZ-naïve: 29.5% and 5.2%; TCZ-IV-SC: 23.2% and 4.1%). Infections and infestations were the most common AEs (7.4%) and serious AEs (1.7%). Two TCZ-naïve patients died. TCZ-naïve patients had an improvement in median Clinical Disease Activity Index (CDAI) score and mean Disease Activity Score in 28 joints as measured by erythrocyte sedimentation rate (DAS28-ESR) from baseline to week 26. The TCZ-IV-SC group had similar median CDAI scores and mean DAS28-ESR over 26 weeks. Conclusions: There were no unexpected safety signals with TCZ-SC. TCZ-SC was effective in reducing disease activity in TCZ-naïve patients and maintaining remission in TCZ-IV-SC patients.","archive":"Embase","container-title":"Modern Rheumatology","DOI":"10.1080/14397595.2017.1416760","ISSN":"1439-7609","issue":"5","journalAbbreviation":"Mod. Rheumatol.","language":"English","page":"780-788","title":"Safety and effectiveness of subcutaneous tocilizumab in patients with rheumatoid arthritis in a real-world clinical setting","volume":"28","author":[{"family":"Atsumi","given":"T."},{"family":"Fujio","given":"K."},{"family":"Yamaoka","given":"K."},{"family":"Tomobe","given":"M."},{"family":"Kuroyanagi","given":"K."},{"family":"Kameda","given":"H."}],"issued":{"date-parts":[["2018"]]}}}],"schema":"https://github.com/citation-style-language/schema/raw/master/csl-citation.json"} </w:instrText>
            </w:r>
            <w:r w:rsidR="00267A4C" w:rsidRPr="004D3E32">
              <w:rPr>
                <w:rFonts w:ascii="Arial" w:hAnsi="Arial"/>
                <w:sz w:val="18"/>
                <w:szCs w:val="18"/>
              </w:rPr>
              <w:fldChar w:fldCharType="separate"/>
            </w:r>
            <w:r w:rsidR="004D3E32" w:rsidRPr="004D3E32">
              <w:rPr>
                <w:rFonts w:ascii="Arial" w:hAnsi="Arial"/>
                <w:sz w:val="18"/>
                <w:vertAlign w:val="superscript"/>
              </w:rPr>
              <w:t>11</w:t>
            </w:r>
            <w:r w:rsidR="00267A4C" w:rsidRPr="004D3E32">
              <w:rPr>
                <w:rFonts w:ascii="Arial" w:hAnsi="Arial"/>
                <w:sz w:val="18"/>
                <w:szCs w:val="18"/>
              </w:rPr>
              <w:fldChar w:fldCharType="end"/>
            </w:r>
          </w:p>
        </w:tc>
        <w:tc>
          <w:tcPr>
            <w:tcW w:w="0" w:type="auto"/>
            <w:tcBorders>
              <w:bottom w:val="single" w:sz="12" w:space="0" w:color="auto"/>
            </w:tcBorders>
            <w:vAlign w:val="center"/>
            <w:hideMark/>
          </w:tcPr>
          <w:p w14:paraId="38D7D456" w14:textId="6429F9A0"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 xml:space="preserve">Iwamoto N, 2016 </w:t>
            </w:r>
            <w:r w:rsidR="005326A6" w:rsidRPr="004D3E32">
              <w:rPr>
                <w:rFonts w:ascii="Arial" w:hAnsi="Arial"/>
                <w:sz w:val="18"/>
                <w:szCs w:val="18"/>
              </w:rPr>
              <w:fldChar w:fldCharType="begin"/>
            </w:r>
            <w:r w:rsidR="004D3E32">
              <w:rPr>
                <w:rFonts w:ascii="Arial" w:hAnsi="Arial"/>
                <w:sz w:val="18"/>
                <w:szCs w:val="18"/>
              </w:rPr>
              <w:instrText xml:space="preserve"> ADDIN ZOTERO_ITEM CSL_CITATION {"citationID":"AKtl2Vsj","properties":{"formattedCitation":"\\super 12\\nosupersub{}","plainCitation":"12","noteIndex":0},"citationItems":[{"id":75122,"uris":["http://zotero.org/groups/5287747/items/4KB8IWJJ"],"itemData":{"id":75122,"type":"article-journal","abstract":"Objective: To evaluate the efficacy of switching the route from intravenous tocilizumab (TCZ) infusion (TCZ-IV) to subcutaneous TCZ injection (TCZ-SC) in a real-world setting through a comparison of the clinical response. Methods: Fifty-eight rheumatoid arthritis (RA) patients, for whom TCZ-SC was initiated following TCZ-IV between June 2013 and August 2014, were consecutively enrolled. Disease activity score (DAS)28-ESR, simplified disease activity index (SDAI), and clinical disease activity index (CDAI) were examined at baseline and after switching from TCZ-IV to TCZ-SC for 3 months. We investigated whether body weight and body mass index (BMI) affected the efficacy of TCZ-SC. Results: Most of the patients had achieved remission or low disease activity at baseline (77.6% examined by DAS28). Fifty-seven patients (98%) continued the TCZ-SC treatment, and the disease activity was well controlled after 3 months. ΔDAS28 tended to be worsened after switching to TCZ-SC in the high-body-weight groups (≥60 kg) as compared with the groups with body weight &lt;60 kg, although no statistical significance was found. BMI did not affect the efficacy of TCZ-SC. Conclusions: Caution should be exercised in the high-body-weight subjects, but these data indicate that TCZ-SC maintains the favorable RA disease activity established using TCZ-IV.","archive":"Embase","container-title":"Modern Rheumatology","DOI":"10.3109/14397595.2015.1129692","ISSN":"1439-7609","issue":"5","journalAbbreviation":"Mod. Rheumatol.","language":"English","page":"662-666","title":"Evaluation of switching from intravenous to subcutaneous formulation of tocilizumab in patients with rheumatoid arthritis","volume":"26","author":[{"family":"Iwamoto","given":"N."},{"family":"Fukui","given":"S."},{"family":"Umeda","given":"M."},{"family":"Nishino","given":"A."},{"family":"Nakashima","given":"Y."},{"family":"Suzuki","given":"T."},{"family":"Horai","given":"Y."},{"family":"Nonaka","given":"F."},{"family":"Okada","given":"A."},{"family":"Koga","given":"T."},{"family":"Kawashiri","given":"S.-Y."},{"family":"Fujikawa","given":"K."},{"family":"Aramaki","given":"T."},{"family":"Ichinose","given":"K."},{"family":"Hirai","given":"Y."},{"family":"Tamai","given":"M."},{"family":"Nakamura","given":"H."},{"family":"Terada","given":"K."},{"family":"Nakashima","given":"M."},{"family":"Mizokami","given":"A."},{"family":"Origuchi","given":"T."},{"family":"Eguchi","given":"K."},{"family":"Ueki","given":"Y."},{"family":"Kawakami","given":"A."}],"issued":{"date-parts":[["2016"]]}}}],"schema":"https://github.com/citation-style-language/schema/raw/master/csl-citation.json"} </w:instrText>
            </w:r>
            <w:r w:rsidR="005326A6" w:rsidRPr="004D3E32">
              <w:rPr>
                <w:rFonts w:ascii="Arial" w:hAnsi="Arial"/>
                <w:sz w:val="18"/>
                <w:szCs w:val="18"/>
              </w:rPr>
              <w:fldChar w:fldCharType="separate"/>
            </w:r>
            <w:r w:rsidR="004D3E32" w:rsidRPr="004D3E32">
              <w:rPr>
                <w:rFonts w:ascii="Arial" w:hAnsi="Arial"/>
                <w:sz w:val="18"/>
                <w:vertAlign w:val="superscript"/>
              </w:rPr>
              <w:t>12</w:t>
            </w:r>
            <w:r w:rsidR="005326A6" w:rsidRPr="004D3E32">
              <w:rPr>
                <w:rFonts w:ascii="Arial" w:hAnsi="Arial"/>
                <w:sz w:val="18"/>
                <w:szCs w:val="18"/>
              </w:rPr>
              <w:fldChar w:fldCharType="end"/>
            </w:r>
          </w:p>
        </w:tc>
        <w:tc>
          <w:tcPr>
            <w:tcW w:w="0" w:type="auto"/>
            <w:tcBorders>
              <w:bottom w:val="single" w:sz="12" w:space="0" w:color="auto"/>
            </w:tcBorders>
            <w:vAlign w:val="center"/>
            <w:hideMark/>
          </w:tcPr>
          <w:p w14:paraId="4AF9A92E" w14:textId="3C78F9CB"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 xml:space="preserve">Ogata A, 2015 </w:t>
            </w:r>
            <w:r w:rsidR="005326A6" w:rsidRPr="004D3E32">
              <w:rPr>
                <w:rFonts w:ascii="Arial" w:hAnsi="Arial"/>
                <w:sz w:val="18"/>
                <w:szCs w:val="18"/>
              </w:rPr>
              <w:fldChar w:fldCharType="begin"/>
            </w:r>
            <w:r w:rsidR="004D3E32">
              <w:rPr>
                <w:rFonts w:ascii="Arial" w:hAnsi="Arial"/>
                <w:sz w:val="18"/>
                <w:szCs w:val="18"/>
              </w:rPr>
              <w:instrText xml:space="preserve"> ADDIN ZOTERO_ITEM CSL_CITATION {"citationID":"csfO0yNy","properties":{"formattedCitation":"\\super 13\\nosupersub{}","plainCitation":"13","noteIndex":0},"citationItems":[{"id":75243,"uris":["http://zotero.org/groups/5287747/items/ALP333EM"],"itemData":{"id":75243,"type":"article-journal","abstract":"Objective To evaluate the efficacious noninferiority of subcutaneous tocilizumab injection (TCZ-SC) monotherapy to intravenous TCZ infusion (TCZ-IV) monotherapy in Japanese patients with rheumatoid arthritis (RA) with an inadequate response to synthetic and/or biologic disease-modifying antirheumatic drugs (DMARDs). Methods This study had a double-blind, parallel-group, double-dummy, comparative phase III design. Patients were randomized to receive TCZ-SC 162 mg every 2 weeks or TCZ-IV 8 mg/kg every 4 weeks; no DMARDs were allowed during the study. The primary end point was to evaluate the noninferiority of TCZ-SC to TCZ-IV regarding the American College of Rheumatology criteria for 20% improvement in disease activity (ACR20) response rates at week 24 using an 18% noninferiority margin. Additional efficacy, safety, pharmacokinetic, and immunogenicity parameters were assessed. Results At week 24, ACR20 response was achieved in 79.2% (95% confidence interval [95% CI] 72.9, 85.5) of the TCZ-SC group and in 88.5% (95% CI 83.4, 93.5) of the TCZ-IV group; the weighted difference was -9.4% (95% CI -17.6, -1.2), confirming the noninferiority of TCZ-SC to TCZ-IV. Remission rates of the Disease Activity Score in 28 joints using the erythrocyte sedimentation rate and the Clinical Disease Activity Index at week 24 were 49.7% and 16.4% in the TCZ-SC group and 62.2% and 23.1% in the TCZ-IV group, respectively. Serum trough TCZ concentrations were similar between the groups over time. Incidences of all adverse events and serious adverse events were 89.0% and 7.5% in the TCZ-SC group and 90.8% and 5.8% in the TCZ-IV group, respectively. Anti-TCZ antibodies were detected in 3.5% of the TCZ-SC group; no serious hypersensitivity was reported in these patients. Conclusion TCZ-SC monotherapy demonstrated comparable efficacy and safety to TCZ-IV monotherapy. TCZ-SC could provide additional treatment options for patients with RA. © 2014 The Authors. Arthritis Care &amp; Research is published by Wiley Periodicals, Inc. on behalf of the American College of Rheumatology.","archive":"Embase","archive_location":"https://acrjournals.onlinelibrary.wiley.com/doi/epdf/10.1002/acr.22110","container-title":"Arthritis Care and Research","DOI":"10.1002/acr.22110","ISSN":"2151-464X","issue":"3","journalAbbreviation":"Arthritis Care Res.","language":"English","page":"344-354","title":"Phase III study of the efficacy and safety of subcutaneous versus intravenous tocilizumab monotherapy in patients with rheumatoid arthritis","volume":"66","author":[{"family":"Ogata","given":"A."},{"family":"Tanimura","given":"K."},{"family":"Sugimoto","given":"T."},{"family":"Inoue","given":"H."},{"family":"Urata","given":"Y."},{"family":"Matsubara","given":"T."},{"family":"Kondo","given":"M."},{"family":"Ueki","given":"Y."},{"family":"Iwahashi","given":"M."},{"family":"Tohma","given":"S."},{"family":"Ohta","given":"S."},{"family":"Saeki","given":"Y."},{"family":"Tanaka","given":"T."}],"issued":{"date-parts":[["2014"]]}}}],"schema":"https://github.com/citation-style-language/schema/raw/master/csl-citation.json"} </w:instrText>
            </w:r>
            <w:r w:rsidR="005326A6" w:rsidRPr="004D3E32">
              <w:rPr>
                <w:rFonts w:ascii="Arial" w:hAnsi="Arial"/>
                <w:sz w:val="18"/>
                <w:szCs w:val="18"/>
              </w:rPr>
              <w:fldChar w:fldCharType="separate"/>
            </w:r>
            <w:r w:rsidR="004D3E32" w:rsidRPr="004D3E32">
              <w:rPr>
                <w:rFonts w:ascii="Arial" w:hAnsi="Arial"/>
                <w:sz w:val="18"/>
                <w:vertAlign w:val="superscript"/>
              </w:rPr>
              <w:t>13</w:t>
            </w:r>
            <w:r w:rsidR="005326A6" w:rsidRPr="004D3E32">
              <w:rPr>
                <w:rFonts w:ascii="Arial" w:hAnsi="Arial"/>
                <w:sz w:val="18"/>
                <w:szCs w:val="18"/>
              </w:rPr>
              <w:fldChar w:fldCharType="end"/>
            </w:r>
          </w:p>
        </w:tc>
        <w:tc>
          <w:tcPr>
            <w:tcW w:w="0" w:type="auto"/>
            <w:tcBorders>
              <w:bottom w:val="single" w:sz="12" w:space="0" w:color="auto"/>
            </w:tcBorders>
            <w:vAlign w:val="center"/>
            <w:hideMark/>
          </w:tcPr>
          <w:p w14:paraId="66DC1D8E" w14:textId="1A8C86A1"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 xml:space="preserve">Rodríguez FL, 2022 </w:t>
            </w:r>
            <w:r w:rsidR="005326A6" w:rsidRPr="004D3E32">
              <w:rPr>
                <w:rFonts w:ascii="Arial" w:hAnsi="Arial"/>
                <w:b/>
                <w:bCs/>
                <w:sz w:val="18"/>
                <w:szCs w:val="18"/>
              </w:rPr>
              <w:fldChar w:fldCharType="begin"/>
            </w:r>
            <w:r w:rsidR="004D3E32">
              <w:rPr>
                <w:rFonts w:ascii="Arial" w:hAnsi="Arial"/>
                <w:b/>
                <w:bCs/>
                <w:sz w:val="18"/>
                <w:szCs w:val="18"/>
              </w:rPr>
              <w:instrText xml:space="preserve"> ADDIN ZOTERO_ITEM CSL_CITATION {"citationID":"etFpGoxm","properties":{"formattedCitation":"\\super 14\\nosupersub{}","plainCitation":"14","noteIndex":0},"citationItems":[{"id":74754,"uris":["http://zotero.org/groups/5287747/items/ZEU4TM3M"],"itemData":{"id":74754,"type":"article-journal","abstract":"Background and importance In the context of the COVID-19 pandemic, one of the strategies implemented to minimise patient visits to health centres was switching the administration of tocilizumab (TCZ) from intravenous (IV) to subcutaneous (SC). Aim and objectives To evaluate the effectiveness and safety of switching from IV to SC TCZ. Material and methods Retrospective observational study conducted in a tertiary hospital including patients receiving active treatment of IV TCZ during the period March-April 2020. Data were collected on the following variables: age, sex, pathology, switching to SC TCZ, switching back to IV administration, physician assessment or patient self-assessment, as well as adverse reactions. The follow-up period was 1 year. Results A total of 45 patients were included, with a median age of 54 (40-62) years. Women represented 85%. Patients included were diagnosed with rheumatoid arthritis (49%), juvenile idiopathic arthritis (18%), Graves disease (13%), lupus (2%), spondylarthritis (2%) and other diagnoses (16%). The prescribing physicians were rheumatologists (62%), internists (24%) and paediatricians (13%). Of 45 patients, 71% (n=32) switched to SC TCZ during the study period. 86% of rheumatology, 83% of paediatrics and 27% of internal medicine patients changed to SC TCZ. Aggravation after switching to SC TCZ was reported in 7/ 32 (22%) cases (5 with rheumatoid arthritis and 2 with juvenile idiopathic arthritis). All of these switched back to IV administration, plus 4 additional patients for undetermined reasons. Of those who switched back to IV administration due to clinical worsening, 4 reported improvement afterwards. Regarding safety, only 2 patients suffered adverse reactions after switching to SC (injection site reaction, palpitations, tremor and oedema). Neither of them switched back to IV administration. Conclusion and relevance One-fifth of the patients reported loss of effectiveness when changing from IV to SC form, and one-third switched back to IV administration. Regarding safety, the toxicity profile of both forms was similar to other studies. The effectiveness results observed are in contrast with the MUSASHI study, which did not report loss of efficacy after switching from IV to SC. However, effectiveness was not measured using the internationally validated ordinary objective scales (DAS28, CDAI), but physician subjective assessments or patient self-assessments, which represents a significative limitation for our study.","archive":"Embase","container-title":"European Journal of Hospital Pharmacy","DOI":"10.1136/ejhpharm-2022-eahp.240","ISSN":"2047-9964","issue":"SUPPL 1","journalAbbreviation":"Euro. J. Hosp. Pharm. Sci. Pra.","language":"English","page":"A115","title":"EVALUATION OF THE EFFECTIVENESS AND SAFETY OF SWITCHING FROM INTRAVENOUS TO SUBCUTANEOUS TOCILIZUMAB","volume":"29","author":[{"family":"Rodríguez de Francisco","given":"L."},{"family":"Acosta García","given":"H.L."},{"family":"Fernández González","given":"M."},{"family":"Soriano Martínez","given":"M."},{"family":"Ciudad Gutierrez","given":"P."}],"issued":{"date-parts":[["2022"]]}}}],"schema":"https://github.com/citation-style-language/schema/raw/master/csl-citation.json"} </w:instrText>
            </w:r>
            <w:r w:rsidR="005326A6" w:rsidRPr="004D3E32">
              <w:rPr>
                <w:rFonts w:ascii="Arial" w:hAnsi="Arial"/>
                <w:b/>
                <w:bCs/>
                <w:sz w:val="18"/>
                <w:szCs w:val="18"/>
              </w:rPr>
              <w:fldChar w:fldCharType="separate"/>
            </w:r>
            <w:r w:rsidR="004D3E32" w:rsidRPr="004D3E32">
              <w:rPr>
                <w:rFonts w:ascii="Arial" w:hAnsi="Arial"/>
                <w:sz w:val="18"/>
                <w:vertAlign w:val="superscript"/>
              </w:rPr>
              <w:t>14</w:t>
            </w:r>
            <w:r w:rsidR="005326A6" w:rsidRPr="004D3E32">
              <w:rPr>
                <w:rFonts w:ascii="Arial" w:hAnsi="Arial"/>
                <w:b/>
                <w:bCs/>
                <w:sz w:val="18"/>
                <w:szCs w:val="18"/>
              </w:rPr>
              <w:fldChar w:fldCharType="end"/>
            </w:r>
          </w:p>
        </w:tc>
        <w:tc>
          <w:tcPr>
            <w:tcW w:w="0" w:type="auto"/>
            <w:tcBorders>
              <w:bottom w:val="single" w:sz="12" w:space="0" w:color="auto"/>
            </w:tcBorders>
            <w:vAlign w:val="center"/>
            <w:hideMark/>
          </w:tcPr>
          <w:p w14:paraId="2566B43E" w14:textId="5788EF01" w:rsidR="0040239B" w:rsidRPr="004D3E32" w:rsidRDefault="0040239B" w:rsidP="00C65AD7">
            <w:pPr>
              <w:spacing w:line="276" w:lineRule="auto"/>
              <w:jc w:val="center"/>
              <w:rPr>
                <w:rFonts w:ascii="Arial" w:hAnsi="Arial"/>
                <w:b/>
                <w:bCs/>
                <w:sz w:val="18"/>
                <w:szCs w:val="18"/>
              </w:rPr>
            </w:pPr>
            <w:r w:rsidRPr="004D3E32">
              <w:rPr>
                <w:rFonts w:ascii="Arial" w:hAnsi="Arial"/>
                <w:b/>
                <w:bCs/>
                <w:sz w:val="18"/>
                <w:szCs w:val="18"/>
              </w:rPr>
              <w:t xml:space="preserve">Stojanović S, 2021 </w:t>
            </w:r>
            <w:r w:rsidR="005326A6" w:rsidRPr="004D3E32">
              <w:rPr>
                <w:rFonts w:ascii="Arial" w:hAnsi="Arial"/>
                <w:sz w:val="18"/>
                <w:szCs w:val="18"/>
              </w:rPr>
              <w:fldChar w:fldCharType="begin"/>
            </w:r>
            <w:r w:rsidR="004D3E32">
              <w:rPr>
                <w:rFonts w:ascii="Arial" w:hAnsi="Arial"/>
                <w:sz w:val="18"/>
                <w:szCs w:val="18"/>
              </w:rPr>
              <w:instrText xml:space="preserve"> ADDIN ZOTERO_ITEM CSL_CITATION {"citationID":"TYLGns7c","properties":{"formattedCitation":"\\super 15\\nosupersub{}","plainCitation":"15","noteIndex":0},"citationItems":[{"id":74844,"uris":["http://zotero.org/groups/5287747/items/YBA3TI7N"],"itemData":{"id":74844,"type":"article-journal","abstract":"Nowadays, the appropriate control of rheumatoid arthritis (RA) involves the absence of clinical disease activity, delaying joint destruction as long as possible and adequate quality of life of the affected. With currently available therapeutic modalities, this therapeutic goal can be achieved in a large number of patients. The aim of this research was to determine the effectiveness of an IL-6 blocker (Tocilizumab) in patients with RA in everyday clinical practice. We also analyzed whether a change in the mode of drug administration (switching from intravenous to subcutaneous drug formulation) had an impact on drug effectiveness (using the DAS 28 SE and CDAI indexes) and quality of life of patients with RA (HAQ, Beck Depression Inventory, FACIT F score and SF 36 questionnaire). The study included 53 subjects diagnosed with RA, treated with Tocilizumab. After a six-month use of subcutaneous Tocilizumab, we concluded that the method of drug administration did not have an impact on its effectiveness and on all the examined parameters of quality of life assessment.","archive":"Embase","container-title":"Acta Facultatis Medicae Naissensis","DOI":"10.5937/afmnai38-31264","ISSN":"2217-2521","issue":"3","journalAbbreviation":"Acta Fac. Med. Naissensis","language":"English","page":"247-257","title":"Effectiveness of tocilizumab after switching from intravenous to subcutaneous formulation in patients with rheumatoid arthritis: A single-centre experience","volume":"38","author":[{"family":"Stojanović","given":"S."},{"family":"Stamenković","given":"B."},{"family":"Nedović","given":"J."},{"family":"Aleksić","given":"I."},{"family":"Cvetković","given":"J."}],"issued":{"date-parts":[["2021"]]}}}],"schema":"https://github.com/citation-style-language/schema/raw/master/csl-citation.json"} </w:instrText>
            </w:r>
            <w:r w:rsidR="005326A6" w:rsidRPr="004D3E32">
              <w:rPr>
                <w:rFonts w:ascii="Arial" w:hAnsi="Arial"/>
                <w:sz w:val="18"/>
                <w:szCs w:val="18"/>
              </w:rPr>
              <w:fldChar w:fldCharType="separate"/>
            </w:r>
            <w:r w:rsidR="004D3E32" w:rsidRPr="004D3E32">
              <w:rPr>
                <w:rFonts w:ascii="Arial" w:hAnsi="Arial"/>
                <w:sz w:val="18"/>
                <w:vertAlign w:val="superscript"/>
              </w:rPr>
              <w:t>15</w:t>
            </w:r>
            <w:r w:rsidR="005326A6" w:rsidRPr="004D3E32">
              <w:rPr>
                <w:rFonts w:ascii="Arial" w:hAnsi="Arial"/>
                <w:sz w:val="18"/>
                <w:szCs w:val="18"/>
              </w:rPr>
              <w:fldChar w:fldCharType="end"/>
            </w:r>
          </w:p>
        </w:tc>
      </w:tr>
      <w:tr w:rsidR="001A200D" w:rsidRPr="004D3E32" w14:paraId="7DD6827D" w14:textId="77777777" w:rsidTr="008460C9">
        <w:tc>
          <w:tcPr>
            <w:tcW w:w="0" w:type="auto"/>
            <w:tcBorders>
              <w:top w:val="single" w:sz="12" w:space="0" w:color="auto"/>
              <w:bottom w:val="single" w:sz="6" w:space="0" w:color="auto"/>
            </w:tcBorders>
            <w:vAlign w:val="center"/>
            <w:hideMark/>
          </w:tcPr>
          <w:p w14:paraId="359E0522" w14:textId="77777777"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Study Design</w:t>
            </w:r>
          </w:p>
        </w:tc>
        <w:tc>
          <w:tcPr>
            <w:tcW w:w="0" w:type="auto"/>
            <w:tcBorders>
              <w:top w:val="single" w:sz="12" w:space="0" w:color="auto"/>
              <w:bottom w:val="single" w:sz="6" w:space="0" w:color="auto"/>
            </w:tcBorders>
            <w:vAlign w:val="center"/>
            <w:hideMark/>
          </w:tcPr>
          <w:p w14:paraId="0A37C24C"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Observational, prospective</w:t>
            </w:r>
          </w:p>
        </w:tc>
        <w:tc>
          <w:tcPr>
            <w:tcW w:w="0" w:type="auto"/>
            <w:tcBorders>
              <w:top w:val="single" w:sz="12" w:space="0" w:color="auto"/>
              <w:bottom w:val="single" w:sz="6" w:space="0" w:color="auto"/>
            </w:tcBorders>
            <w:vAlign w:val="center"/>
            <w:hideMark/>
          </w:tcPr>
          <w:p w14:paraId="18258207"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Observational, retrospective</w:t>
            </w:r>
          </w:p>
        </w:tc>
        <w:tc>
          <w:tcPr>
            <w:tcW w:w="0" w:type="auto"/>
            <w:tcBorders>
              <w:top w:val="single" w:sz="12" w:space="0" w:color="auto"/>
              <w:bottom w:val="single" w:sz="6" w:space="0" w:color="auto"/>
            </w:tcBorders>
            <w:vAlign w:val="center"/>
            <w:hideMark/>
          </w:tcPr>
          <w:p w14:paraId="71FA04A8"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Open-label RCT, prospective</w:t>
            </w:r>
          </w:p>
        </w:tc>
        <w:tc>
          <w:tcPr>
            <w:tcW w:w="0" w:type="auto"/>
            <w:tcBorders>
              <w:top w:val="single" w:sz="12" w:space="0" w:color="auto"/>
              <w:bottom w:val="single" w:sz="6" w:space="0" w:color="auto"/>
            </w:tcBorders>
            <w:vAlign w:val="center"/>
            <w:hideMark/>
          </w:tcPr>
          <w:p w14:paraId="1F919120" w14:textId="7177DA48" w:rsidR="0040239B" w:rsidRPr="004D3E32" w:rsidRDefault="0040239B" w:rsidP="0092511A">
            <w:pPr>
              <w:spacing w:line="276" w:lineRule="auto"/>
              <w:jc w:val="center"/>
              <w:rPr>
                <w:rFonts w:ascii="Arial" w:hAnsi="Arial"/>
                <w:sz w:val="18"/>
                <w:szCs w:val="18"/>
              </w:rPr>
            </w:pPr>
            <w:r w:rsidRPr="004D3E32">
              <w:rPr>
                <w:rFonts w:ascii="Arial" w:hAnsi="Arial"/>
                <w:sz w:val="18"/>
                <w:szCs w:val="18"/>
              </w:rPr>
              <w:t>Observational, retrospective</w:t>
            </w:r>
            <w:r w:rsidR="0092511A">
              <w:rPr>
                <w:rFonts w:ascii="Arial" w:hAnsi="Arial"/>
                <w:sz w:val="18"/>
                <w:szCs w:val="18"/>
              </w:rPr>
              <w:t xml:space="preserve"> </w:t>
            </w:r>
            <w:r w:rsidR="0092511A" w:rsidRPr="004D3E32">
              <w:rPr>
                <w:rFonts w:ascii="Arial" w:hAnsi="Arial"/>
                <w:sz w:val="18"/>
                <w:szCs w:val="18"/>
              </w:rPr>
              <w:t>(</w:t>
            </w:r>
            <w:r w:rsidR="0092511A">
              <w:rPr>
                <w:rFonts w:ascii="Arial" w:hAnsi="Arial"/>
                <w:sz w:val="18"/>
                <w:szCs w:val="18"/>
              </w:rPr>
              <w:t>Congress A</w:t>
            </w:r>
            <w:r w:rsidR="0092511A" w:rsidRPr="004D3E32">
              <w:rPr>
                <w:rFonts w:ascii="Arial" w:hAnsi="Arial"/>
                <w:sz w:val="18"/>
                <w:szCs w:val="18"/>
              </w:rPr>
              <w:t>bstract)</w:t>
            </w:r>
          </w:p>
        </w:tc>
        <w:tc>
          <w:tcPr>
            <w:tcW w:w="0" w:type="auto"/>
            <w:tcBorders>
              <w:top w:val="single" w:sz="12" w:space="0" w:color="auto"/>
              <w:bottom w:val="single" w:sz="6" w:space="0" w:color="auto"/>
            </w:tcBorders>
            <w:vAlign w:val="center"/>
            <w:hideMark/>
          </w:tcPr>
          <w:p w14:paraId="2E794846"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Observational, cross-sectional</w:t>
            </w:r>
          </w:p>
        </w:tc>
      </w:tr>
      <w:tr w:rsidR="001A200D" w:rsidRPr="004D3E32" w14:paraId="715737AA" w14:textId="77777777" w:rsidTr="008460C9">
        <w:tc>
          <w:tcPr>
            <w:tcW w:w="0" w:type="auto"/>
            <w:tcBorders>
              <w:top w:val="single" w:sz="6" w:space="0" w:color="auto"/>
              <w:bottom w:val="single" w:sz="6" w:space="0" w:color="auto"/>
            </w:tcBorders>
            <w:vAlign w:val="center"/>
            <w:hideMark/>
          </w:tcPr>
          <w:p w14:paraId="2958E62E" w14:textId="363CD581" w:rsidR="0040239B" w:rsidRPr="004D3E32" w:rsidRDefault="0061594A" w:rsidP="00C65AD7">
            <w:pPr>
              <w:spacing w:line="276" w:lineRule="auto"/>
              <w:jc w:val="center"/>
              <w:rPr>
                <w:rFonts w:ascii="Arial" w:hAnsi="Arial"/>
                <w:sz w:val="18"/>
                <w:szCs w:val="18"/>
              </w:rPr>
            </w:pPr>
            <w:r w:rsidRPr="004D3E32">
              <w:rPr>
                <w:rFonts w:ascii="Arial" w:hAnsi="Arial"/>
                <w:b/>
                <w:bCs/>
                <w:sz w:val="18"/>
                <w:szCs w:val="18"/>
              </w:rPr>
              <w:t>Location</w:t>
            </w:r>
          </w:p>
        </w:tc>
        <w:tc>
          <w:tcPr>
            <w:tcW w:w="0" w:type="auto"/>
            <w:tcBorders>
              <w:top w:val="single" w:sz="6" w:space="0" w:color="auto"/>
              <w:bottom w:val="single" w:sz="6" w:space="0" w:color="auto"/>
            </w:tcBorders>
            <w:vAlign w:val="center"/>
            <w:hideMark/>
          </w:tcPr>
          <w:p w14:paraId="5283346C"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Japan</w:t>
            </w:r>
          </w:p>
        </w:tc>
        <w:tc>
          <w:tcPr>
            <w:tcW w:w="0" w:type="auto"/>
            <w:tcBorders>
              <w:top w:val="single" w:sz="6" w:space="0" w:color="auto"/>
              <w:bottom w:val="single" w:sz="6" w:space="0" w:color="auto"/>
            </w:tcBorders>
            <w:vAlign w:val="center"/>
            <w:hideMark/>
          </w:tcPr>
          <w:p w14:paraId="0E7EF88A"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Japan</w:t>
            </w:r>
          </w:p>
        </w:tc>
        <w:tc>
          <w:tcPr>
            <w:tcW w:w="0" w:type="auto"/>
            <w:tcBorders>
              <w:top w:val="single" w:sz="6" w:space="0" w:color="auto"/>
              <w:bottom w:val="single" w:sz="6" w:space="0" w:color="auto"/>
            </w:tcBorders>
            <w:vAlign w:val="center"/>
            <w:hideMark/>
          </w:tcPr>
          <w:p w14:paraId="38118FCA"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Japan</w:t>
            </w:r>
          </w:p>
        </w:tc>
        <w:tc>
          <w:tcPr>
            <w:tcW w:w="0" w:type="auto"/>
            <w:tcBorders>
              <w:top w:val="single" w:sz="6" w:space="0" w:color="auto"/>
              <w:bottom w:val="single" w:sz="6" w:space="0" w:color="auto"/>
            </w:tcBorders>
            <w:vAlign w:val="center"/>
            <w:hideMark/>
          </w:tcPr>
          <w:p w14:paraId="14C6011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Spain</w:t>
            </w:r>
          </w:p>
        </w:tc>
        <w:tc>
          <w:tcPr>
            <w:tcW w:w="0" w:type="auto"/>
            <w:tcBorders>
              <w:top w:val="single" w:sz="6" w:space="0" w:color="auto"/>
              <w:bottom w:val="single" w:sz="6" w:space="0" w:color="auto"/>
            </w:tcBorders>
            <w:vAlign w:val="center"/>
            <w:hideMark/>
          </w:tcPr>
          <w:p w14:paraId="0B23A3FF"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Serbia</w:t>
            </w:r>
          </w:p>
        </w:tc>
      </w:tr>
      <w:tr w:rsidR="001A200D" w:rsidRPr="004D3E32" w14:paraId="46A26C8C" w14:textId="77777777" w:rsidTr="008460C9">
        <w:tc>
          <w:tcPr>
            <w:tcW w:w="0" w:type="auto"/>
            <w:tcBorders>
              <w:top w:val="single" w:sz="6" w:space="0" w:color="auto"/>
              <w:bottom w:val="single" w:sz="6" w:space="0" w:color="auto"/>
            </w:tcBorders>
            <w:vAlign w:val="center"/>
            <w:hideMark/>
          </w:tcPr>
          <w:p w14:paraId="39FF6048" w14:textId="7776F433" w:rsidR="0040239B" w:rsidRPr="004D3E32" w:rsidRDefault="00242B75" w:rsidP="00C65AD7">
            <w:pPr>
              <w:spacing w:line="276" w:lineRule="auto"/>
              <w:jc w:val="center"/>
              <w:rPr>
                <w:rFonts w:ascii="Arial" w:hAnsi="Arial"/>
                <w:sz w:val="18"/>
                <w:szCs w:val="18"/>
              </w:rPr>
            </w:pPr>
            <w:r w:rsidRPr="004D3E32">
              <w:rPr>
                <w:rFonts w:ascii="Arial" w:hAnsi="Arial"/>
                <w:b/>
                <w:bCs/>
                <w:sz w:val="18"/>
                <w:szCs w:val="18"/>
              </w:rPr>
              <w:t>Months of follow-up per patient (observation periods, years)</w:t>
            </w:r>
          </w:p>
        </w:tc>
        <w:tc>
          <w:tcPr>
            <w:tcW w:w="0" w:type="auto"/>
            <w:tcBorders>
              <w:top w:val="single" w:sz="6" w:space="0" w:color="auto"/>
              <w:bottom w:val="single" w:sz="6" w:space="0" w:color="auto"/>
            </w:tcBorders>
            <w:vAlign w:val="center"/>
            <w:hideMark/>
          </w:tcPr>
          <w:p w14:paraId="151D76D0"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 (ns)</w:t>
            </w:r>
          </w:p>
        </w:tc>
        <w:tc>
          <w:tcPr>
            <w:tcW w:w="0" w:type="auto"/>
            <w:tcBorders>
              <w:top w:val="single" w:sz="6" w:space="0" w:color="auto"/>
              <w:bottom w:val="single" w:sz="6" w:space="0" w:color="auto"/>
            </w:tcBorders>
            <w:vAlign w:val="center"/>
            <w:hideMark/>
          </w:tcPr>
          <w:p w14:paraId="2663B61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 (2013-2014)</w:t>
            </w:r>
          </w:p>
        </w:tc>
        <w:tc>
          <w:tcPr>
            <w:tcW w:w="0" w:type="auto"/>
            <w:tcBorders>
              <w:top w:val="single" w:sz="6" w:space="0" w:color="auto"/>
              <w:bottom w:val="single" w:sz="6" w:space="0" w:color="auto"/>
            </w:tcBorders>
            <w:vAlign w:val="center"/>
            <w:hideMark/>
          </w:tcPr>
          <w:p w14:paraId="5A4CA655"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21 (2010-2015)</w:t>
            </w:r>
          </w:p>
        </w:tc>
        <w:tc>
          <w:tcPr>
            <w:tcW w:w="0" w:type="auto"/>
            <w:tcBorders>
              <w:top w:val="single" w:sz="6" w:space="0" w:color="auto"/>
              <w:bottom w:val="single" w:sz="6" w:space="0" w:color="auto"/>
            </w:tcBorders>
            <w:vAlign w:val="center"/>
            <w:hideMark/>
          </w:tcPr>
          <w:p w14:paraId="4995E3E5"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12 (2020-2021)</w:t>
            </w:r>
          </w:p>
        </w:tc>
        <w:tc>
          <w:tcPr>
            <w:tcW w:w="0" w:type="auto"/>
            <w:tcBorders>
              <w:top w:val="single" w:sz="6" w:space="0" w:color="auto"/>
              <w:bottom w:val="single" w:sz="6" w:space="0" w:color="auto"/>
            </w:tcBorders>
            <w:vAlign w:val="center"/>
            <w:hideMark/>
          </w:tcPr>
          <w:p w14:paraId="165499F1" w14:textId="4CEEFF01"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np</w:t>
            </w:r>
            <w:r w:rsidR="0040239B" w:rsidRPr="004D3E32">
              <w:rPr>
                <w:rFonts w:ascii="Arial" w:hAnsi="Arial"/>
                <w:sz w:val="18"/>
                <w:szCs w:val="18"/>
              </w:rPr>
              <w:t xml:space="preserve"> (likely 2020-2021)</w:t>
            </w:r>
          </w:p>
        </w:tc>
      </w:tr>
      <w:tr w:rsidR="001A200D" w:rsidRPr="004D3E32" w14:paraId="6ADEC97E" w14:textId="77777777" w:rsidTr="008460C9">
        <w:tc>
          <w:tcPr>
            <w:tcW w:w="0" w:type="auto"/>
            <w:tcBorders>
              <w:top w:val="single" w:sz="6" w:space="0" w:color="auto"/>
              <w:bottom w:val="single" w:sz="6" w:space="0" w:color="auto"/>
            </w:tcBorders>
            <w:vAlign w:val="center"/>
            <w:hideMark/>
          </w:tcPr>
          <w:p w14:paraId="602B00F6" w14:textId="79A53D51"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Number of RA </w:t>
            </w:r>
            <w:r w:rsidR="00242B75" w:rsidRPr="004D3E32">
              <w:rPr>
                <w:rFonts w:ascii="Arial" w:hAnsi="Arial"/>
                <w:b/>
                <w:bCs/>
                <w:sz w:val="18"/>
                <w:szCs w:val="18"/>
              </w:rPr>
              <w:t>p</w:t>
            </w:r>
            <w:r w:rsidRPr="004D3E32">
              <w:rPr>
                <w:rFonts w:ascii="Arial" w:hAnsi="Arial"/>
                <w:b/>
                <w:bCs/>
                <w:sz w:val="18"/>
                <w:szCs w:val="18"/>
              </w:rPr>
              <w:t>atients (total)</w:t>
            </w:r>
          </w:p>
        </w:tc>
        <w:tc>
          <w:tcPr>
            <w:tcW w:w="0" w:type="auto"/>
            <w:tcBorders>
              <w:top w:val="single" w:sz="6" w:space="0" w:color="auto"/>
              <w:bottom w:val="single" w:sz="6" w:space="0" w:color="auto"/>
            </w:tcBorders>
            <w:vAlign w:val="center"/>
            <w:hideMark/>
          </w:tcPr>
          <w:p w14:paraId="6CD0CFDB"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1003 (1003)</w:t>
            </w:r>
          </w:p>
        </w:tc>
        <w:tc>
          <w:tcPr>
            <w:tcW w:w="0" w:type="auto"/>
            <w:tcBorders>
              <w:top w:val="single" w:sz="6" w:space="0" w:color="auto"/>
              <w:bottom w:val="single" w:sz="6" w:space="0" w:color="auto"/>
            </w:tcBorders>
            <w:vAlign w:val="center"/>
            <w:hideMark/>
          </w:tcPr>
          <w:p w14:paraId="21C2F36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58 (58)</w:t>
            </w:r>
          </w:p>
        </w:tc>
        <w:tc>
          <w:tcPr>
            <w:tcW w:w="0" w:type="auto"/>
            <w:tcBorders>
              <w:top w:val="single" w:sz="6" w:space="0" w:color="auto"/>
              <w:bottom w:val="single" w:sz="6" w:space="0" w:color="auto"/>
            </w:tcBorders>
            <w:vAlign w:val="center"/>
            <w:hideMark/>
          </w:tcPr>
          <w:p w14:paraId="4EFF9C97"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319 (319)</w:t>
            </w:r>
          </w:p>
        </w:tc>
        <w:tc>
          <w:tcPr>
            <w:tcW w:w="0" w:type="auto"/>
            <w:tcBorders>
              <w:top w:val="single" w:sz="6" w:space="0" w:color="auto"/>
              <w:bottom w:val="single" w:sz="6" w:space="0" w:color="auto"/>
            </w:tcBorders>
            <w:vAlign w:val="center"/>
            <w:hideMark/>
          </w:tcPr>
          <w:p w14:paraId="3F272A37"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16* (32)</w:t>
            </w:r>
          </w:p>
        </w:tc>
        <w:tc>
          <w:tcPr>
            <w:tcW w:w="0" w:type="auto"/>
            <w:tcBorders>
              <w:top w:val="single" w:sz="6" w:space="0" w:color="auto"/>
              <w:bottom w:val="single" w:sz="6" w:space="0" w:color="auto"/>
            </w:tcBorders>
            <w:vAlign w:val="center"/>
            <w:hideMark/>
          </w:tcPr>
          <w:p w14:paraId="5C8B664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47 (47)</w:t>
            </w:r>
          </w:p>
        </w:tc>
      </w:tr>
      <w:tr w:rsidR="001A200D" w:rsidRPr="004D3E32" w14:paraId="78BD8E35" w14:textId="77777777" w:rsidTr="008460C9">
        <w:tc>
          <w:tcPr>
            <w:tcW w:w="0" w:type="auto"/>
            <w:tcBorders>
              <w:top w:val="single" w:sz="6" w:space="0" w:color="auto"/>
              <w:bottom w:val="single" w:sz="6" w:space="0" w:color="auto"/>
            </w:tcBorders>
            <w:vAlign w:val="center"/>
            <w:hideMark/>
          </w:tcPr>
          <w:p w14:paraId="7FE4C69A" w14:textId="4BA49F1C"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Comparison </w:t>
            </w:r>
            <w:r w:rsidR="00242B75" w:rsidRPr="004D3E32">
              <w:rPr>
                <w:rFonts w:ascii="Arial" w:hAnsi="Arial"/>
                <w:b/>
                <w:bCs/>
                <w:sz w:val="18"/>
                <w:szCs w:val="18"/>
              </w:rPr>
              <w:t>g</w:t>
            </w:r>
            <w:r w:rsidRPr="004D3E32">
              <w:rPr>
                <w:rFonts w:ascii="Arial" w:hAnsi="Arial"/>
                <w:b/>
                <w:bCs/>
                <w:sz w:val="18"/>
                <w:szCs w:val="18"/>
              </w:rPr>
              <w:t>roup</w:t>
            </w:r>
            <w:r w:rsidR="00242B75" w:rsidRPr="004D3E32">
              <w:rPr>
                <w:rFonts w:ascii="Arial" w:hAnsi="Arial"/>
                <w:b/>
                <w:bCs/>
                <w:sz w:val="18"/>
                <w:szCs w:val="18"/>
              </w:rPr>
              <w:t>, number of patients</w:t>
            </w:r>
          </w:p>
        </w:tc>
        <w:tc>
          <w:tcPr>
            <w:tcW w:w="0" w:type="auto"/>
            <w:tcBorders>
              <w:top w:val="single" w:sz="6" w:space="0" w:color="auto"/>
              <w:bottom w:val="single" w:sz="6" w:space="0" w:color="auto"/>
            </w:tcBorders>
            <w:vAlign w:val="center"/>
            <w:hideMark/>
          </w:tcPr>
          <w:p w14:paraId="06A40E7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SC-TCZ naïve, 784</w:t>
            </w:r>
          </w:p>
        </w:tc>
        <w:tc>
          <w:tcPr>
            <w:tcW w:w="0" w:type="auto"/>
            <w:tcBorders>
              <w:top w:val="single" w:sz="6" w:space="0" w:color="auto"/>
              <w:bottom w:val="single" w:sz="6" w:space="0" w:color="auto"/>
            </w:tcBorders>
            <w:vAlign w:val="center"/>
            <w:hideMark/>
          </w:tcPr>
          <w:p w14:paraId="5ECAA857"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1FA900A7"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SC-to-SC, 159</w:t>
            </w:r>
          </w:p>
        </w:tc>
        <w:tc>
          <w:tcPr>
            <w:tcW w:w="0" w:type="auto"/>
            <w:tcBorders>
              <w:top w:val="single" w:sz="6" w:space="0" w:color="auto"/>
              <w:bottom w:val="single" w:sz="6" w:space="0" w:color="auto"/>
            </w:tcBorders>
            <w:vAlign w:val="center"/>
            <w:hideMark/>
          </w:tcPr>
          <w:p w14:paraId="318AC17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332DA27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r>
      <w:tr w:rsidR="001A200D" w:rsidRPr="004D3E32" w14:paraId="60A8FD38" w14:textId="77777777" w:rsidTr="008460C9">
        <w:tc>
          <w:tcPr>
            <w:tcW w:w="0" w:type="auto"/>
            <w:tcBorders>
              <w:top w:val="single" w:sz="6" w:space="0" w:color="auto"/>
              <w:bottom w:val="single" w:sz="6" w:space="0" w:color="auto"/>
            </w:tcBorders>
            <w:vAlign w:val="center"/>
            <w:hideMark/>
          </w:tcPr>
          <w:p w14:paraId="1B057A32" w14:textId="088A822B"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Exclusion </w:t>
            </w:r>
            <w:r w:rsidR="00242B75" w:rsidRPr="004D3E32">
              <w:rPr>
                <w:rFonts w:ascii="Arial" w:hAnsi="Arial"/>
                <w:b/>
                <w:bCs/>
                <w:sz w:val="18"/>
                <w:szCs w:val="18"/>
              </w:rPr>
              <w:t>c</w:t>
            </w:r>
            <w:r w:rsidRPr="004D3E32">
              <w:rPr>
                <w:rFonts w:ascii="Arial" w:hAnsi="Arial"/>
                <w:b/>
                <w:bCs/>
                <w:sz w:val="18"/>
                <w:szCs w:val="18"/>
              </w:rPr>
              <w:t>riteria</w:t>
            </w:r>
          </w:p>
        </w:tc>
        <w:tc>
          <w:tcPr>
            <w:tcW w:w="0" w:type="auto"/>
            <w:tcBorders>
              <w:top w:val="single" w:sz="6" w:space="0" w:color="auto"/>
              <w:bottom w:val="single" w:sz="6" w:space="0" w:color="auto"/>
            </w:tcBorders>
            <w:vAlign w:val="center"/>
            <w:hideMark/>
          </w:tcPr>
          <w:p w14:paraId="3C2D9C38"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Contraindications to SC-TCZ according to product label</w:t>
            </w:r>
          </w:p>
        </w:tc>
        <w:tc>
          <w:tcPr>
            <w:tcW w:w="0" w:type="auto"/>
            <w:tcBorders>
              <w:top w:val="single" w:sz="6" w:space="0" w:color="auto"/>
              <w:bottom w:val="single" w:sz="6" w:space="0" w:color="auto"/>
            </w:tcBorders>
            <w:vAlign w:val="center"/>
            <w:hideMark/>
          </w:tcPr>
          <w:p w14:paraId="3CCED1D5"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Lack of informed consent</w:t>
            </w:r>
          </w:p>
        </w:tc>
        <w:tc>
          <w:tcPr>
            <w:tcW w:w="0" w:type="auto"/>
            <w:tcBorders>
              <w:top w:val="single" w:sz="6" w:space="0" w:color="auto"/>
              <w:bottom w:val="single" w:sz="6" w:space="0" w:color="auto"/>
            </w:tcBorders>
            <w:vAlign w:val="center"/>
            <w:hideMark/>
          </w:tcPr>
          <w:p w14:paraId="6554A8C6"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Lack of informed consent</w:t>
            </w:r>
          </w:p>
        </w:tc>
        <w:tc>
          <w:tcPr>
            <w:tcW w:w="0" w:type="auto"/>
            <w:tcBorders>
              <w:top w:val="single" w:sz="6" w:space="0" w:color="auto"/>
              <w:bottom w:val="single" w:sz="6" w:space="0" w:color="auto"/>
            </w:tcBorders>
            <w:vAlign w:val="center"/>
            <w:hideMark/>
          </w:tcPr>
          <w:p w14:paraId="7BDBB04F" w14:textId="300C03C5"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3607B49F"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Lack of informed consent</w:t>
            </w:r>
          </w:p>
        </w:tc>
      </w:tr>
      <w:tr w:rsidR="001A200D" w:rsidRPr="004D3E32" w14:paraId="2A9B29B3" w14:textId="77777777" w:rsidTr="008460C9">
        <w:tc>
          <w:tcPr>
            <w:tcW w:w="0" w:type="auto"/>
            <w:tcBorders>
              <w:top w:val="single" w:sz="6" w:space="0" w:color="auto"/>
              <w:bottom w:val="single" w:sz="6" w:space="0" w:color="auto"/>
            </w:tcBorders>
            <w:vAlign w:val="center"/>
            <w:hideMark/>
          </w:tcPr>
          <w:p w14:paraId="4E0735CB" w14:textId="77777777"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SC-TCZ Dose (mg/week)</w:t>
            </w:r>
          </w:p>
        </w:tc>
        <w:tc>
          <w:tcPr>
            <w:tcW w:w="0" w:type="auto"/>
            <w:tcBorders>
              <w:top w:val="single" w:sz="6" w:space="0" w:color="auto"/>
              <w:bottom w:val="single" w:sz="6" w:space="0" w:color="auto"/>
            </w:tcBorders>
            <w:vAlign w:val="center"/>
            <w:hideMark/>
          </w:tcPr>
          <w:p w14:paraId="05A78E88"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81.5</w:t>
            </w:r>
          </w:p>
        </w:tc>
        <w:tc>
          <w:tcPr>
            <w:tcW w:w="0" w:type="auto"/>
            <w:tcBorders>
              <w:top w:val="single" w:sz="6" w:space="0" w:color="auto"/>
              <w:bottom w:val="single" w:sz="6" w:space="0" w:color="auto"/>
            </w:tcBorders>
            <w:vAlign w:val="center"/>
            <w:hideMark/>
          </w:tcPr>
          <w:p w14:paraId="0813AC76"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81.5</w:t>
            </w:r>
          </w:p>
        </w:tc>
        <w:tc>
          <w:tcPr>
            <w:tcW w:w="0" w:type="auto"/>
            <w:tcBorders>
              <w:top w:val="single" w:sz="6" w:space="0" w:color="auto"/>
              <w:bottom w:val="single" w:sz="6" w:space="0" w:color="auto"/>
            </w:tcBorders>
            <w:vAlign w:val="center"/>
            <w:hideMark/>
          </w:tcPr>
          <w:p w14:paraId="75CBCF0E"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81.5</w:t>
            </w:r>
          </w:p>
        </w:tc>
        <w:tc>
          <w:tcPr>
            <w:tcW w:w="0" w:type="auto"/>
            <w:tcBorders>
              <w:top w:val="single" w:sz="6" w:space="0" w:color="auto"/>
              <w:bottom w:val="single" w:sz="6" w:space="0" w:color="auto"/>
            </w:tcBorders>
            <w:vAlign w:val="center"/>
            <w:hideMark/>
          </w:tcPr>
          <w:p w14:paraId="26D34206" w14:textId="0874E3D0"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1198B66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162</w:t>
            </w:r>
          </w:p>
        </w:tc>
      </w:tr>
      <w:tr w:rsidR="001A200D" w:rsidRPr="004D3E32" w14:paraId="02F37D3E" w14:textId="77777777" w:rsidTr="008460C9">
        <w:tc>
          <w:tcPr>
            <w:tcW w:w="0" w:type="auto"/>
            <w:tcBorders>
              <w:top w:val="single" w:sz="6" w:space="0" w:color="auto"/>
              <w:bottom w:val="single" w:sz="6" w:space="0" w:color="auto"/>
            </w:tcBorders>
            <w:vAlign w:val="center"/>
            <w:hideMark/>
          </w:tcPr>
          <w:p w14:paraId="1D9B710D" w14:textId="64C2193D"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Baseline </w:t>
            </w:r>
            <w:r w:rsidR="003D3F1C" w:rsidRPr="004D3E32">
              <w:rPr>
                <w:rFonts w:ascii="Arial" w:hAnsi="Arial"/>
                <w:b/>
                <w:bCs/>
                <w:sz w:val="18"/>
                <w:szCs w:val="18"/>
              </w:rPr>
              <w:t>c</w:t>
            </w:r>
            <w:r w:rsidRPr="004D3E32">
              <w:rPr>
                <w:rFonts w:ascii="Arial" w:hAnsi="Arial"/>
                <w:b/>
                <w:bCs/>
                <w:sz w:val="18"/>
                <w:szCs w:val="18"/>
              </w:rPr>
              <w:t xml:space="preserve">haracteristics </w:t>
            </w:r>
            <w:proofErr w:type="gramStart"/>
            <w:r w:rsidR="003D3F1C" w:rsidRPr="004D3E32">
              <w:rPr>
                <w:rFonts w:ascii="Arial" w:hAnsi="Arial"/>
                <w:b/>
                <w:bCs/>
                <w:sz w:val="18"/>
                <w:szCs w:val="18"/>
              </w:rPr>
              <w:t>s</w:t>
            </w:r>
            <w:r w:rsidRPr="004D3E32">
              <w:rPr>
                <w:rFonts w:ascii="Arial" w:hAnsi="Arial"/>
                <w:b/>
                <w:bCs/>
                <w:sz w:val="18"/>
                <w:szCs w:val="18"/>
              </w:rPr>
              <w:t>ignificantly</w:t>
            </w:r>
            <w:proofErr w:type="gramEnd"/>
            <w:r w:rsidRPr="004D3E32">
              <w:rPr>
                <w:rFonts w:ascii="Arial" w:hAnsi="Arial"/>
                <w:b/>
                <w:bCs/>
                <w:sz w:val="18"/>
                <w:szCs w:val="18"/>
              </w:rPr>
              <w:t xml:space="preserve"> </w:t>
            </w:r>
            <w:r w:rsidR="003D3F1C" w:rsidRPr="004D3E32">
              <w:rPr>
                <w:rFonts w:ascii="Arial" w:hAnsi="Arial"/>
                <w:b/>
                <w:bCs/>
                <w:sz w:val="18"/>
                <w:szCs w:val="18"/>
              </w:rPr>
              <w:t>d</w:t>
            </w:r>
            <w:r w:rsidRPr="004D3E32">
              <w:rPr>
                <w:rFonts w:ascii="Arial" w:hAnsi="Arial"/>
                <w:b/>
                <w:bCs/>
                <w:sz w:val="18"/>
                <w:szCs w:val="18"/>
              </w:rPr>
              <w:t xml:space="preserve">ifferent </w:t>
            </w:r>
            <w:r w:rsidR="003D3F1C" w:rsidRPr="004D3E32">
              <w:rPr>
                <w:rFonts w:ascii="Arial" w:hAnsi="Arial"/>
                <w:b/>
                <w:bCs/>
                <w:sz w:val="18"/>
                <w:szCs w:val="18"/>
              </w:rPr>
              <w:t>b</w:t>
            </w:r>
            <w:r w:rsidRPr="004D3E32">
              <w:rPr>
                <w:rFonts w:ascii="Arial" w:hAnsi="Arial"/>
                <w:b/>
                <w:bCs/>
                <w:sz w:val="18"/>
                <w:szCs w:val="18"/>
              </w:rPr>
              <w:t xml:space="preserve">etween </w:t>
            </w:r>
            <w:r w:rsidR="003D3F1C" w:rsidRPr="004D3E32">
              <w:rPr>
                <w:rFonts w:ascii="Arial" w:hAnsi="Arial"/>
                <w:b/>
                <w:bCs/>
                <w:sz w:val="18"/>
                <w:szCs w:val="18"/>
              </w:rPr>
              <w:t>g</w:t>
            </w:r>
            <w:r w:rsidRPr="004D3E32">
              <w:rPr>
                <w:rFonts w:ascii="Arial" w:hAnsi="Arial"/>
                <w:b/>
                <w:bCs/>
                <w:sz w:val="18"/>
                <w:szCs w:val="18"/>
              </w:rPr>
              <w:t>roups</w:t>
            </w:r>
          </w:p>
        </w:tc>
        <w:tc>
          <w:tcPr>
            <w:tcW w:w="0" w:type="auto"/>
            <w:tcBorders>
              <w:top w:val="single" w:sz="6" w:space="0" w:color="auto"/>
              <w:bottom w:val="single" w:sz="6" w:space="0" w:color="auto"/>
            </w:tcBorders>
            <w:vAlign w:val="center"/>
            <w:hideMark/>
          </w:tcPr>
          <w:p w14:paraId="6F4CBBF6"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6DD3CE11" w14:textId="1D1AB83F"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71954C32" w14:textId="0BDDC146"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07991B45" w14:textId="6B279105"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17B7D859" w14:textId="7EFAFDF5" w:rsidR="0040239B" w:rsidRPr="004D3E32" w:rsidRDefault="00242B75" w:rsidP="00C65AD7">
            <w:pPr>
              <w:spacing w:line="276" w:lineRule="auto"/>
              <w:jc w:val="center"/>
              <w:rPr>
                <w:rFonts w:ascii="Arial" w:hAnsi="Arial"/>
                <w:sz w:val="18"/>
                <w:szCs w:val="18"/>
              </w:rPr>
            </w:pPr>
            <w:r w:rsidRPr="004D3E32">
              <w:rPr>
                <w:rFonts w:ascii="Arial" w:hAnsi="Arial"/>
                <w:sz w:val="18"/>
                <w:szCs w:val="18"/>
              </w:rPr>
              <w:t>np</w:t>
            </w:r>
          </w:p>
        </w:tc>
      </w:tr>
      <w:tr w:rsidR="001A200D" w:rsidRPr="004D3E32" w14:paraId="5B9EC65B" w14:textId="77777777" w:rsidTr="008460C9">
        <w:tc>
          <w:tcPr>
            <w:tcW w:w="0" w:type="auto"/>
            <w:tcBorders>
              <w:top w:val="single" w:sz="6" w:space="0" w:color="auto"/>
              <w:bottom w:val="single" w:sz="6" w:space="0" w:color="auto"/>
            </w:tcBorders>
            <w:vAlign w:val="center"/>
            <w:hideMark/>
          </w:tcPr>
          <w:p w14:paraId="52185BC2" w14:textId="1C4BB823"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Time to </w:t>
            </w:r>
            <w:r w:rsidR="003D3F1C" w:rsidRPr="004D3E32">
              <w:rPr>
                <w:rFonts w:ascii="Arial" w:hAnsi="Arial"/>
                <w:b/>
                <w:bCs/>
                <w:sz w:val="18"/>
                <w:szCs w:val="18"/>
              </w:rPr>
              <w:t>p</w:t>
            </w:r>
            <w:r w:rsidRPr="004D3E32">
              <w:rPr>
                <w:rFonts w:ascii="Arial" w:hAnsi="Arial"/>
                <w:b/>
                <w:bCs/>
                <w:sz w:val="18"/>
                <w:szCs w:val="18"/>
              </w:rPr>
              <w:t xml:space="preserve">rimary </w:t>
            </w:r>
            <w:r w:rsidR="003D3F1C" w:rsidRPr="004D3E32">
              <w:rPr>
                <w:rFonts w:ascii="Arial" w:hAnsi="Arial"/>
                <w:b/>
                <w:bCs/>
                <w:sz w:val="18"/>
                <w:szCs w:val="18"/>
              </w:rPr>
              <w:t>o</w:t>
            </w:r>
            <w:r w:rsidRPr="004D3E32">
              <w:rPr>
                <w:rFonts w:ascii="Arial" w:hAnsi="Arial"/>
                <w:b/>
                <w:bCs/>
                <w:sz w:val="18"/>
                <w:szCs w:val="18"/>
              </w:rPr>
              <w:t xml:space="preserve">utcome, </w:t>
            </w:r>
            <w:r w:rsidR="003D3F1C" w:rsidRPr="004D3E32">
              <w:rPr>
                <w:rFonts w:ascii="Arial" w:hAnsi="Arial"/>
                <w:b/>
                <w:bCs/>
                <w:sz w:val="18"/>
                <w:szCs w:val="18"/>
              </w:rPr>
              <w:t>m</w:t>
            </w:r>
            <w:r w:rsidRPr="004D3E32">
              <w:rPr>
                <w:rFonts w:ascii="Arial" w:hAnsi="Arial"/>
                <w:b/>
                <w:bCs/>
                <w:sz w:val="18"/>
                <w:szCs w:val="18"/>
              </w:rPr>
              <w:t>ean (</w:t>
            </w:r>
            <w:r w:rsidR="003D3F1C" w:rsidRPr="004D3E32">
              <w:rPr>
                <w:rFonts w:ascii="Arial" w:hAnsi="Arial"/>
                <w:b/>
                <w:bCs/>
                <w:sz w:val="18"/>
                <w:szCs w:val="18"/>
              </w:rPr>
              <w:t>m</w:t>
            </w:r>
            <w:r w:rsidRPr="004D3E32">
              <w:rPr>
                <w:rFonts w:ascii="Arial" w:hAnsi="Arial"/>
                <w:b/>
                <w:bCs/>
                <w:sz w:val="18"/>
                <w:szCs w:val="18"/>
              </w:rPr>
              <w:t>onths)</w:t>
            </w:r>
          </w:p>
        </w:tc>
        <w:tc>
          <w:tcPr>
            <w:tcW w:w="0" w:type="auto"/>
            <w:tcBorders>
              <w:top w:val="single" w:sz="6" w:space="0" w:color="auto"/>
              <w:bottom w:val="single" w:sz="6" w:space="0" w:color="auto"/>
            </w:tcBorders>
            <w:vAlign w:val="center"/>
            <w:hideMark/>
          </w:tcPr>
          <w:p w14:paraId="0B851014"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w:t>
            </w:r>
          </w:p>
        </w:tc>
        <w:tc>
          <w:tcPr>
            <w:tcW w:w="0" w:type="auto"/>
            <w:tcBorders>
              <w:top w:val="single" w:sz="6" w:space="0" w:color="auto"/>
              <w:bottom w:val="single" w:sz="6" w:space="0" w:color="auto"/>
            </w:tcBorders>
            <w:vAlign w:val="center"/>
            <w:hideMark/>
          </w:tcPr>
          <w:p w14:paraId="0AC67748"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3</w:t>
            </w:r>
          </w:p>
        </w:tc>
        <w:tc>
          <w:tcPr>
            <w:tcW w:w="0" w:type="auto"/>
            <w:tcBorders>
              <w:top w:val="single" w:sz="6" w:space="0" w:color="auto"/>
              <w:bottom w:val="single" w:sz="6" w:space="0" w:color="auto"/>
            </w:tcBorders>
            <w:vAlign w:val="center"/>
            <w:hideMark/>
          </w:tcPr>
          <w:p w14:paraId="7ADAB87B"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3</w:t>
            </w:r>
          </w:p>
        </w:tc>
        <w:tc>
          <w:tcPr>
            <w:tcW w:w="0" w:type="auto"/>
            <w:tcBorders>
              <w:top w:val="single" w:sz="6" w:space="0" w:color="auto"/>
              <w:bottom w:val="single" w:sz="6" w:space="0" w:color="auto"/>
            </w:tcBorders>
            <w:vAlign w:val="center"/>
            <w:hideMark/>
          </w:tcPr>
          <w:p w14:paraId="33E430C8" w14:textId="31C01067"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54304A49"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w:t>
            </w:r>
          </w:p>
        </w:tc>
      </w:tr>
      <w:tr w:rsidR="001A200D" w:rsidRPr="004D3E32" w14:paraId="59F0ED0D" w14:textId="77777777" w:rsidTr="008460C9">
        <w:tc>
          <w:tcPr>
            <w:tcW w:w="0" w:type="auto"/>
            <w:tcBorders>
              <w:top w:val="single" w:sz="6" w:space="0" w:color="auto"/>
              <w:bottom w:val="single" w:sz="6" w:space="0" w:color="auto"/>
            </w:tcBorders>
            <w:vAlign w:val="center"/>
            <w:hideMark/>
          </w:tcPr>
          <w:p w14:paraId="752C8A37" w14:textId="71DE6C83"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Primary </w:t>
            </w:r>
            <w:r w:rsidR="003D3F1C" w:rsidRPr="004D3E32">
              <w:rPr>
                <w:rFonts w:ascii="Arial" w:hAnsi="Arial"/>
                <w:b/>
                <w:bCs/>
                <w:sz w:val="18"/>
                <w:szCs w:val="18"/>
              </w:rPr>
              <w:t>o</w:t>
            </w:r>
            <w:r w:rsidRPr="004D3E32">
              <w:rPr>
                <w:rFonts w:ascii="Arial" w:hAnsi="Arial"/>
                <w:b/>
                <w:bCs/>
                <w:sz w:val="18"/>
                <w:szCs w:val="18"/>
              </w:rPr>
              <w:t>utcome</w:t>
            </w:r>
          </w:p>
        </w:tc>
        <w:tc>
          <w:tcPr>
            <w:tcW w:w="0" w:type="auto"/>
            <w:tcBorders>
              <w:top w:val="single" w:sz="6" w:space="0" w:color="auto"/>
              <w:bottom w:val="single" w:sz="6" w:space="0" w:color="auto"/>
            </w:tcBorders>
            <w:vAlign w:val="center"/>
            <w:hideMark/>
          </w:tcPr>
          <w:p w14:paraId="48BF552B"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Incidence of AEs [SAEs] with SC-TCZ and changes in DAS28-ESR or CDAI</w:t>
            </w:r>
          </w:p>
        </w:tc>
        <w:tc>
          <w:tcPr>
            <w:tcW w:w="0" w:type="auto"/>
            <w:tcBorders>
              <w:top w:val="single" w:sz="6" w:space="0" w:color="auto"/>
              <w:bottom w:val="single" w:sz="6" w:space="0" w:color="auto"/>
            </w:tcBorders>
            <w:vAlign w:val="center"/>
            <w:hideMark/>
          </w:tcPr>
          <w:p w14:paraId="6F332FC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Efficacy of switch and impact of BMI on it</w:t>
            </w:r>
          </w:p>
        </w:tc>
        <w:tc>
          <w:tcPr>
            <w:tcW w:w="0" w:type="auto"/>
            <w:tcBorders>
              <w:top w:val="single" w:sz="6" w:space="0" w:color="auto"/>
              <w:bottom w:val="single" w:sz="6" w:space="0" w:color="auto"/>
            </w:tcBorders>
            <w:vAlign w:val="center"/>
            <w:hideMark/>
          </w:tcPr>
          <w:p w14:paraId="19BBF6DA"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Efficacy and safety of SC-TCZ</w:t>
            </w:r>
          </w:p>
        </w:tc>
        <w:tc>
          <w:tcPr>
            <w:tcW w:w="0" w:type="auto"/>
            <w:tcBorders>
              <w:top w:val="single" w:sz="6" w:space="0" w:color="auto"/>
              <w:bottom w:val="single" w:sz="6" w:space="0" w:color="auto"/>
            </w:tcBorders>
            <w:vAlign w:val="center"/>
            <w:hideMark/>
          </w:tcPr>
          <w:p w14:paraId="5AF9C6DC"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Efficacy and safety of IV-to-SC switch</w:t>
            </w:r>
          </w:p>
        </w:tc>
        <w:tc>
          <w:tcPr>
            <w:tcW w:w="0" w:type="auto"/>
            <w:tcBorders>
              <w:top w:val="single" w:sz="6" w:space="0" w:color="auto"/>
              <w:bottom w:val="single" w:sz="6" w:space="0" w:color="auto"/>
            </w:tcBorders>
            <w:vAlign w:val="center"/>
            <w:hideMark/>
          </w:tcPr>
          <w:p w14:paraId="3B4ED29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Efficacy and impact on QoL of TCZ, particularly after IV-to-SC switch</w:t>
            </w:r>
          </w:p>
        </w:tc>
      </w:tr>
      <w:tr w:rsidR="001A200D" w:rsidRPr="004D3E32" w14:paraId="5DDC9576" w14:textId="77777777" w:rsidTr="008460C9">
        <w:tc>
          <w:tcPr>
            <w:tcW w:w="0" w:type="auto"/>
            <w:tcBorders>
              <w:top w:val="single" w:sz="6" w:space="0" w:color="auto"/>
              <w:bottom w:val="single" w:sz="6" w:space="0" w:color="auto"/>
            </w:tcBorders>
            <w:vAlign w:val="center"/>
            <w:hideMark/>
          </w:tcPr>
          <w:p w14:paraId="0AC2E68A" w14:textId="77777777"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Results (based on primary outcome)</w:t>
            </w:r>
          </w:p>
        </w:tc>
        <w:tc>
          <w:tcPr>
            <w:tcW w:w="0" w:type="auto"/>
            <w:tcBorders>
              <w:top w:val="single" w:sz="6" w:space="0" w:color="auto"/>
              <w:bottom w:val="single" w:sz="6" w:space="0" w:color="auto"/>
            </w:tcBorders>
            <w:vAlign w:val="center"/>
            <w:hideMark/>
          </w:tcPr>
          <w:p w14:paraId="7212F54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78.8/100 PY, of which 11.1/100 PY were infections [10.1/100 PY, of which 0 were infections]</w:t>
            </w:r>
          </w:p>
        </w:tc>
        <w:tc>
          <w:tcPr>
            <w:tcW w:w="0" w:type="auto"/>
            <w:tcBorders>
              <w:top w:val="single" w:sz="6" w:space="0" w:color="auto"/>
              <w:bottom w:val="single" w:sz="6" w:space="0" w:color="auto"/>
            </w:tcBorders>
            <w:vAlign w:val="center"/>
            <w:hideMark/>
          </w:tcPr>
          <w:p w14:paraId="5C597B83"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Δ -0.14 (0.8)</w:t>
            </w:r>
          </w:p>
        </w:tc>
        <w:tc>
          <w:tcPr>
            <w:tcW w:w="0" w:type="auto"/>
            <w:tcBorders>
              <w:top w:val="single" w:sz="6" w:space="0" w:color="auto"/>
              <w:bottom w:val="single" w:sz="6" w:space="0" w:color="auto"/>
            </w:tcBorders>
            <w:vAlign w:val="center"/>
            <w:hideMark/>
          </w:tcPr>
          <w:p w14:paraId="6FE44A32" w14:textId="02796A9C"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 xml:space="preserve">Patients in REM/LDA: 132/160 (baseline), 127/160 (stable </w:t>
            </w:r>
            <w:r w:rsidR="003D3F1C" w:rsidRPr="004D3E32">
              <w:rPr>
                <w:rFonts w:ascii="Arial" w:hAnsi="Arial"/>
                <w:sz w:val="18"/>
                <w:szCs w:val="18"/>
              </w:rPr>
              <w:t xml:space="preserve">those in </w:t>
            </w:r>
            <w:r w:rsidRPr="004D3E32">
              <w:rPr>
                <w:rFonts w:ascii="Arial" w:hAnsi="Arial"/>
                <w:sz w:val="18"/>
                <w:szCs w:val="18"/>
              </w:rPr>
              <w:t xml:space="preserve">REM). 9/28 patients with </w:t>
            </w:r>
            <w:r w:rsidR="003D3F1C" w:rsidRPr="004D3E32">
              <w:rPr>
                <w:rFonts w:ascii="Arial" w:hAnsi="Arial"/>
                <w:sz w:val="18"/>
                <w:szCs w:val="18"/>
              </w:rPr>
              <w:t xml:space="preserve">baseline </w:t>
            </w:r>
            <w:r w:rsidRPr="004D3E32">
              <w:rPr>
                <w:rFonts w:ascii="Arial" w:hAnsi="Arial"/>
                <w:sz w:val="18"/>
                <w:szCs w:val="18"/>
              </w:rPr>
              <w:t xml:space="preserve">DAS28 &gt;3.2 </w:t>
            </w:r>
            <w:r w:rsidR="003D3F1C" w:rsidRPr="004D3E32">
              <w:rPr>
                <w:rFonts w:ascii="Arial" w:hAnsi="Arial"/>
                <w:sz w:val="18"/>
                <w:szCs w:val="18"/>
              </w:rPr>
              <w:t xml:space="preserve">reach </w:t>
            </w:r>
            <w:r w:rsidRPr="004D3E32">
              <w:rPr>
                <w:rFonts w:ascii="Arial" w:hAnsi="Arial"/>
                <w:sz w:val="18"/>
                <w:szCs w:val="18"/>
              </w:rPr>
              <w:t xml:space="preserve">REM/LDA; 14/132 patients </w:t>
            </w:r>
            <w:r w:rsidRPr="004D3E32">
              <w:rPr>
                <w:rFonts w:ascii="Arial" w:hAnsi="Arial"/>
                <w:sz w:val="18"/>
                <w:szCs w:val="18"/>
              </w:rPr>
              <w:lastRenderedPageBreak/>
              <w:t xml:space="preserve">in REM/LDA </w:t>
            </w:r>
            <w:r w:rsidR="003D3F1C" w:rsidRPr="004D3E32">
              <w:rPr>
                <w:rFonts w:ascii="Arial" w:hAnsi="Arial"/>
                <w:sz w:val="18"/>
                <w:szCs w:val="18"/>
              </w:rPr>
              <w:t xml:space="preserve">at </w:t>
            </w:r>
            <w:r w:rsidRPr="004D3E32">
              <w:rPr>
                <w:rFonts w:ascii="Arial" w:hAnsi="Arial"/>
                <w:sz w:val="18"/>
                <w:szCs w:val="18"/>
              </w:rPr>
              <w:t xml:space="preserve">baseline </w:t>
            </w:r>
            <w:r w:rsidR="003D3F1C" w:rsidRPr="004D3E32">
              <w:rPr>
                <w:rFonts w:ascii="Arial" w:hAnsi="Arial"/>
                <w:sz w:val="18"/>
                <w:szCs w:val="18"/>
              </w:rPr>
              <w:t xml:space="preserve">worse to </w:t>
            </w:r>
            <w:r w:rsidRPr="004D3E32">
              <w:rPr>
                <w:rFonts w:ascii="Arial" w:hAnsi="Arial"/>
                <w:sz w:val="18"/>
                <w:szCs w:val="18"/>
              </w:rPr>
              <w:t>MDA/HDA</w:t>
            </w:r>
          </w:p>
        </w:tc>
        <w:tc>
          <w:tcPr>
            <w:tcW w:w="0" w:type="auto"/>
            <w:tcBorders>
              <w:top w:val="single" w:sz="6" w:space="0" w:color="auto"/>
              <w:bottom w:val="single" w:sz="6" w:space="0" w:color="auto"/>
            </w:tcBorders>
            <w:vAlign w:val="center"/>
            <w:hideMark/>
          </w:tcPr>
          <w:p w14:paraId="23FF58C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lastRenderedPageBreak/>
              <w:t xml:space="preserve">20% lose efficacy with switch; safety </w:t>
            </w:r>
            <w:proofErr w:type="gramStart"/>
            <w:r w:rsidRPr="004D3E32">
              <w:rPr>
                <w:rFonts w:ascii="Arial" w:hAnsi="Arial"/>
                <w:sz w:val="18"/>
                <w:szCs w:val="18"/>
              </w:rPr>
              <w:t>similar to</w:t>
            </w:r>
            <w:proofErr w:type="gramEnd"/>
            <w:r w:rsidRPr="004D3E32">
              <w:rPr>
                <w:rFonts w:ascii="Arial" w:hAnsi="Arial"/>
                <w:sz w:val="18"/>
                <w:szCs w:val="18"/>
              </w:rPr>
              <w:t xml:space="preserve"> other studies</w:t>
            </w:r>
          </w:p>
        </w:tc>
        <w:tc>
          <w:tcPr>
            <w:tcW w:w="0" w:type="auto"/>
            <w:tcBorders>
              <w:top w:val="single" w:sz="6" w:space="0" w:color="auto"/>
              <w:bottom w:val="single" w:sz="6" w:space="0" w:color="auto"/>
            </w:tcBorders>
            <w:vAlign w:val="center"/>
            <w:hideMark/>
          </w:tcPr>
          <w:p w14:paraId="15FE7509" w14:textId="073825C9"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Δ</w:t>
            </w:r>
            <w:r w:rsidR="003D3F1C" w:rsidRPr="004D3E32">
              <w:rPr>
                <w:rFonts w:ascii="Arial" w:hAnsi="Arial"/>
                <w:sz w:val="18"/>
                <w:szCs w:val="18"/>
              </w:rPr>
              <w:t xml:space="preserve"> </w:t>
            </w:r>
            <w:r w:rsidRPr="004D3E32">
              <w:rPr>
                <w:rFonts w:ascii="Arial" w:hAnsi="Arial"/>
                <w:sz w:val="18"/>
                <w:szCs w:val="18"/>
              </w:rPr>
              <w:t>DAS28 +0.02 (p&gt;</w:t>
            </w:r>
            <w:r w:rsidR="003D3F1C" w:rsidRPr="004D3E32">
              <w:rPr>
                <w:rFonts w:ascii="Arial" w:hAnsi="Arial"/>
                <w:sz w:val="18"/>
                <w:szCs w:val="18"/>
              </w:rPr>
              <w:t>0</w:t>
            </w:r>
            <w:r w:rsidRPr="004D3E32">
              <w:rPr>
                <w:rFonts w:ascii="Arial" w:hAnsi="Arial"/>
                <w:sz w:val="18"/>
                <w:szCs w:val="18"/>
              </w:rPr>
              <w:t>.05)</w:t>
            </w:r>
          </w:p>
        </w:tc>
      </w:tr>
      <w:tr w:rsidR="008460C9" w:rsidRPr="004D3E32" w14:paraId="0C7E56F1" w14:textId="77777777" w:rsidTr="008460C9">
        <w:tc>
          <w:tcPr>
            <w:tcW w:w="0" w:type="auto"/>
            <w:gridSpan w:val="6"/>
            <w:tcBorders>
              <w:top w:val="single" w:sz="6" w:space="0" w:color="auto"/>
            </w:tcBorders>
            <w:vAlign w:val="center"/>
          </w:tcPr>
          <w:p w14:paraId="033E6A3D" w14:textId="3B436604" w:rsidR="008460C9" w:rsidRPr="004D3E32" w:rsidRDefault="008460C9" w:rsidP="008460C9">
            <w:pPr>
              <w:spacing w:line="276" w:lineRule="auto"/>
              <w:rPr>
                <w:rFonts w:ascii="Arial" w:hAnsi="Arial"/>
                <w:sz w:val="18"/>
                <w:szCs w:val="18"/>
              </w:rPr>
            </w:pPr>
            <w:r w:rsidRPr="004D3E32">
              <w:rPr>
                <w:rFonts w:ascii="Arial" w:hAnsi="Arial"/>
                <w:b/>
                <w:bCs/>
                <w:sz w:val="18"/>
                <w:szCs w:val="18"/>
              </w:rPr>
              <w:t>DAS28 baseline-follow up, mean (SD)</w:t>
            </w:r>
          </w:p>
        </w:tc>
      </w:tr>
      <w:tr w:rsidR="001A200D" w:rsidRPr="004D3E32" w14:paraId="46945227" w14:textId="77777777" w:rsidTr="008460C9">
        <w:tc>
          <w:tcPr>
            <w:tcW w:w="0" w:type="auto"/>
            <w:vAlign w:val="center"/>
            <w:hideMark/>
          </w:tcPr>
          <w:p w14:paraId="725EBCBC" w14:textId="23AD8830" w:rsidR="0040239B" w:rsidRPr="004D3E32" w:rsidRDefault="008460C9" w:rsidP="00C65AD7">
            <w:pPr>
              <w:spacing w:line="276" w:lineRule="auto"/>
              <w:jc w:val="center"/>
              <w:rPr>
                <w:rFonts w:ascii="Arial" w:hAnsi="Arial"/>
                <w:sz w:val="18"/>
                <w:szCs w:val="18"/>
              </w:rPr>
            </w:pPr>
            <w:r w:rsidRPr="004D3E32">
              <w:rPr>
                <w:rFonts w:ascii="Arial" w:hAnsi="Arial"/>
                <w:b/>
                <w:bCs/>
                <w:sz w:val="18"/>
                <w:szCs w:val="18"/>
              </w:rPr>
              <w:t>IV-to-SC</w:t>
            </w:r>
          </w:p>
        </w:tc>
        <w:tc>
          <w:tcPr>
            <w:tcW w:w="0" w:type="auto"/>
            <w:tcBorders>
              <w:bottom w:val="single" w:sz="6" w:space="0" w:color="auto"/>
            </w:tcBorders>
            <w:vAlign w:val="center"/>
            <w:hideMark/>
          </w:tcPr>
          <w:p w14:paraId="377B7594" w14:textId="14BE931A"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2.2 (1.3) - 2.1 (1.2)</w:t>
            </w:r>
          </w:p>
        </w:tc>
        <w:tc>
          <w:tcPr>
            <w:tcW w:w="0" w:type="auto"/>
            <w:tcBorders>
              <w:bottom w:val="single" w:sz="6" w:space="0" w:color="auto"/>
            </w:tcBorders>
            <w:vAlign w:val="center"/>
            <w:hideMark/>
          </w:tcPr>
          <w:p w14:paraId="165A7D38" w14:textId="146E756D"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2.3 (1.1) - 2.1 (</w:t>
            </w:r>
            <w:r w:rsidR="003D3F1C" w:rsidRPr="004D3E32">
              <w:rPr>
                <w:rFonts w:ascii="Arial" w:hAnsi="Arial"/>
                <w:sz w:val="18"/>
                <w:szCs w:val="18"/>
              </w:rPr>
              <w:t>nr</w:t>
            </w:r>
            <w:r w:rsidRPr="004D3E32">
              <w:rPr>
                <w:rFonts w:ascii="Arial" w:hAnsi="Arial"/>
                <w:sz w:val="18"/>
                <w:szCs w:val="18"/>
              </w:rPr>
              <w:t>)</w:t>
            </w:r>
          </w:p>
        </w:tc>
        <w:tc>
          <w:tcPr>
            <w:tcW w:w="0" w:type="auto"/>
            <w:tcBorders>
              <w:bottom w:val="single" w:sz="6" w:space="0" w:color="auto"/>
            </w:tcBorders>
            <w:vAlign w:val="center"/>
            <w:hideMark/>
          </w:tcPr>
          <w:p w14:paraId="288287A4"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6.2 (0.9) - 2.6 (1.2)</w:t>
            </w:r>
          </w:p>
        </w:tc>
        <w:tc>
          <w:tcPr>
            <w:tcW w:w="0" w:type="auto"/>
            <w:tcBorders>
              <w:bottom w:val="single" w:sz="6" w:space="0" w:color="auto"/>
            </w:tcBorders>
            <w:vAlign w:val="center"/>
            <w:hideMark/>
          </w:tcPr>
          <w:p w14:paraId="329A5E32" w14:textId="5E0FE5B0"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bottom w:val="single" w:sz="6" w:space="0" w:color="auto"/>
            </w:tcBorders>
            <w:vAlign w:val="center"/>
            <w:hideMark/>
          </w:tcPr>
          <w:p w14:paraId="671C5FCE"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2.44 - 2.46</w:t>
            </w:r>
          </w:p>
        </w:tc>
      </w:tr>
      <w:tr w:rsidR="001A200D" w:rsidRPr="004D3E32" w14:paraId="64621A87" w14:textId="77777777" w:rsidTr="008460C9">
        <w:tc>
          <w:tcPr>
            <w:tcW w:w="0" w:type="auto"/>
            <w:tcBorders>
              <w:bottom w:val="single" w:sz="6" w:space="0" w:color="auto"/>
            </w:tcBorders>
            <w:vAlign w:val="center"/>
            <w:hideMark/>
          </w:tcPr>
          <w:p w14:paraId="432086B9" w14:textId="0803B44D" w:rsidR="0040239B" w:rsidRPr="004D3E32" w:rsidRDefault="003D3F1C" w:rsidP="00C65AD7">
            <w:pPr>
              <w:spacing w:line="276" w:lineRule="auto"/>
              <w:jc w:val="center"/>
              <w:rPr>
                <w:rFonts w:ascii="Arial" w:hAnsi="Arial"/>
                <w:b/>
                <w:bCs/>
                <w:sz w:val="18"/>
                <w:szCs w:val="18"/>
              </w:rPr>
            </w:pPr>
            <w:proofErr w:type="gramStart"/>
            <w:r w:rsidRPr="004D3E32">
              <w:rPr>
                <w:rFonts w:ascii="Arial" w:hAnsi="Arial"/>
                <w:b/>
                <w:bCs/>
                <w:sz w:val="18"/>
                <w:szCs w:val="18"/>
              </w:rPr>
              <w:t>Other</w:t>
            </w:r>
            <w:proofErr w:type="gramEnd"/>
            <w:r w:rsidRPr="004D3E32">
              <w:rPr>
                <w:rFonts w:ascii="Arial" w:hAnsi="Arial"/>
                <w:b/>
                <w:bCs/>
                <w:sz w:val="18"/>
                <w:szCs w:val="18"/>
              </w:rPr>
              <w:t xml:space="preserve"> group</w:t>
            </w:r>
          </w:p>
        </w:tc>
        <w:tc>
          <w:tcPr>
            <w:tcW w:w="0" w:type="auto"/>
            <w:tcBorders>
              <w:top w:val="single" w:sz="6" w:space="0" w:color="auto"/>
              <w:bottom w:val="single" w:sz="6" w:space="0" w:color="auto"/>
            </w:tcBorders>
            <w:vAlign w:val="center"/>
            <w:hideMark/>
          </w:tcPr>
          <w:p w14:paraId="51DD37E7" w14:textId="3E073379"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2EB68ACF" w14:textId="298C7BD8"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2BF804A3"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6.1 (0.9) - 2.6 (1.4)</w:t>
            </w:r>
          </w:p>
        </w:tc>
        <w:tc>
          <w:tcPr>
            <w:tcW w:w="0" w:type="auto"/>
            <w:tcBorders>
              <w:top w:val="single" w:sz="6" w:space="0" w:color="auto"/>
              <w:bottom w:val="single" w:sz="6" w:space="0" w:color="auto"/>
            </w:tcBorders>
            <w:vAlign w:val="center"/>
            <w:hideMark/>
          </w:tcPr>
          <w:p w14:paraId="64D6A818" w14:textId="5AF4603C"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19FB9A7B" w14:textId="69C81DD7"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np</w:t>
            </w:r>
          </w:p>
        </w:tc>
      </w:tr>
      <w:tr w:rsidR="001A200D" w:rsidRPr="004D3E32" w14:paraId="6BE8E661" w14:textId="77777777" w:rsidTr="008460C9">
        <w:tc>
          <w:tcPr>
            <w:tcW w:w="0" w:type="auto"/>
            <w:tcBorders>
              <w:top w:val="single" w:sz="6" w:space="0" w:color="auto"/>
              <w:bottom w:val="single" w:sz="6" w:space="0" w:color="auto"/>
            </w:tcBorders>
            <w:vAlign w:val="center"/>
            <w:hideMark/>
          </w:tcPr>
          <w:p w14:paraId="22A08F93" w14:textId="4A18E4A6"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Patients </w:t>
            </w:r>
            <w:r w:rsidR="003D3F1C" w:rsidRPr="004D3E32">
              <w:rPr>
                <w:rFonts w:ascii="Arial" w:hAnsi="Arial"/>
                <w:b/>
                <w:bCs/>
                <w:sz w:val="18"/>
                <w:szCs w:val="18"/>
              </w:rPr>
              <w:t>w</w:t>
            </w:r>
            <w:r w:rsidRPr="004D3E32">
              <w:rPr>
                <w:rFonts w:ascii="Arial" w:hAnsi="Arial"/>
                <w:b/>
                <w:bCs/>
                <w:sz w:val="18"/>
                <w:szCs w:val="18"/>
              </w:rPr>
              <w:t xml:space="preserve">ho </w:t>
            </w:r>
            <w:r w:rsidR="003D3F1C" w:rsidRPr="004D3E32">
              <w:rPr>
                <w:rFonts w:ascii="Arial" w:hAnsi="Arial"/>
                <w:b/>
                <w:bCs/>
                <w:sz w:val="18"/>
                <w:szCs w:val="18"/>
              </w:rPr>
              <w:t>s</w:t>
            </w:r>
            <w:r w:rsidRPr="004D3E32">
              <w:rPr>
                <w:rFonts w:ascii="Arial" w:hAnsi="Arial"/>
                <w:b/>
                <w:bCs/>
                <w:sz w:val="18"/>
                <w:szCs w:val="18"/>
              </w:rPr>
              <w:t xml:space="preserve">uccessfully </w:t>
            </w:r>
            <w:r w:rsidR="003D3F1C" w:rsidRPr="004D3E32">
              <w:rPr>
                <w:rFonts w:ascii="Arial" w:hAnsi="Arial"/>
                <w:b/>
                <w:bCs/>
                <w:sz w:val="18"/>
                <w:szCs w:val="18"/>
              </w:rPr>
              <w:t>r</w:t>
            </w:r>
            <w:r w:rsidRPr="004D3E32">
              <w:rPr>
                <w:rFonts w:ascii="Arial" w:hAnsi="Arial"/>
                <w:b/>
                <w:bCs/>
                <w:sz w:val="18"/>
                <w:szCs w:val="18"/>
              </w:rPr>
              <w:t>eturned to SC-TCZ, n (%)</w:t>
            </w:r>
          </w:p>
        </w:tc>
        <w:tc>
          <w:tcPr>
            <w:tcW w:w="0" w:type="auto"/>
            <w:tcBorders>
              <w:top w:val="single" w:sz="6" w:space="0" w:color="auto"/>
              <w:bottom w:val="single" w:sz="6" w:space="0" w:color="auto"/>
            </w:tcBorders>
            <w:vAlign w:val="center"/>
            <w:hideMark/>
          </w:tcPr>
          <w:p w14:paraId="04B0CEC7" w14:textId="09B7DBD9"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0DF949A4" w14:textId="4DD6F69E"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c>
          <w:tcPr>
            <w:tcW w:w="0" w:type="auto"/>
            <w:tcBorders>
              <w:top w:val="single" w:sz="6" w:space="0" w:color="auto"/>
              <w:bottom w:val="single" w:sz="6" w:space="0" w:color="auto"/>
            </w:tcBorders>
            <w:vAlign w:val="center"/>
            <w:hideMark/>
          </w:tcPr>
          <w:p w14:paraId="2F8AC589" w14:textId="75C30716"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79C8F20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4/5 (80.0%)</w:t>
            </w:r>
          </w:p>
        </w:tc>
        <w:tc>
          <w:tcPr>
            <w:tcW w:w="0" w:type="auto"/>
            <w:tcBorders>
              <w:top w:val="single" w:sz="6" w:space="0" w:color="auto"/>
              <w:bottom w:val="single" w:sz="6" w:space="0" w:color="auto"/>
            </w:tcBorders>
            <w:vAlign w:val="center"/>
            <w:hideMark/>
          </w:tcPr>
          <w:p w14:paraId="2CF91D61" w14:textId="31B905A3" w:rsidR="0040239B" w:rsidRPr="004D3E32" w:rsidRDefault="003D3F1C" w:rsidP="00C65AD7">
            <w:pPr>
              <w:spacing w:line="276" w:lineRule="auto"/>
              <w:jc w:val="center"/>
              <w:rPr>
                <w:rFonts w:ascii="Arial" w:hAnsi="Arial"/>
                <w:sz w:val="18"/>
                <w:szCs w:val="18"/>
              </w:rPr>
            </w:pPr>
            <w:r w:rsidRPr="004D3E32">
              <w:rPr>
                <w:rFonts w:ascii="Arial" w:hAnsi="Arial"/>
                <w:sz w:val="18"/>
                <w:szCs w:val="18"/>
              </w:rPr>
              <w:t>nr</w:t>
            </w:r>
          </w:p>
        </w:tc>
      </w:tr>
      <w:tr w:rsidR="001A200D" w:rsidRPr="004D3E32" w14:paraId="09515099" w14:textId="77777777" w:rsidTr="008460C9">
        <w:tc>
          <w:tcPr>
            <w:tcW w:w="0" w:type="auto"/>
            <w:tcBorders>
              <w:top w:val="single" w:sz="6" w:space="0" w:color="auto"/>
              <w:bottom w:val="single" w:sz="6" w:space="0" w:color="auto"/>
            </w:tcBorders>
            <w:vAlign w:val="center"/>
            <w:hideMark/>
          </w:tcPr>
          <w:p w14:paraId="60DB16C4" w14:textId="28347FEF"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Factors </w:t>
            </w:r>
            <w:r w:rsidR="001A200D" w:rsidRPr="004D3E32">
              <w:rPr>
                <w:rFonts w:ascii="Arial" w:hAnsi="Arial"/>
                <w:b/>
                <w:bCs/>
                <w:sz w:val="18"/>
                <w:szCs w:val="18"/>
              </w:rPr>
              <w:t>s</w:t>
            </w:r>
            <w:r w:rsidRPr="004D3E32">
              <w:rPr>
                <w:rFonts w:ascii="Arial" w:hAnsi="Arial"/>
                <w:b/>
                <w:bCs/>
                <w:sz w:val="18"/>
                <w:szCs w:val="18"/>
              </w:rPr>
              <w:t xml:space="preserve">ignificantly </w:t>
            </w:r>
            <w:r w:rsidR="001A200D" w:rsidRPr="004D3E32">
              <w:rPr>
                <w:rFonts w:ascii="Arial" w:hAnsi="Arial"/>
                <w:b/>
                <w:bCs/>
                <w:sz w:val="18"/>
                <w:szCs w:val="18"/>
              </w:rPr>
              <w:t>a</w:t>
            </w:r>
            <w:r w:rsidRPr="004D3E32">
              <w:rPr>
                <w:rFonts w:ascii="Arial" w:hAnsi="Arial"/>
                <w:b/>
                <w:bCs/>
                <w:sz w:val="18"/>
                <w:szCs w:val="18"/>
              </w:rPr>
              <w:t xml:space="preserve">ssociated with </w:t>
            </w:r>
            <w:r w:rsidR="001A200D" w:rsidRPr="004D3E32">
              <w:rPr>
                <w:rFonts w:ascii="Arial" w:hAnsi="Arial"/>
                <w:b/>
                <w:bCs/>
                <w:sz w:val="18"/>
                <w:szCs w:val="18"/>
              </w:rPr>
              <w:t>p</w:t>
            </w:r>
            <w:r w:rsidRPr="004D3E32">
              <w:rPr>
                <w:rFonts w:ascii="Arial" w:hAnsi="Arial"/>
                <w:b/>
                <w:bCs/>
                <w:sz w:val="18"/>
                <w:szCs w:val="18"/>
              </w:rPr>
              <w:t xml:space="preserve">rimary </w:t>
            </w:r>
            <w:r w:rsidR="001A200D" w:rsidRPr="004D3E32">
              <w:rPr>
                <w:rFonts w:ascii="Arial" w:hAnsi="Arial"/>
                <w:b/>
                <w:bCs/>
                <w:sz w:val="18"/>
                <w:szCs w:val="18"/>
              </w:rPr>
              <w:t>o</w:t>
            </w:r>
            <w:r w:rsidRPr="004D3E32">
              <w:rPr>
                <w:rFonts w:ascii="Arial" w:hAnsi="Arial"/>
                <w:b/>
                <w:bCs/>
                <w:sz w:val="18"/>
                <w:szCs w:val="18"/>
              </w:rPr>
              <w:t>utcome</w:t>
            </w:r>
          </w:p>
        </w:tc>
        <w:tc>
          <w:tcPr>
            <w:tcW w:w="0" w:type="auto"/>
            <w:tcBorders>
              <w:top w:val="single" w:sz="6" w:space="0" w:color="auto"/>
              <w:bottom w:val="single" w:sz="6" w:space="0" w:color="auto"/>
            </w:tcBorders>
            <w:vAlign w:val="center"/>
            <w:hideMark/>
          </w:tcPr>
          <w:p w14:paraId="50053D09"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7403685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41C5FAC4"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Weight &gt;70 kg: reduction in TCZ trough concentration in IV-to-SC patients</w:t>
            </w:r>
          </w:p>
        </w:tc>
        <w:tc>
          <w:tcPr>
            <w:tcW w:w="0" w:type="auto"/>
            <w:tcBorders>
              <w:top w:val="single" w:sz="6" w:space="0" w:color="auto"/>
              <w:bottom w:val="single" w:sz="6" w:space="0" w:color="auto"/>
            </w:tcBorders>
            <w:vAlign w:val="center"/>
            <w:hideMark/>
          </w:tcPr>
          <w:p w14:paraId="6331F71C" w14:textId="64B95C32" w:rsidR="0040239B" w:rsidRPr="004D3E32" w:rsidRDefault="001A200D"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0EE1D91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r>
      <w:tr w:rsidR="001A200D" w:rsidRPr="004D3E32" w14:paraId="4672CA96" w14:textId="77777777" w:rsidTr="008460C9">
        <w:tc>
          <w:tcPr>
            <w:tcW w:w="0" w:type="auto"/>
            <w:tcBorders>
              <w:top w:val="single" w:sz="6" w:space="0" w:color="auto"/>
              <w:bottom w:val="single" w:sz="6" w:space="0" w:color="auto"/>
            </w:tcBorders>
            <w:vAlign w:val="center"/>
            <w:hideMark/>
          </w:tcPr>
          <w:p w14:paraId="0F8DB4E2" w14:textId="09703DB5"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Other </w:t>
            </w:r>
            <w:r w:rsidR="001A200D" w:rsidRPr="004D3E32">
              <w:rPr>
                <w:rFonts w:ascii="Arial" w:hAnsi="Arial"/>
                <w:b/>
                <w:bCs/>
                <w:sz w:val="18"/>
                <w:szCs w:val="18"/>
              </w:rPr>
              <w:t>s</w:t>
            </w:r>
            <w:r w:rsidRPr="004D3E32">
              <w:rPr>
                <w:rFonts w:ascii="Arial" w:hAnsi="Arial"/>
                <w:b/>
                <w:bCs/>
                <w:sz w:val="18"/>
                <w:szCs w:val="18"/>
              </w:rPr>
              <w:t xml:space="preserve">ignificant </w:t>
            </w:r>
            <w:r w:rsidR="001A200D" w:rsidRPr="004D3E32">
              <w:rPr>
                <w:rFonts w:ascii="Arial" w:hAnsi="Arial"/>
                <w:b/>
                <w:bCs/>
                <w:sz w:val="18"/>
                <w:szCs w:val="18"/>
              </w:rPr>
              <w:t>o</w:t>
            </w:r>
            <w:r w:rsidRPr="004D3E32">
              <w:rPr>
                <w:rFonts w:ascii="Arial" w:hAnsi="Arial"/>
                <w:b/>
                <w:bCs/>
                <w:sz w:val="18"/>
                <w:szCs w:val="18"/>
              </w:rPr>
              <w:t>utcomes</w:t>
            </w:r>
          </w:p>
        </w:tc>
        <w:tc>
          <w:tcPr>
            <w:tcW w:w="0" w:type="auto"/>
            <w:tcBorders>
              <w:top w:val="single" w:sz="6" w:space="0" w:color="auto"/>
              <w:bottom w:val="single" w:sz="6" w:space="0" w:color="auto"/>
            </w:tcBorders>
            <w:vAlign w:val="center"/>
            <w:hideMark/>
          </w:tcPr>
          <w:p w14:paraId="4A60F786"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No</w:t>
            </w:r>
          </w:p>
        </w:tc>
        <w:tc>
          <w:tcPr>
            <w:tcW w:w="0" w:type="auto"/>
            <w:tcBorders>
              <w:top w:val="single" w:sz="6" w:space="0" w:color="auto"/>
              <w:bottom w:val="single" w:sz="6" w:space="0" w:color="auto"/>
            </w:tcBorders>
            <w:vAlign w:val="center"/>
            <w:hideMark/>
          </w:tcPr>
          <w:p w14:paraId="0504BD14" w14:textId="31FBF796"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Improvement in Δ</w:t>
            </w:r>
            <w:r w:rsidR="001A200D" w:rsidRPr="004D3E32">
              <w:rPr>
                <w:rFonts w:ascii="Arial" w:hAnsi="Arial"/>
                <w:sz w:val="18"/>
                <w:szCs w:val="18"/>
              </w:rPr>
              <w:t xml:space="preserve"> </w:t>
            </w:r>
            <w:r w:rsidRPr="004D3E32">
              <w:rPr>
                <w:rFonts w:ascii="Arial" w:hAnsi="Arial"/>
                <w:sz w:val="18"/>
                <w:szCs w:val="18"/>
              </w:rPr>
              <w:t>DAS28 in lighter groups vs worsening in heavier groups (p &gt; .05)</w:t>
            </w:r>
          </w:p>
        </w:tc>
        <w:tc>
          <w:tcPr>
            <w:tcW w:w="0" w:type="auto"/>
            <w:tcBorders>
              <w:top w:val="single" w:sz="6" w:space="0" w:color="auto"/>
              <w:bottom w:val="single" w:sz="6" w:space="0" w:color="auto"/>
            </w:tcBorders>
            <w:vAlign w:val="center"/>
            <w:hideMark/>
          </w:tcPr>
          <w:p w14:paraId="21D6633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Patients &gt;70 kg in clinical remission move from 8/11 to 3/11; in BMI &gt;25 kg/m² group, from 66.7% (14/21) to 42.9% (9/21)</w:t>
            </w:r>
          </w:p>
        </w:tc>
        <w:tc>
          <w:tcPr>
            <w:tcW w:w="0" w:type="auto"/>
            <w:tcBorders>
              <w:top w:val="single" w:sz="6" w:space="0" w:color="auto"/>
              <w:bottom w:val="single" w:sz="6" w:space="0" w:color="auto"/>
            </w:tcBorders>
            <w:vAlign w:val="center"/>
            <w:hideMark/>
          </w:tcPr>
          <w:p w14:paraId="38A9CCC3" w14:textId="094CD42F" w:rsidR="0040239B" w:rsidRPr="004D3E32" w:rsidRDefault="001A200D" w:rsidP="00C65AD7">
            <w:pPr>
              <w:spacing w:line="276" w:lineRule="auto"/>
              <w:jc w:val="center"/>
              <w:rPr>
                <w:rFonts w:ascii="Arial" w:hAnsi="Arial"/>
                <w:sz w:val="18"/>
                <w:szCs w:val="18"/>
              </w:rPr>
            </w:pPr>
            <w:r w:rsidRPr="004D3E32">
              <w:rPr>
                <w:rFonts w:ascii="Arial" w:hAnsi="Arial"/>
                <w:sz w:val="18"/>
                <w:szCs w:val="18"/>
              </w:rPr>
              <w:t>np</w:t>
            </w:r>
          </w:p>
        </w:tc>
        <w:tc>
          <w:tcPr>
            <w:tcW w:w="0" w:type="auto"/>
            <w:tcBorders>
              <w:top w:val="single" w:sz="6" w:space="0" w:color="auto"/>
              <w:bottom w:val="single" w:sz="6" w:space="0" w:color="auto"/>
            </w:tcBorders>
            <w:vAlign w:val="center"/>
            <w:hideMark/>
          </w:tcPr>
          <w:p w14:paraId="6521381E" w14:textId="09FF106F"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CDAI from 7.51 to 5.06 (p&lt;</w:t>
            </w:r>
            <w:r w:rsidR="001A200D" w:rsidRPr="004D3E32">
              <w:rPr>
                <w:rFonts w:ascii="Arial" w:hAnsi="Arial"/>
                <w:sz w:val="18"/>
                <w:szCs w:val="18"/>
              </w:rPr>
              <w:t>0</w:t>
            </w:r>
            <w:r w:rsidRPr="004D3E32">
              <w:rPr>
                <w:rFonts w:ascii="Arial" w:hAnsi="Arial"/>
                <w:sz w:val="18"/>
                <w:szCs w:val="18"/>
              </w:rPr>
              <w:t>.05)</w:t>
            </w:r>
          </w:p>
        </w:tc>
      </w:tr>
      <w:tr w:rsidR="001A200D" w:rsidRPr="004D3E32" w14:paraId="54CF5AA8" w14:textId="77777777" w:rsidTr="008460C9">
        <w:tc>
          <w:tcPr>
            <w:tcW w:w="0" w:type="auto"/>
            <w:tcBorders>
              <w:top w:val="single" w:sz="6" w:space="0" w:color="auto"/>
              <w:bottom w:val="single" w:sz="6" w:space="0" w:color="auto"/>
            </w:tcBorders>
            <w:vAlign w:val="center"/>
            <w:hideMark/>
          </w:tcPr>
          <w:p w14:paraId="3CD2C7B7" w14:textId="38C13FBB"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 xml:space="preserve">SC-TCZ </w:t>
            </w:r>
            <w:r w:rsidR="001A200D" w:rsidRPr="004D3E32">
              <w:rPr>
                <w:rFonts w:ascii="Arial" w:hAnsi="Arial"/>
                <w:b/>
                <w:bCs/>
                <w:sz w:val="18"/>
                <w:szCs w:val="18"/>
              </w:rPr>
              <w:t>maintenance or r</w:t>
            </w:r>
            <w:r w:rsidRPr="004D3E32">
              <w:rPr>
                <w:rFonts w:ascii="Arial" w:hAnsi="Arial"/>
                <w:b/>
                <w:bCs/>
                <w:sz w:val="18"/>
                <w:szCs w:val="18"/>
              </w:rPr>
              <w:t xml:space="preserve">etention </w:t>
            </w:r>
            <w:r w:rsidR="001A200D" w:rsidRPr="004D3E32">
              <w:rPr>
                <w:rFonts w:ascii="Arial" w:hAnsi="Arial"/>
                <w:b/>
                <w:bCs/>
                <w:sz w:val="18"/>
                <w:szCs w:val="18"/>
              </w:rPr>
              <w:t>r</w:t>
            </w:r>
            <w:r w:rsidRPr="004D3E32">
              <w:rPr>
                <w:rFonts w:ascii="Arial" w:hAnsi="Arial"/>
                <w:b/>
                <w:bCs/>
                <w:sz w:val="18"/>
                <w:szCs w:val="18"/>
              </w:rPr>
              <w:t>ate</w:t>
            </w:r>
          </w:p>
        </w:tc>
        <w:tc>
          <w:tcPr>
            <w:tcW w:w="0" w:type="auto"/>
            <w:tcBorders>
              <w:top w:val="single" w:sz="6" w:space="0" w:color="auto"/>
              <w:bottom w:val="single" w:sz="6" w:space="0" w:color="auto"/>
            </w:tcBorders>
            <w:vAlign w:val="center"/>
            <w:hideMark/>
          </w:tcPr>
          <w:p w14:paraId="7D448E8B"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84.2%</w:t>
            </w:r>
          </w:p>
        </w:tc>
        <w:tc>
          <w:tcPr>
            <w:tcW w:w="0" w:type="auto"/>
            <w:tcBorders>
              <w:top w:val="single" w:sz="6" w:space="0" w:color="auto"/>
              <w:bottom w:val="single" w:sz="6" w:space="0" w:color="auto"/>
            </w:tcBorders>
            <w:vAlign w:val="center"/>
            <w:hideMark/>
          </w:tcPr>
          <w:p w14:paraId="4A1D6D3F"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96.55%</w:t>
            </w:r>
          </w:p>
        </w:tc>
        <w:tc>
          <w:tcPr>
            <w:tcW w:w="0" w:type="auto"/>
            <w:tcBorders>
              <w:top w:val="single" w:sz="6" w:space="0" w:color="auto"/>
              <w:bottom w:val="single" w:sz="6" w:space="0" w:color="auto"/>
            </w:tcBorders>
            <w:vAlign w:val="center"/>
            <w:hideMark/>
          </w:tcPr>
          <w:p w14:paraId="65F4E260"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98.8%</w:t>
            </w:r>
          </w:p>
        </w:tc>
        <w:tc>
          <w:tcPr>
            <w:tcW w:w="0" w:type="auto"/>
            <w:tcBorders>
              <w:top w:val="single" w:sz="6" w:space="0" w:color="auto"/>
              <w:bottom w:val="single" w:sz="6" w:space="0" w:color="auto"/>
            </w:tcBorders>
            <w:vAlign w:val="center"/>
            <w:hideMark/>
          </w:tcPr>
          <w:p w14:paraId="7E9D6A9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83.3%</w:t>
            </w:r>
          </w:p>
        </w:tc>
        <w:tc>
          <w:tcPr>
            <w:tcW w:w="0" w:type="auto"/>
            <w:tcBorders>
              <w:top w:val="single" w:sz="6" w:space="0" w:color="auto"/>
              <w:bottom w:val="single" w:sz="6" w:space="0" w:color="auto"/>
            </w:tcBorders>
            <w:vAlign w:val="center"/>
            <w:hideMark/>
          </w:tcPr>
          <w:p w14:paraId="780E39E1"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100%</w:t>
            </w:r>
          </w:p>
        </w:tc>
      </w:tr>
      <w:tr w:rsidR="001A200D" w:rsidRPr="004D3E32" w14:paraId="44C92530" w14:textId="77777777" w:rsidTr="008460C9">
        <w:tc>
          <w:tcPr>
            <w:tcW w:w="0" w:type="auto"/>
            <w:tcBorders>
              <w:top w:val="single" w:sz="6" w:space="0" w:color="auto"/>
              <w:bottom w:val="single" w:sz="6" w:space="0" w:color="auto"/>
            </w:tcBorders>
            <w:vAlign w:val="center"/>
            <w:hideMark/>
          </w:tcPr>
          <w:p w14:paraId="31D5CADB" w14:textId="77777777"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Incidence of AEs [SAEs]</w:t>
            </w:r>
          </w:p>
        </w:tc>
        <w:tc>
          <w:tcPr>
            <w:tcW w:w="0" w:type="auto"/>
            <w:tcBorders>
              <w:top w:val="single" w:sz="6" w:space="0" w:color="auto"/>
              <w:bottom w:val="single" w:sz="6" w:space="0" w:color="auto"/>
            </w:tcBorders>
            <w:vAlign w:val="center"/>
            <w:hideMark/>
          </w:tcPr>
          <w:p w14:paraId="71D3F5A5" w14:textId="7EE8AB15" w:rsidR="0040239B" w:rsidRPr="004D3E32" w:rsidRDefault="001A200D" w:rsidP="00C65AD7">
            <w:pPr>
              <w:spacing w:line="276" w:lineRule="auto"/>
              <w:jc w:val="center"/>
              <w:rPr>
                <w:rFonts w:ascii="Arial" w:hAnsi="Arial"/>
                <w:sz w:val="18"/>
                <w:szCs w:val="18"/>
              </w:rPr>
            </w:pPr>
            <w:proofErr w:type="gramStart"/>
            <w:r w:rsidRPr="004D3E32">
              <w:rPr>
                <w:rFonts w:ascii="Arial" w:hAnsi="Arial"/>
                <w:sz w:val="18"/>
                <w:szCs w:val="18"/>
              </w:rPr>
              <w:t>See</w:t>
            </w:r>
            <w:proofErr w:type="gramEnd"/>
            <w:r w:rsidR="0040239B" w:rsidRPr="004D3E32">
              <w:rPr>
                <w:rFonts w:ascii="Arial" w:hAnsi="Arial"/>
                <w:sz w:val="18"/>
                <w:szCs w:val="18"/>
              </w:rPr>
              <w:t xml:space="preserve"> primary outcome</w:t>
            </w:r>
          </w:p>
        </w:tc>
        <w:tc>
          <w:tcPr>
            <w:tcW w:w="0" w:type="auto"/>
            <w:tcBorders>
              <w:top w:val="single" w:sz="6" w:space="0" w:color="auto"/>
              <w:bottom w:val="single" w:sz="6" w:space="0" w:color="auto"/>
            </w:tcBorders>
            <w:vAlign w:val="center"/>
            <w:hideMark/>
          </w:tcPr>
          <w:p w14:paraId="6B839CB8"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1.7%</w:t>
            </w:r>
          </w:p>
        </w:tc>
        <w:tc>
          <w:tcPr>
            <w:tcW w:w="0" w:type="auto"/>
            <w:tcBorders>
              <w:top w:val="single" w:sz="6" w:space="0" w:color="auto"/>
              <w:bottom w:val="single" w:sz="6" w:space="0" w:color="auto"/>
            </w:tcBorders>
            <w:vAlign w:val="center"/>
            <w:hideMark/>
          </w:tcPr>
          <w:p w14:paraId="332040B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95/160 (59.4%) [7/160 (4.4%)]</w:t>
            </w:r>
          </w:p>
        </w:tc>
        <w:tc>
          <w:tcPr>
            <w:tcW w:w="0" w:type="auto"/>
            <w:tcBorders>
              <w:top w:val="single" w:sz="6" w:space="0" w:color="auto"/>
              <w:bottom w:val="single" w:sz="6" w:space="0" w:color="auto"/>
            </w:tcBorders>
            <w:vAlign w:val="center"/>
            <w:hideMark/>
          </w:tcPr>
          <w:p w14:paraId="775EBE42"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2/32, 6.25% (not specifying how many of the 2 were JIA)</w:t>
            </w:r>
          </w:p>
        </w:tc>
        <w:tc>
          <w:tcPr>
            <w:tcW w:w="0" w:type="auto"/>
            <w:tcBorders>
              <w:top w:val="single" w:sz="6" w:space="0" w:color="auto"/>
              <w:bottom w:val="single" w:sz="6" w:space="0" w:color="auto"/>
            </w:tcBorders>
            <w:vAlign w:val="center"/>
            <w:hideMark/>
          </w:tcPr>
          <w:p w14:paraId="08B5E2C4" w14:textId="6CD006F4"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w:t>
            </w:r>
            <w:r w:rsidR="001A200D" w:rsidRPr="004D3E32">
              <w:rPr>
                <w:rFonts w:ascii="Arial" w:hAnsi="Arial"/>
                <w:sz w:val="18"/>
                <w:szCs w:val="18"/>
              </w:rPr>
              <w:t>[…] no ADR which would cause TCZ withdrawal</w:t>
            </w:r>
            <w:r w:rsidRPr="004D3E32">
              <w:rPr>
                <w:rFonts w:ascii="Arial" w:hAnsi="Arial"/>
                <w:sz w:val="18"/>
                <w:szCs w:val="18"/>
              </w:rPr>
              <w:t>"</w:t>
            </w:r>
          </w:p>
        </w:tc>
      </w:tr>
      <w:tr w:rsidR="001A200D" w:rsidRPr="004D3E32" w14:paraId="7CBBD4E2" w14:textId="77777777" w:rsidTr="00734B24">
        <w:tc>
          <w:tcPr>
            <w:tcW w:w="0" w:type="auto"/>
            <w:tcBorders>
              <w:top w:val="single" w:sz="6" w:space="0" w:color="auto"/>
              <w:bottom w:val="single" w:sz="6" w:space="0" w:color="auto"/>
            </w:tcBorders>
            <w:vAlign w:val="center"/>
            <w:hideMark/>
          </w:tcPr>
          <w:p w14:paraId="73A46DD0" w14:textId="44F73744" w:rsidR="0040239B" w:rsidRPr="004D3E32" w:rsidRDefault="0040239B" w:rsidP="00C65AD7">
            <w:pPr>
              <w:spacing w:line="276" w:lineRule="auto"/>
              <w:jc w:val="center"/>
              <w:rPr>
                <w:rFonts w:ascii="Arial" w:hAnsi="Arial"/>
                <w:sz w:val="18"/>
                <w:szCs w:val="18"/>
              </w:rPr>
            </w:pPr>
            <w:r w:rsidRPr="004D3E32">
              <w:rPr>
                <w:rFonts w:ascii="Arial" w:hAnsi="Arial"/>
                <w:b/>
                <w:bCs/>
                <w:sz w:val="18"/>
                <w:szCs w:val="18"/>
              </w:rPr>
              <w:t>Reason</w:t>
            </w:r>
            <w:r w:rsidR="00893FCF" w:rsidRPr="004D3E32">
              <w:rPr>
                <w:rFonts w:ascii="Arial" w:hAnsi="Arial"/>
                <w:b/>
                <w:bCs/>
                <w:sz w:val="18"/>
                <w:szCs w:val="18"/>
              </w:rPr>
              <w:t>s</w:t>
            </w:r>
            <w:r w:rsidRPr="004D3E32">
              <w:rPr>
                <w:rFonts w:ascii="Arial" w:hAnsi="Arial"/>
                <w:b/>
                <w:bCs/>
                <w:sz w:val="18"/>
                <w:szCs w:val="18"/>
              </w:rPr>
              <w:t xml:space="preserve"> for </w:t>
            </w:r>
            <w:r w:rsidR="001A200D" w:rsidRPr="004D3E32">
              <w:rPr>
                <w:rFonts w:ascii="Arial" w:hAnsi="Arial"/>
                <w:b/>
                <w:bCs/>
                <w:sz w:val="18"/>
                <w:szCs w:val="18"/>
              </w:rPr>
              <w:t>s</w:t>
            </w:r>
            <w:r w:rsidRPr="004D3E32">
              <w:rPr>
                <w:rFonts w:ascii="Arial" w:hAnsi="Arial"/>
                <w:b/>
                <w:bCs/>
                <w:sz w:val="18"/>
                <w:szCs w:val="18"/>
              </w:rPr>
              <w:t>witch</w:t>
            </w:r>
          </w:p>
        </w:tc>
        <w:tc>
          <w:tcPr>
            <w:tcW w:w="0" w:type="auto"/>
            <w:tcBorders>
              <w:top w:val="single" w:sz="6" w:space="0" w:color="auto"/>
              <w:bottom w:val="single" w:sz="6" w:space="0" w:color="auto"/>
            </w:tcBorders>
            <w:vAlign w:val="center"/>
            <w:hideMark/>
          </w:tcPr>
          <w:p w14:paraId="0615BA6E"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Shared decision</w:t>
            </w:r>
          </w:p>
        </w:tc>
        <w:tc>
          <w:tcPr>
            <w:tcW w:w="0" w:type="auto"/>
            <w:tcBorders>
              <w:top w:val="single" w:sz="6" w:space="0" w:color="auto"/>
              <w:bottom w:val="single" w:sz="6" w:space="0" w:color="auto"/>
            </w:tcBorders>
            <w:vAlign w:val="center"/>
            <w:hideMark/>
          </w:tcPr>
          <w:p w14:paraId="0A9DB6CD"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Shared decision</w:t>
            </w:r>
          </w:p>
        </w:tc>
        <w:tc>
          <w:tcPr>
            <w:tcW w:w="0" w:type="auto"/>
            <w:tcBorders>
              <w:top w:val="single" w:sz="6" w:space="0" w:color="auto"/>
              <w:bottom w:val="single" w:sz="6" w:space="0" w:color="auto"/>
            </w:tcBorders>
            <w:vAlign w:val="center"/>
            <w:hideMark/>
          </w:tcPr>
          <w:p w14:paraId="5F7A89B9" w14:textId="64B2F0EA" w:rsidR="0040239B" w:rsidRPr="004D3E32" w:rsidRDefault="001A200D" w:rsidP="00C65AD7">
            <w:pPr>
              <w:spacing w:line="276" w:lineRule="auto"/>
              <w:jc w:val="center"/>
              <w:rPr>
                <w:rFonts w:ascii="Arial" w:hAnsi="Arial"/>
                <w:sz w:val="18"/>
                <w:szCs w:val="18"/>
              </w:rPr>
            </w:pPr>
            <w:r w:rsidRPr="004D3E32">
              <w:rPr>
                <w:rFonts w:ascii="Arial" w:hAnsi="Arial"/>
                <w:sz w:val="18"/>
                <w:szCs w:val="18"/>
              </w:rPr>
              <w:t>Per</w:t>
            </w:r>
            <w:r w:rsidR="0040239B" w:rsidRPr="004D3E32">
              <w:rPr>
                <w:rFonts w:ascii="Arial" w:hAnsi="Arial"/>
                <w:sz w:val="18"/>
                <w:szCs w:val="18"/>
              </w:rPr>
              <w:t xml:space="preserve"> protocol</w:t>
            </w:r>
          </w:p>
        </w:tc>
        <w:tc>
          <w:tcPr>
            <w:tcW w:w="0" w:type="auto"/>
            <w:tcBorders>
              <w:top w:val="single" w:sz="6" w:space="0" w:color="auto"/>
              <w:bottom w:val="single" w:sz="6" w:space="0" w:color="auto"/>
            </w:tcBorders>
            <w:vAlign w:val="center"/>
            <w:hideMark/>
          </w:tcPr>
          <w:p w14:paraId="7B026155"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COVID-19 pandemic context</w:t>
            </w:r>
          </w:p>
        </w:tc>
        <w:tc>
          <w:tcPr>
            <w:tcW w:w="0" w:type="auto"/>
            <w:tcBorders>
              <w:top w:val="single" w:sz="6" w:space="0" w:color="auto"/>
              <w:bottom w:val="single" w:sz="6" w:space="0" w:color="auto"/>
            </w:tcBorders>
            <w:vAlign w:val="center"/>
            <w:hideMark/>
          </w:tcPr>
          <w:p w14:paraId="255D05FF" w14:textId="77777777" w:rsidR="0040239B" w:rsidRPr="004D3E32" w:rsidRDefault="0040239B" w:rsidP="00C65AD7">
            <w:pPr>
              <w:spacing w:line="276" w:lineRule="auto"/>
              <w:jc w:val="center"/>
              <w:rPr>
                <w:rFonts w:ascii="Arial" w:hAnsi="Arial"/>
                <w:sz w:val="18"/>
                <w:szCs w:val="18"/>
              </w:rPr>
            </w:pPr>
            <w:r w:rsidRPr="004D3E32">
              <w:rPr>
                <w:rFonts w:ascii="Arial" w:hAnsi="Arial"/>
                <w:sz w:val="18"/>
                <w:szCs w:val="18"/>
              </w:rPr>
              <w:t>Medical decision, COVID-19 pandemic context</w:t>
            </w:r>
          </w:p>
        </w:tc>
      </w:tr>
    </w:tbl>
    <w:p w14:paraId="053F823A" w14:textId="77777777" w:rsidR="008C5464" w:rsidRPr="006C48F1" w:rsidRDefault="008C5464" w:rsidP="008C5464">
      <w:pPr>
        <w:spacing w:before="240" w:line="480" w:lineRule="auto"/>
        <w:jc w:val="both"/>
        <w:rPr>
          <w:rFonts w:ascii="Arial" w:hAnsi="Arial"/>
          <w:sz w:val="18"/>
          <w:szCs w:val="18"/>
        </w:rPr>
      </w:pPr>
      <w:r w:rsidRPr="006C48F1">
        <w:rPr>
          <w:rFonts w:ascii="Arial" w:hAnsi="Arial"/>
          <w:sz w:val="18"/>
          <w:szCs w:val="18"/>
        </w:rPr>
        <w:t>*The authors of this study explained RA patients were 49% of the entire population.</w:t>
      </w:r>
    </w:p>
    <w:p w14:paraId="38A02A2F" w14:textId="7073A3A3" w:rsidR="0040239B" w:rsidRPr="006C48F1" w:rsidRDefault="008C5464" w:rsidP="008C5464">
      <w:pPr>
        <w:spacing w:line="480" w:lineRule="auto"/>
        <w:jc w:val="both"/>
        <w:rPr>
          <w:rFonts w:ascii="Arial" w:hAnsi="Arial"/>
          <w:sz w:val="22"/>
          <w:szCs w:val="22"/>
        </w:rPr>
      </w:pPr>
      <w:r w:rsidRPr="006C48F1">
        <w:rPr>
          <w:rFonts w:ascii="Arial" w:hAnsi="Arial"/>
          <w:sz w:val="18"/>
          <w:szCs w:val="18"/>
        </w:rPr>
        <w:t>Abbreviations: AE: adverse event; ADR: adverse drug reaction; DAS28: Disease activity score on 28 joints; Δ: delta; IV: intravenous; JIA: juvenile idiopathic arthritis; L/M/H-DA: low/moderate/high disease activity; nr: not reported; np: not applicable; QoL: quality of life; RA: rheumatoid arthritis; REM: remission; SAE: severe AE; SC: subcutaneous; SD: standard deviation; TCZ: tocilizumab.</w:t>
      </w:r>
    </w:p>
    <w:p w14:paraId="7BA43278" w14:textId="77777777" w:rsidR="001B42EB" w:rsidRPr="004D3E32" w:rsidRDefault="001B42EB" w:rsidP="001B42EB">
      <w:pPr>
        <w:spacing w:line="480" w:lineRule="auto"/>
        <w:jc w:val="both"/>
        <w:rPr>
          <w:rFonts w:ascii="Arial" w:hAnsi="Arial"/>
          <w:b/>
          <w:bCs/>
        </w:rPr>
        <w:sectPr w:rsidR="001B42EB" w:rsidRPr="004D3E32" w:rsidSect="00423846">
          <w:footerReference w:type="default" r:id="rId8"/>
          <w:type w:val="continuous"/>
          <w:pgSz w:w="11906" w:h="16838"/>
          <w:pgMar w:top="1440" w:right="1440" w:bottom="1440" w:left="1440" w:header="708" w:footer="708" w:gutter="0"/>
          <w:lnNumType w:countBy="1" w:restart="continuous"/>
          <w:cols w:space="708"/>
          <w:docGrid w:linePitch="360"/>
        </w:sectPr>
      </w:pPr>
    </w:p>
    <w:p w14:paraId="0653B3CB" w14:textId="77777777" w:rsidR="005D0757" w:rsidRDefault="005D0757">
      <w:pPr>
        <w:spacing w:after="160" w:line="278" w:lineRule="auto"/>
        <w:rPr>
          <w:rFonts w:ascii="Arial" w:hAnsi="Arial"/>
          <w:b/>
          <w:bCs/>
          <w:sz w:val="20"/>
          <w:szCs w:val="20"/>
        </w:rPr>
      </w:pPr>
      <w:r>
        <w:rPr>
          <w:rFonts w:ascii="Arial" w:hAnsi="Arial"/>
          <w:b/>
          <w:bCs/>
          <w:sz w:val="20"/>
          <w:szCs w:val="20"/>
        </w:rPr>
        <w:br w:type="page"/>
      </w:r>
    </w:p>
    <w:p w14:paraId="07272E19" w14:textId="1E6E3E2B" w:rsidR="00CC25D1" w:rsidRPr="00DA5F4C" w:rsidRDefault="00CC25D1" w:rsidP="00734B24">
      <w:pPr>
        <w:spacing w:line="480" w:lineRule="auto"/>
        <w:jc w:val="both"/>
        <w:rPr>
          <w:rFonts w:ascii="Arial" w:hAnsi="Arial"/>
          <w:b/>
          <w:bCs/>
          <w:sz w:val="20"/>
          <w:szCs w:val="20"/>
        </w:rPr>
      </w:pPr>
      <w:r w:rsidRPr="00DA5F4C">
        <w:rPr>
          <w:rFonts w:ascii="Arial" w:hAnsi="Arial"/>
          <w:b/>
          <w:bCs/>
          <w:sz w:val="20"/>
          <w:szCs w:val="20"/>
        </w:rPr>
        <w:lastRenderedPageBreak/>
        <w:t xml:space="preserve">Supplementary </w:t>
      </w:r>
      <w:r w:rsidR="0061432C" w:rsidRPr="00DA5F4C">
        <w:rPr>
          <w:rFonts w:ascii="Arial" w:hAnsi="Arial"/>
          <w:b/>
          <w:bCs/>
          <w:sz w:val="20"/>
          <w:szCs w:val="20"/>
        </w:rPr>
        <w:t>F</w:t>
      </w:r>
      <w:r w:rsidRPr="00DA5F4C">
        <w:rPr>
          <w:rFonts w:ascii="Arial" w:hAnsi="Arial"/>
          <w:b/>
          <w:bCs/>
          <w:sz w:val="20"/>
          <w:szCs w:val="20"/>
        </w:rPr>
        <w:t>igure</w:t>
      </w:r>
      <w:r w:rsidR="008F7934" w:rsidRPr="00DA5F4C">
        <w:rPr>
          <w:rFonts w:ascii="Arial" w:hAnsi="Arial"/>
          <w:b/>
          <w:bCs/>
          <w:sz w:val="20"/>
          <w:szCs w:val="20"/>
        </w:rPr>
        <w:t>s</w:t>
      </w:r>
    </w:p>
    <w:p w14:paraId="7B7B433B" w14:textId="76882452" w:rsidR="00CA68A4" w:rsidRPr="004D3E32" w:rsidRDefault="00CA68A4" w:rsidP="00734B24">
      <w:pPr>
        <w:spacing w:line="480" w:lineRule="auto"/>
        <w:jc w:val="both"/>
        <w:rPr>
          <w:rFonts w:ascii="Arial" w:hAnsi="Arial"/>
          <w:b/>
          <w:bCs/>
        </w:rPr>
      </w:pPr>
      <w:r w:rsidRPr="00DA5F4C">
        <w:rPr>
          <w:rFonts w:ascii="Arial" w:hAnsi="Arial"/>
          <w:b/>
          <w:bCs/>
          <w:noProof/>
          <w:lang w:val="it-IT" w:eastAsia="it-IT"/>
        </w:rPr>
        <w:drawing>
          <wp:inline distT="0" distB="0" distL="0" distR="0" wp14:anchorId="07E65ACA" wp14:editId="5877C912">
            <wp:extent cx="5725160" cy="1375410"/>
            <wp:effectExtent l="0" t="0" r="8890" b="0"/>
            <wp:docPr id="9702927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5160" cy="1375410"/>
                    </a:xfrm>
                    <a:prstGeom prst="rect">
                      <a:avLst/>
                    </a:prstGeom>
                    <a:noFill/>
                    <a:ln>
                      <a:noFill/>
                    </a:ln>
                  </pic:spPr>
                </pic:pic>
              </a:graphicData>
            </a:graphic>
          </wp:inline>
        </w:drawing>
      </w:r>
    </w:p>
    <w:p w14:paraId="000F7A0A" w14:textId="5DBC97A3" w:rsidR="00C1522F" w:rsidRPr="00DA5F4C" w:rsidRDefault="00997D09" w:rsidP="00423846">
      <w:pPr>
        <w:spacing w:line="480" w:lineRule="auto"/>
        <w:jc w:val="both"/>
        <w:rPr>
          <w:rFonts w:ascii="Arial" w:hAnsi="Arial"/>
          <w:sz w:val="20"/>
          <w:szCs w:val="20"/>
        </w:rPr>
      </w:pPr>
      <w:r w:rsidRPr="00DA5F4C">
        <w:rPr>
          <w:rFonts w:ascii="Arial" w:hAnsi="Arial"/>
          <w:b/>
          <w:bCs/>
          <w:sz w:val="20"/>
          <w:szCs w:val="20"/>
        </w:rPr>
        <w:t xml:space="preserve">Supplementary </w:t>
      </w:r>
      <w:r w:rsidR="00C1522F" w:rsidRPr="00DA5F4C">
        <w:rPr>
          <w:rFonts w:ascii="Arial" w:hAnsi="Arial"/>
          <w:b/>
          <w:bCs/>
          <w:sz w:val="20"/>
          <w:szCs w:val="20"/>
        </w:rPr>
        <w:t>Figure S1</w:t>
      </w:r>
      <w:r w:rsidR="00423846" w:rsidRPr="00DA5F4C">
        <w:rPr>
          <w:rFonts w:ascii="Arial" w:hAnsi="Arial"/>
          <w:b/>
          <w:bCs/>
          <w:sz w:val="20"/>
          <w:szCs w:val="20"/>
        </w:rPr>
        <w:t>:</w:t>
      </w:r>
      <w:r w:rsidR="00C1522F" w:rsidRPr="00DA5F4C">
        <w:rPr>
          <w:rFonts w:ascii="Arial" w:hAnsi="Arial"/>
          <w:sz w:val="20"/>
          <w:szCs w:val="20"/>
        </w:rPr>
        <w:t xml:space="preserve"> </w:t>
      </w:r>
      <w:r w:rsidR="00AB0EDE" w:rsidRPr="00DA5F4C">
        <w:rPr>
          <w:rFonts w:ascii="Arial" w:hAnsi="Arial"/>
          <w:sz w:val="20"/>
          <w:szCs w:val="20"/>
        </w:rPr>
        <w:t>Relevant t</w:t>
      </w:r>
      <w:r w:rsidR="00C1522F" w:rsidRPr="00DA5F4C">
        <w:rPr>
          <w:rFonts w:ascii="Arial" w:hAnsi="Arial"/>
          <w:sz w:val="20"/>
          <w:szCs w:val="20"/>
        </w:rPr>
        <w:t>imeline</w:t>
      </w:r>
      <w:r w:rsidR="00C75A05" w:rsidRPr="00DA5F4C">
        <w:rPr>
          <w:rFonts w:ascii="Arial" w:hAnsi="Arial"/>
          <w:sz w:val="20"/>
          <w:szCs w:val="20"/>
        </w:rPr>
        <w:t>s</w:t>
      </w:r>
      <w:r w:rsidR="00C1522F" w:rsidRPr="00DA5F4C">
        <w:rPr>
          <w:rFonts w:ascii="Arial" w:hAnsi="Arial"/>
          <w:sz w:val="20"/>
          <w:szCs w:val="20"/>
        </w:rPr>
        <w:t xml:space="preserve"> of </w:t>
      </w:r>
      <w:r w:rsidR="00AB0EDE" w:rsidRPr="00DA5F4C">
        <w:rPr>
          <w:rFonts w:ascii="Arial" w:hAnsi="Arial"/>
          <w:sz w:val="20"/>
          <w:szCs w:val="20"/>
        </w:rPr>
        <w:t xml:space="preserve">the </w:t>
      </w:r>
      <w:r w:rsidR="00C1522F" w:rsidRPr="00DA5F4C">
        <w:rPr>
          <w:rFonts w:ascii="Arial" w:hAnsi="Arial"/>
          <w:sz w:val="20"/>
          <w:szCs w:val="20"/>
        </w:rPr>
        <w:t>observational, retrospective cohort study</w:t>
      </w:r>
      <w:r w:rsidR="00C66B8C" w:rsidRPr="00DA5F4C">
        <w:rPr>
          <w:rFonts w:ascii="Arial" w:hAnsi="Arial"/>
          <w:sz w:val="20"/>
          <w:szCs w:val="20"/>
        </w:rPr>
        <w:t xml:space="preserve"> (Ferrara cohort)</w:t>
      </w:r>
      <w:r w:rsidR="00C1522F" w:rsidRPr="00DA5F4C">
        <w:rPr>
          <w:rFonts w:ascii="Arial" w:hAnsi="Arial"/>
          <w:sz w:val="20"/>
          <w:szCs w:val="20"/>
        </w:rPr>
        <w:t>.</w:t>
      </w:r>
    </w:p>
    <w:p w14:paraId="191D6FDD" w14:textId="77777777" w:rsidR="00423846" w:rsidRDefault="00423846" w:rsidP="00423846">
      <w:pPr>
        <w:spacing w:line="480" w:lineRule="auto"/>
        <w:jc w:val="both"/>
        <w:rPr>
          <w:rFonts w:ascii="Arial" w:hAnsi="Arial"/>
          <w:b/>
          <w:bCs/>
        </w:rPr>
      </w:pPr>
    </w:p>
    <w:p w14:paraId="0D7D6204" w14:textId="4B7EC6E0" w:rsidR="00CA68A4" w:rsidRDefault="00CA68A4" w:rsidP="00423846">
      <w:pPr>
        <w:spacing w:line="480" w:lineRule="auto"/>
        <w:jc w:val="both"/>
        <w:rPr>
          <w:rFonts w:ascii="Arial" w:hAnsi="Arial"/>
          <w:b/>
          <w:bCs/>
        </w:rPr>
      </w:pPr>
      <w:r w:rsidRPr="00DA5F4C">
        <w:rPr>
          <w:rFonts w:ascii="Arial" w:hAnsi="Arial"/>
          <w:b/>
          <w:bCs/>
          <w:noProof/>
          <w:lang w:val="it-IT" w:eastAsia="it-IT"/>
        </w:rPr>
        <w:drawing>
          <wp:inline distT="0" distB="0" distL="0" distR="0" wp14:anchorId="40C3ADA3" wp14:editId="29E88660">
            <wp:extent cx="3459247" cy="4238045"/>
            <wp:effectExtent l="0" t="0" r="8255" b="0"/>
            <wp:docPr id="146538853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65222" cy="4245365"/>
                    </a:xfrm>
                    <a:prstGeom prst="rect">
                      <a:avLst/>
                    </a:prstGeom>
                    <a:noFill/>
                    <a:ln>
                      <a:noFill/>
                    </a:ln>
                  </pic:spPr>
                </pic:pic>
              </a:graphicData>
            </a:graphic>
          </wp:inline>
        </w:drawing>
      </w:r>
    </w:p>
    <w:p w14:paraId="4C0B326B" w14:textId="12CBBBBA" w:rsidR="00C66B8C" w:rsidRPr="00DA5F4C" w:rsidRDefault="00997D09" w:rsidP="00423846">
      <w:pPr>
        <w:spacing w:line="480" w:lineRule="auto"/>
        <w:jc w:val="both"/>
        <w:rPr>
          <w:rFonts w:ascii="Arial" w:hAnsi="Arial"/>
          <w:sz w:val="20"/>
          <w:szCs w:val="20"/>
        </w:rPr>
      </w:pPr>
      <w:r w:rsidRPr="00DA5F4C">
        <w:rPr>
          <w:rFonts w:ascii="Arial" w:hAnsi="Arial"/>
          <w:b/>
          <w:bCs/>
          <w:sz w:val="20"/>
          <w:szCs w:val="20"/>
        </w:rPr>
        <w:t xml:space="preserve">Supplementary </w:t>
      </w:r>
      <w:r w:rsidR="00C56A07" w:rsidRPr="00DA5F4C">
        <w:rPr>
          <w:rFonts w:ascii="Arial" w:hAnsi="Arial"/>
          <w:b/>
          <w:bCs/>
          <w:sz w:val="20"/>
          <w:szCs w:val="20"/>
        </w:rPr>
        <w:t>Figure S2</w:t>
      </w:r>
      <w:r w:rsidR="00423846" w:rsidRPr="00DA5F4C">
        <w:rPr>
          <w:rFonts w:ascii="Arial" w:hAnsi="Arial"/>
          <w:b/>
          <w:bCs/>
          <w:sz w:val="20"/>
          <w:szCs w:val="20"/>
        </w:rPr>
        <w:t>:</w:t>
      </w:r>
      <w:r w:rsidR="00C56A07" w:rsidRPr="00DA5F4C">
        <w:rPr>
          <w:rFonts w:ascii="Arial" w:hAnsi="Arial"/>
          <w:b/>
          <w:bCs/>
          <w:sz w:val="20"/>
          <w:szCs w:val="20"/>
        </w:rPr>
        <w:t xml:space="preserve"> </w:t>
      </w:r>
      <w:r w:rsidR="00C56A07" w:rsidRPr="00DA5F4C">
        <w:rPr>
          <w:rFonts w:ascii="Arial" w:hAnsi="Arial"/>
          <w:sz w:val="20"/>
          <w:szCs w:val="20"/>
        </w:rPr>
        <w:t xml:space="preserve">DAS28 modifications in </w:t>
      </w:r>
      <w:proofErr w:type="spellStart"/>
      <w:r w:rsidR="00C56A07" w:rsidRPr="00DA5F4C">
        <w:rPr>
          <w:rFonts w:ascii="Arial" w:hAnsi="Arial"/>
          <w:sz w:val="20"/>
          <w:szCs w:val="20"/>
        </w:rPr>
        <w:t>GoS</w:t>
      </w:r>
      <w:proofErr w:type="spellEnd"/>
      <w:r w:rsidR="00893FCF" w:rsidRPr="00DA5F4C">
        <w:rPr>
          <w:rFonts w:ascii="Arial" w:hAnsi="Arial"/>
          <w:sz w:val="20"/>
          <w:szCs w:val="20"/>
        </w:rPr>
        <w:t xml:space="preserve"> (A)</w:t>
      </w:r>
      <w:r w:rsidR="00C56A07" w:rsidRPr="00DA5F4C">
        <w:rPr>
          <w:rFonts w:ascii="Arial" w:hAnsi="Arial"/>
          <w:sz w:val="20"/>
          <w:szCs w:val="20"/>
        </w:rPr>
        <w:t xml:space="preserve"> and BI </w:t>
      </w:r>
      <w:r w:rsidR="00893FCF" w:rsidRPr="00DA5F4C">
        <w:rPr>
          <w:rFonts w:ascii="Arial" w:hAnsi="Arial"/>
          <w:sz w:val="20"/>
          <w:szCs w:val="20"/>
        </w:rPr>
        <w:t xml:space="preserve">(B) </w:t>
      </w:r>
      <w:r w:rsidR="00C56A07" w:rsidRPr="00DA5F4C">
        <w:rPr>
          <w:rFonts w:ascii="Arial" w:hAnsi="Arial"/>
          <w:sz w:val="20"/>
          <w:szCs w:val="20"/>
        </w:rPr>
        <w:t xml:space="preserve">groups during </w:t>
      </w:r>
      <w:r w:rsidR="00EB3557" w:rsidRPr="00DA5F4C">
        <w:rPr>
          <w:rFonts w:ascii="Arial" w:hAnsi="Arial"/>
          <w:sz w:val="20"/>
          <w:szCs w:val="20"/>
        </w:rPr>
        <w:t>t</w:t>
      </w:r>
      <w:r w:rsidR="00C56A07" w:rsidRPr="00DA5F4C">
        <w:rPr>
          <w:rFonts w:ascii="Arial" w:hAnsi="Arial"/>
          <w:sz w:val="20"/>
          <w:szCs w:val="20"/>
        </w:rPr>
        <w:t>he follow-up</w:t>
      </w:r>
      <w:r w:rsidR="00C66B8C" w:rsidRPr="00DA5F4C">
        <w:rPr>
          <w:rFonts w:ascii="Arial" w:hAnsi="Arial"/>
          <w:sz w:val="20"/>
          <w:szCs w:val="20"/>
        </w:rPr>
        <w:t xml:space="preserve"> (Ferrara cohort)</w:t>
      </w:r>
      <w:r w:rsidR="00C56A07" w:rsidRPr="00DA5F4C">
        <w:rPr>
          <w:rFonts w:ascii="Arial" w:hAnsi="Arial"/>
          <w:sz w:val="20"/>
          <w:szCs w:val="20"/>
        </w:rPr>
        <w:t>.</w:t>
      </w:r>
      <w:r w:rsidR="00C66B8C" w:rsidRPr="00DA5F4C">
        <w:rPr>
          <w:rFonts w:ascii="Arial" w:hAnsi="Arial"/>
          <w:sz w:val="20"/>
          <w:szCs w:val="20"/>
        </w:rPr>
        <w:br w:type="page"/>
      </w:r>
    </w:p>
    <w:p w14:paraId="7A822060" w14:textId="77777777" w:rsidR="00411781" w:rsidRPr="00DA5F4C" w:rsidRDefault="00411781" w:rsidP="00DA5F4C">
      <w:pPr>
        <w:pStyle w:val="Titolo2"/>
        <w:spacing w:before="0" w:line="480" w:lineRule="auto"/>
        <w:jc w:val="both"/>
        <w:rPr>
          <w:rFonts w:ascii="Arial" w:eastAsia="Aptos" w:hAnsi="Arial" w:cs="Arial"/>
          <w:b/>
          <w:bCs/>
          <w:color w:val="auto"/>
          <w:sz w:val="20"/>
          <w:szCs w:val="20"/>
        </w:rPr>
      </w:pPr>
      <w:r w:rsidRPr="00DA5F4C">
        <w:rPr>
          <w:rFonts w:ascii="Arial" w:eastAsia="Aptos" w:hAnsi="Arial" w:cs="Arial"/>
          <w:b/>
          <w:bCs/>
          <w:color w:val="auto"/>
          <w:sz w:val="20"/>
          <w:szCs w:val="20"/>
        </w:rPr>
        <w:lastRenderedPageBreak/>
        <w:t>Bibliography</w:t>
      </w:r>
    </w:p>
    <w:p w14:paraId="729B162A" w14:textId="77777777" w:rsidR="004D3E32" w:rsidRPr="00DA5F4C" w:rsidRDefault="00411781" w:rsidP="00DA5F4C">
      <w:pPr>
        <w:pStyle w:val="Bibliografia"/>
        <w:spacing w:line="480" w:lineRule="auto"/>
        <w:jc w:val="both"/>
        <w:rPr>
          <w:rFonts w:ascii="Arial" w:hAnsi="Arial"/>
          <w:sz w:val="20"/>
          <w:szCs w:val="20"/>
        </w:rPr>
      </w:pPr>
      <w:r w:rsidRPr="00DA5F4C">
        <w:rPr>
          <w:rFonts w:ascii="Arial" w:eastAsia="Aptos" w:hAnsi="Arial"/>
          <w:sz w:val="20"/>
          <w:szCs w:val="20"/>
        </w:rPr>
        <w:fldChar w:fldCharType="begin"/>
      </w:r>
      <w:r w:rsidR="004D3E32" w:rsidRPr="00DA5F4C">
        <w:rPr>
          <w:rFonts w:ascii="Arial" w:eastAsia="Aptos" w:hAnsi="Arial"/>
          <w:sz w:val="20"/>
          <w:szCs w:val="20"/>
        </w:rPr>
        <w:instrText xml:space="preserve"> ADDIN ZOTERO_BIBL {"uncited":[],"omitted":[],"custom":[]} CSL_BIBLIOGRAPHY </w:instrText>
      </w:r>
      <w:r w:rsidRPr="00DA5F4C">
        <w:rPr>
          <w:rFonts w:ascii="Arial" w:eastAsia="Aptos" w:hAnsi="Arial"/>
          <w:sz w:val="20"/>
          <w:szCs w:val="20"/>
        </w:rPr>
        <w:fldChar w:fldCharType="separate"/>
      </w:r>
      <w:r w:rsidR="004D3E32" w:rsidRPr="00DA5F4C">
        <w:rPr>
          <w:rFonts w:ascii="Arial" w:hAnsi="Arial"/>
          <w:sz w:val="20"/>
          <w:szCs w:val="20"/>
        </w:rPr>
        <w:t>1.</w:t>
      </w:r>
      <w:r w:rsidR="004D3E32" w:rsidRPr="00DA5F4C">
        <w:rPr>
          <w:rFonts w:ascii="Arial" w:hAnsi="Arial"/>
          <w:sz w:val="20"/>
          <w:szCs w:val="20"/>
        </w:rPr>
        <w:tab/>
        <w:t>Aletaha D, Neogi T, Silman AJ. 2010 Rheumatoid arthritis classification criteria: An American College of Rheumatology/European League Against Rheumatism collaborative initiative. doi:10.1002/art.27584</w:t>
      </w:r>
    </w:p>
    <w:p w14:paraId="42AE38C0"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2.</w:t>
      </w:r>
      <w:r w:rsidRPr="00DA5F4C">
        <w:rPr>
          <w:rFonts w:ascii="Arial" w:hAnsi="Arial"/>
          <w:sz w:val="20"/>
          <w:szCs w:val="20"/>
        </w:rPr>
        <w:tab/>
        <w:t xml:space="preserve">Arnett FC, Edworthy SM, Bloch DA, et al. The American Rheumatism Association 1987 revised criteria for the classification of rheumatoid arthritis. </w:t>
      </w:r>
      <w:r w:rsidRPr="00DA5F4C">
        <w:rPr>
          <w:rFonts w:ascii="Arial" w:hAnsi="Arial"/>
          <w:i/>
          <w:iCs/>
          <w:sz w:val="20"/>
          <w:szCs w:val="20"/>
        </w:rPr>
        <w:t>Arthritis Rheum</w:t>
      </w:r>
      <w:r w:rsidRPr="00DA5F4C">
        <w:rPr>
          <w:rFonts w:ascii="Arial" w:hAnsi="Arial"/>
          <w:sz w:val="20"/>
          <w:szCs w:val="20"/>
        </w:rPr>
        <w:t>. 1988;31(3):315-324. doi:10.1002/art.1780310302</w:t>
      </w:r>
    </w:p>
    <w:p w14:paraId="30C40261"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3.</w:t>
      </w:r>
      <w:r w:rsidRPr="00DA5F4C">
        <w:rPr>
          <w:rFonts w:ascii="Arial" w:hAnsi="Arial"/>
          <w:sz w:val="20"/>
          <w:szCs w:val="20"/>
        </w:rPr>
        <w:tab/>
        <w:t xml:space="preserve">Page MJ, McKenzie JE, Bossuyt PM, et al. The PRISMA 2020 statement: an updated guideline for reporting systematic reviews. </w:t>
      </w:r>
      <w:r w:rsidRPr="00DA5F4C">
        <w:rPr>
          <w:rFonts w:ascii="Arial" w:hAnsi="Arial"/>
          <w:i/>
          <w:iCs/>
          <w:sz w:val="20"/>
          <w:szCs w:val="20"/>
        </w:rPr>
        <w:t>BMJ</w:t>
      </w:r>
      <w:r w:rsidRPr="00DA5F4C">
        <w:rPr>
          <w:rFonts w:ascii="Arial" w:hAnsi="Arial"/>
          <w:sz w:val="20"/>
          <w:szCs w:val="20"/>
        </w:rPr>
        <w:t>. 2021;372:n71. doi:10.1136/bmj.n71</w:t>
      </w:r>
    </w:p>
    <w:p w14:paraId="6A9C1AE7"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4.</w:t>
      </w:r>
      <w:r w:rsidRPr="00DA5F4C">
        <w:rPr>
          <w:rFonts w:ascii="Arial" w:hAnsi="Arial"/>
          <w:sz w:val="20"/>
          <w:szCs w:val="20"/>
        </w:rPr>
        <w:tab/>
        <w:t xml:space="preserve">Ahn SM, Oh JS, Heo HM, et al. Predictive Factors for Rheumatoid Arthritis Flare After Switching From Intravenous to Subcutaneous Formulation of Tocilizumab in Real-World Practice. </w:t>
      </w:r>
      <w:r w:rsidRPr="00DA5F4C">
        <w:rPr>
          <w:rFonts w:ascii="Arial" w:hAnsi="Arial"/>
          <w:i/>
          <w:iCs/>
          <w:sz w:val="20"/>
          <w:szCs w:val="20"/>
        </w:rPr>
        <w:t>J Korean Med Sci</w:t>
      </w:r>
      <w:r w:rsidRPr="00DA5F4C">
        <w:rPr>
          <w:rFonts w:ascii="Arial" w:hAnsi="Arial"/>
          <w:sz w:val="20"/>
          <w:szCs w:val="20"/>
        </w:rPr>
        <w:t>. 2022;37(17):e138. doi:10.3346/jkms.2022.37.e138</w:t>
      </w:r>
    </w:p>
    <w:p w14:paraId="01C0FDB1"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5.</w:t>
      </w:r>
      <w:r w:rsidRPr="00DA5F4C">
        <w:rPr>
          <w:rFonts w:ascii="Arial" w:hAnsi="Arial"/>
          <w:sz w:val="20"/>
          <w:szCs w:val="20"/>
        </w:rPr>
        <w:tab/>
        <w:t xml:space="preserve">Cáceres VA, Piñeiro ML, Ibáñez-Beróiz B, Enguita-Germán M. Mass Switch from Intravenous to Subcutaneous Tocilizumab in Rheumatic Diseases during the SARS-COV-2 Pandemic. </w:t>
      </w:r>
      <w:r w:rsidRPr="00DA5F4C">
        <w:rPr>
          <w:rFonts w:ascii="Arial" w:hAnsi="Arial"/>
          <w:i/>
          <w:iCs/>
          <w:sz w:val="20"/>
          <w:szCs w:val="20"/>
        </w:rPr>
        <w:t>J Clin Rheumatol</w:t>
      </w:r>
      <w:r w:rsidRPr="00DA5F4C">
        <w:rPr>
          <w:rFonts w:ascii="Arial" w:hAnsi="Arial"/>
          <w:sz w:val="20"/>
          <w:szCs w:val="20"/>
        </w:rPr>
        <w:t>. 2022;28(7):346-348. doi:10.1097/RHU.0000000000001862</w:t>
      </w:r>
    </w:p>
    <w:p w14:paraId="63D126BF"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6.</w:t>
      </w:r>
      <w:r w:rsidRPr="00DA5F4C">
        <w:rPr>
          <w:rFonts w:ascii="Arial" w:hAnsi="Arial"/>
          <w:sz w:val="20"/>
          <w:szCs w:val="20"/>
        </w:rPr>
        <w:tab/>
        <w:t xml:space="preserve">Daood R, Toledano K, Markovits D, et al. Switching from intravenous tocilizumab to subcutaneous administration during the COVID-19 pandemic: impact on treatment efficacy and patient satisfaction. </w:t>
      </w:r>
      <w:r w:rsidRPr="00DA5F4C">
        <w:rPr>
          <w:rFonts w:ascii="Arial" w:hAnsi="Arial"/>
          <w:i/>
          <w:iCs/>
          <w:sz w:val="20"/>
          <w:szCs w:val="20"/>
        </w:rPr>
        <w:t>Clin Exp Rheumatol</w:t>
      </w:r>
      <w:r w:rsidRPr="00DA5F4C">
        <w:rPr>
          <w:rFonts w:ascii="Arial" w:hAnsi="Arial"/>
          <w:sz w:val="20"/>
          <w:szCs w:val="20"/>
        </w:rPr>
        <w:t>. 2023;41(3):744-746. doi:10.55563/clinexprheumatol/lxfy2v</w:t>
      </w:r>
    </w:p>
    <w:p w14:paraId="69C8571C"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7.</w:t>
      </w:r>
      <w:r w:rsidRPr="00DA5F4C">
        <w:rPr>
          <w:rFonts w:ascii="Arial" w:hAnsi="Arial"/>
          <w:sz w:val="20"/>
          <w:szCs w:val="20"/>
        </w:rPr>
        <w:tab/>
        <w:t xml:space="preserve">Burmester GR, Rubbert-Roth A, Cantagrel A, et al. A randomised, double-blind, parallel-group study of the safety and efficacy of subcutaneous tocilizumab versus intravenous tocilizumab in combination with traditional disease-modifying antirheumatic drugs in patients with moderate to severe rheumatoid arthritis (SUMMACTA study). </w:t>
      </w:r>
      <w:r w:rsidRPr="00DA5F4C">
        <w:rPr>
          <w:rFonts w:ascii="Arial" w:hAnsi="Arial"/>
          <w:i/>
          <w:iCs/>
          <w:sz w:val="20"/>
          <w:szCs w:val="20"/>
        </w:rPr>
        <w:t>Ann Rheum Dis</w:t>
      </w:r>
      <w:r w:rsidRPr="00DA5F4C">
        <w:rPr>
          <w:rFonts w:ascii="Arial" w:hAnsi="Arial"/>
          <w:sz w:val="20"/>
          <w:szCs w:val="20"/>
        </w:rPr>
        <w:t>. 2014;73(1):69-74. doi:10.1136/annrheumdis-2013-203523</w:t>
      </w:r>
    </w:p>
    <w:p w14:paraId="45C2C954"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8.</w:t>
      </w:r>
      <w:r w:rsidRPr="00DA5F4C">
        <w:rPr>
          <w:rFonts w:ascii="Arial" w:hAnsi="Arial"/>
          <w:sz w:val="20"/>
          <w:szCs w:val="20"/>
        </w:rPr>
        <w:tab/>
        <w:t xml:space="preserve">Darloy J, Segaud N, Salmon JH, et al. Tocilizumab Effectiveness After Switching from Intravenous to Subcutaneous Route in Patients with Rheumatoid Arthritis: The RoSwitch Study. </w:t>
      </w:r>
      <w:r w:rsidRPr="00DA5F4C">
        <w:rPr>
          <w:rFonts w:ascii="Arial" w:hAnsi="Arial"/>
          <w:i/>
          <w:iCs/>
          <w:sz w:val="20"/>
          <w:szCs w:val="20"/>
        </w:rPr>
        <w:t>Rheumatol Ther</w:t>
      </w:r>
      <w:r w:rsidRPr="00DA5F4C">
        <w:rPr>
          <w:rFonts w:ascii="Arial" w:hAnsi="Arial"/>
          <w:sz w:val="20"/>
          <w:szCs w:val="20"/>
        </w:rPr>
        <w:t>. 2019;6(1):61-75. doi:10.1007/s40744-018-0138-y</w:t>
      </w:r>
    </w:p>
    <w:p w14:paraId="5CB27487"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lastRenderedPageBreak/>
        <w:t>9.</w:t>
      </w:r>
      <w:r w:rsidRPr="00DA5F4C">
        <w:rPr>
          <w:rFonts w:ascii="Arial" w:hAnsi="Arial"/>
          <w:sz w:val="20"/>
          <w:szCs w:val="20"/>
        </w:rPr>
        <w:tab/>
        <w:t xml:space="preserve">Larid G, Joffres L, Ricard E, et al. Stable efficacy and safety after switching from intravenous to subcutaneous tocilizumab in a cohort of 200 patients in real life conditions. </w:t>
      </w:r>
      <w:r w:rsidRPr="00DA5F4C">
        <w:rPr>
          <w:rFonts w:ascii="Arial" w:hAnsi="Arial"/>
          <w:i/>
          <w:iCs/>
          <w:sz w:val="20"/>
          <w:szCs w:val="20"/>
        </w:rPr>
        <w:t>Joint Bone Spine</w:t>
      </w:r>
      <w:r w:rsidRPr="00DA5F4C">
        <w:rPr>
          <w:rFonts w:ascii="Arial" w:hAnsi="Arial"/>
          <w:sz w:val="20"/>
          <w:szCs w:val="20"/>
        </w:rPr>
        <w:t>. 2022;89(4). doi:10.1016/j.jbspin.2022.105347</w:t>
      </w:r>
    </w:p>
    <w:p w14:paraId="452D5727"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10.</w:t>
      </w:r>
      <w:r w:rsidRPr="00DA5F4C">
        <w:rPr>
          <w:rFonts w:ascii="Arial" w:hAnsi="Arial"/>
          <w:sz w:val="20"/>
          <w:szCs w:val="20"/>
        </w:rPr>
        <w:tab/>
        <w:t xml:space="preserve">Lauper K, Santos MJ, Ianonne F, et al. Comparative effectiveness of subcutaneous versus intravenous tocilizumab in a paneuropean collaboration of registries. </w:t>
      </w:r>
      <w:r w:rsidRPr="00DA5F4C">
        <w:rPr>
          <w:rFonts w:ascii="Arial" w:hAnsi="Arial"/>
          <w:i/>
          <w:iCs/>
          <w:sz w:val="20"/>
          <w:szCs w:val="20"/>
        </w:rPr>
        <w:t>Ann Rheum Dis</w:t>
      </w:r>
      <w:r w:rsidRPr="00DA5F4C">
        <w:rPr>
          <w:rFonts w:ascii="Arial" w:hAnsi="Arial"/>
          <w:sz w:val="20"/>
          <w:szCs w:val="20"/>
        </w:rPr>
        <w:t>. 2018;77((Lauper K.; Courvoisier D.S.; Gabay C.) Rheumatology, University Hospitals of Geneva, Geneva, Switzerland):606. doi:10.1136/annrheumdis-2018-eular.2886</w:t>
      </w:r>
    </w:p>
    <w:p w14:paraId="77755386"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11.</w:t>
      </w:r>
      <w:r w:rsidRPr="00DA5F4C">
        <w:rPr>
          <w:rFonts w:ascii="Arial" w:hAnsi="Arial"/>
          <w:sz w:val="20"/>
          <w:szCs w:val="20"/>
        </w:rPr>
        <w:tab/>
        <w:t xml:space="preserve">Atsumi T, Fujio K, Yamaoka K, Tomobe M, Kuroyanagi K, Kameda H. Safety and effectiveness of subcutaneous tocilizumab in patients with rheumatoid arthritis in a real-world clinical setting. </w:t>
      </w:r>
      <w:r w:rsidRPr="00DA5F4C">
        <w:rPr>
          <w:rFonts w:ascii="Arial" w:hAnsi="Arial"/>
          <w:i/>
          <w:iCs/>
          <w:sz w:val="20"/>
          <w:szCs w:val="20"/>
        </w:rPr>
        <w:t>Mod Rheumatol</w:t>
      </w:r>
      <w:r w:rsidRPr="00DA5F4C">
        <w:rPr>
          <w:rFonts w:ascii="Arial" w:hAnsi="Arial"/>
          <w:sz w:val="20"/>
          <w:szCs w:val="20"/>
        </w:rPr>
        <w:t>. 2018;28(5):780-788. doi:10.1080/14397595.2017.1416760</w:t>
      </w:r>
    </w:p>
    <w:p w14:paraId="6B122C25" w14:textId="77777777" w:rsidR="004D3E32" w:rsidRPr="00DA5F4C" w:rsidRDefault="004D3E32" w:rsidP="00DA5F4C">
      <w:pPr>
        <w:pStyle w:val="Bibliografia"/>
        <w:spacing w:line="480" w:lineRule="auto"/>
        <w:jc w:val="both"/>
        <w:rPr>
          <w:rFonts w:ascii="Arial" w:hAnsi="Arial"/>
          <w:sz w:val="20"/>
          <w:szCs w:val="20"/>
          <w:lang w:val="it-IT"/>
        </w:rPr>
      </w:pPr>
      <w:r w:rsidRPr="00DA5F4C">
        <w:rPr>
          <w:rFonts w:ascii="Arial" w:hAnsi="Arial"/>
          <w:sz w:val="20"/>
          <w:szCs w:val="20"/>
        </w:rPr>
        <w:t>12.</w:t>
      </w:r>
      <w:r w:rsidRPr="00DA5F4C">
        <w:rPr>
          <w:rFonts w:ascii="Arial" w:hAnsi="Arial"/>
          <w:sz w:val="20"/>
          <w:szCs w:val="20"/>
        </w:rPr>
        <w:tab/>
        <w:t xml:space="preserve">Iwamoto N, Fukui S, Umeda M, et al. Evaluation of switching from intravenous to subcutaneous formulation of tocilizumab in patients with rheumatoid arthritis. </w:t>
      </w:r>
      <w:r w:rsidRPr="00DA5F4C">
        <w:rPr>
          <w:rFonts w:ascii="Arial" w:hAnsi="Arial"/>
          <w:i/>
          <w:iCs/>
          <w:sz w:val="20"/>
          <w:szCs w:val="20"/>
          <w:lang w:val="it-IT"/>
        </w:rPr>
        <w:t>Mod Rheumatol</w:t>
      </w:r>
      <w:r w:rsidRPr="00DA5F4C">
        <w:rPr>
          <w:rFonts w:ascii="Arial" w:hAnsi="Arial"/>
          <w:sz w:val="20"/>
          <w:szCs w:val="20"/>
          <w:lang w:val="it-IT"/>
        </w:rPr>
        <w:t>. 2016;26(5):662-666. doi:10.3109/14397595.2015.1129692</w:t>
      </w:r>
    </w:p>
    <w:p w14:paraId="33347A02"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lang w:val="it-IT"/>
        </w:rPr>
        <w:t>13.</w:t>
      </w:r>
      <w:r w:rsidRPr="00DA5F4C">
        <w:rPr>
          <w:rFonts w:ascii="Arial" w:hAnsi="Arial"/>
          <w:sz w:val="20"/>
          <w:szCs w:val="20"/>
          <w:lang w:val="it-IT"/>
        </w:rPr>
        <w:tab/>
        <w:t xml:space="preserve">Ogata A, Tanimura K, Sugimoto T, et al. </w:t>
      </w:r>
      <w:r w:rsidRPr="00DA5F4C">
        <w:rPr>
          <w:rFonts w:ascii="Arial" w:hAnsi="Arial"/>
          <w:sz w:val="20"/>
          <w:szCs w:val="20"/>
        </w:rPr>
        <w:t xml:space="preserve">Phase III study of the efficacy and safety of subcutaneous versus intravenous tocilizumab monotherapy in patients with rheumatoid arthritis. </w:t>
      </w:r>
      <w:r w:rsidRPr="00DA5F4C">
        <w:rPr>
          <w:rFonts w:ascii="Arial" w:hAnsi="Arial"/>
          <w:i/>
          <w:iCs/>
          <w:sz w:val="20"/>
          <w:szCs w:val="20"/>
        </w:rPr>
        <w:t>Arthritis Care Res</w:t>
      </w:r>
      <w:r w:rsidRPr="00DA5F4C">
        <w:rPr>
          <w:rFonts w:ascii="Arial" w:hAnsi="Arial"/>
          <w:sz w:val="20"/>
          <w:szCs w:val="20"/>
        </w:rPr>
        <w:t>. 2014;66(3):344-354. doi:10.1002/acr.22110</w:t>
      </w:r>
    </w:p>
    <w:p w14:paraId="7F396E39" w14:textId="77777777" w:rsidR="004D3E32" w:rsidRPr="00DA5F4C" w:rsidRDefault="004D3E32" w:rsidP="00DA5F4C">
      <w:pPr>
        <w:pStyle w:val="Bibliografia"/>
        <w:spacing w:line="480" w:lineRule="auto"/>
        <w:jc w:val="both"/>
        <w:rPr>
          <w:rFonts w:ascii="Arial" w:hAnsi="Arial"/>
          <w:sz w:val="20"/>
          <w:szCs w:val="20"/>
        </w:rPr>
      </w:pPr>
      <w:r w:rsidRPr="00DA5F4C">
        <w:rPr>
          <w:rFonts w:ascii="Arial" w:hAnsi="Arial"/>
          <w:sz w:val="20"/>
          <w:szCs w:val="20"/>
        </w:rPr>
        <w:t>14.</w:t>
      </w:r>
      <w:r w:rsidRPr="00DA5F4C">
        <w:rPr>
          <w:rFonts w:ascii="Arial" w:hAnsi="Arial"/>
          <w:sz w:val="20"/>
          <w:szCs w:val="20"/>
        </w:rPr>
        <w:tab/>
        <w:t xml:space="preserve">Rodríguez de Francisco L, Acosta García HL, Fernández González M, Soriano Martínez M, Ciudad Gutierrez P. EVALUATION OF THE EFFECTIVENESS AND SAFETY OF SWITCHING FROM INTRAVENOUS TO SUBCUTANEOUS TOCILIZUMAB. </w:t>
      </w:r>
      <w:r w:rsidRPr="00DA5F4C">
        <w:rPr>
          <w:rFonts w:ascii="Arial" w:hAnsi="Arial"/>
          <w:i/>
          <w:iCs/>
          <w:sz w:val="20"/>
          <w:szCs w:val="20"/>
        </w:rPr>
        <w:t>Eur J Hosp Pharm</w:t>
      </w:r>
      <w:r w:rsidRPr="00DA5F4C">
        <w:rPr>
          <w:rFonts w:ascii="Arial" w:hAnsi="Arial"/>
          <w:sz w:val="20"/>
          <w:szCs w:val="20"/>
        </w:rPr>
        <w:t>. 2022;29(SUPPL 1):A115. doi:10.1136/ejhpharm-2022-eahp.240</w:t>
      </w:r>
    </w:p>
    <w:p w14:paraId="41898E81" w14:textId="0AAE734E" w:rsidR="00A83545" w:rsidRPr="00423846" w:rsidRDefault="004D3E32" w:rsidP="00DA5F4C">
      <w:pPr>
        <w:pStyle w:val="Bibliografia"/>
        <w:spacing w:line="480" w:lineRule="auto"/>
        <w:jc w:val="both"/>
        <w:rPr>
          <w:rFonts w:ascii="Arial" w:eastAsia="Aptos" w:hAnsi="Arial"/>
        </w:rPr>
      </w:pPr>
      <w:r w:rsidRPr="00DA5F4C">
        <w:rPr>
          <w:rFonts w:ascii="Arial" w:hAnsi="Arial"/>
          <w:sz w:val="20"/>
          <w:szCs w:val="20"/>
        </w:rPr>
        <w:t>15.</w:t>
      </w:r>
      <w:r w:rsidRPr="00DA5F4C">
        <w:rPr>
          <w:rFonts w:ascii="Arial" w:hAnsi="Arial"/>
          <w:sz w:val="20"/>
          <w:szCs w:val="20"/>
        </w:rPr>
        <w:tab/>
        <w:t xml:space="preserve">Stojanović S, Stamenković B, Nedović J, Aleksić I, Cvetković J. Effectiveness of tocilizumab after switching from intravenous to subcutaneous formulation in patients with rheumatoid arthritis: A single-centre experience. </w:t>
      </w:r>
      <w:r w:rsidRPr="00DA5F4C">
        <w:rPr>
          <w:rFonts w:ascii="Arial" w:hAnsi="Arial"/>
          <w:i/>
          <w:iCs/>
          <w:sz w:val="20"/>
          <w:szCs w:val="20"/>
        </w:rPr>
        <w:t>Acta Fac Medicae Naissensis</w:t>
      </w:r>
      <w:r w:rsidRPr="00DA5F4C">
        <w:rPr>
          <w:rFonts w:ascii="Arial" w:hAnsi="Arial"/>
          <w:sz w:val="20"/>
          <w:szCs w:val="20"/>
        </w:rPr>
        <w:t>. 2021;38(3):247-257. doi:10.5937/afmnai38-31264</w:t>
      </w:r>
      <w:r w:rsidR="00411781" w:rsidRPr="00DA5F4C">
        <w:rPr>
          <w:rFonts w:ascii="Arial" w:eastAsia="Aptos" w:hAnsi="Arial"/>
          <w:sz w:val="20"/>
          <w:szCs w:val="20"/>
        </w:rPr>
        <w:fldChar w:fldCharType="end"/>
      </w:r>
    </w:p>
    <w:sectPr w:rsidR="00A83545" w:rsidRPr="00423846" w:rsidSect="00423846">
      <w:type w:val="continuous"/>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CF83" w14:textId="77777777" w:rsidR="00FD33D2" w:rsidRPr="005303C9" w:rsidRDefault="00FD33D2">
      <w:r w:rsidRPr="005303C9">
        <w:separator/>
      </w:r>
    </w:p>
  </w:endnote>
  <w:endnote w:type="continuationSeparator" w:id="0">
    <w:p w14:paraId="12190419" w14:textId="77777777" w:rsidR="00FD33D2" w:rsidRPr="005303C9" w:rsidRDefault="00FD33D2">
      <w:r w:rsidRPr="005303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8036626"/>
      <w:docPartObj>
        <w:docPartGallery w:val="Page Numbers (Bottom of Page)"/>
        <w:docPartUnique/>
      </w:docPartObj>
    </w:sdtPr>
    <w:sdtContent>
      <w:p w14:paraId="6FB394E4" w14:textId="77777777" w:rsidR="00C271F8" w:rsidRPr="005303C9" w:rsidRDefault="00C271F8">
        <w:pPr>
          <w:pStyle w:val="Pidipagina"/>
          <w:jc w:val="right"/>
        </w:pPr>
        <w:r w:rsidRPr="005303C9">
          <w:fldChar w:fldCharType="begin"/>
        </w:r>
        <w:r w:rsidRPr="005303C9">
          <w:instrText>PAGE   \* MERGEFORMAT</w:instrText>
        </w:r>
        <w:r w:rsidRPr="005303C9">
          <w:fldChar w:fldCharType="separate"/>
        </w:r>
        <w:r w:rsidR="00282714">
          <w:rPr>
            <w:noProof/>
          </w:rPr>
          <w:t>3</w:t>
        </w:r>
        <w:r w:rsidRPr="005303C9">
          <w:fldChar w:fldCharType="end"/>
        </w:r>
      </w:p>
    </w:sdtContent>
  </w:sdt>
  <w:p w14:paraId="5763DD92" w14:textId="77777777" w:rsidR="00C271F8" w:rsidRPr="005303C9" w:rsidRDefault="00C271F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60A58" w14:textId="77777777" w:rsidR="00FD33D2" w:rsidRPr="005303C9" w:rsidRDefault="00FD33D2">
      <w:r w:rsidRPr="005303C9">
        <w:separator/>
      </w:r>
    </w:p>
  </w:footnote>
  <w:footnote w:type="continuationSeparator" w:id="0">
    <w:p w14:paraId="598BB6B4" w14:textId="77777777" w:rsidR="00FD33D2" w:rsidRPr="005303C9" w:rsidRDefault="00FD33D2">
      <w:r w:rsidRPr="005303C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83C56"/>
    <w:multiLevelType w:val="hybridMultilevel"/>
    <w:tmpl w:val="46405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51443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716"/>
    <w:rsid w:val="00012E09"/>
    <w:rsid w:val="00025C7E"/>
    <w:rsid w:val="000324DF"/>
    <w:rsid w:val="00044001"/>
    <w:rsid w:val="00050BAB"/>
    <w:rsid w:val="00052895"/>
    <w:rsid w:val="0005778E"/>
    <w:rsid w:val="00062FCC"/>
    <w:rsid w:val="00096284"/>
    <w:rsid w:val="000C3816"/>
    <w:rsid w:val="000F46FB"/>
    <w:rsid w:val="0010181E"/>
    <w:rsid w:val="00157274"/>
    <w:rsid w:val="00160915"/>
    <w:rsid w:val="001757E7"/>
    <w:rsid w:val="0018256D"/>
    <w:rsid w:val="001A200D"/>
    <w:rsid w:val="001A296F"/>
    <w:rsid w:val="001B42EB"/>
    <w:rsid w:val="001D2F5E"/>
    <w:rsid w:val="001E1E7C"/>
    <w:rsid w:val="001E76A3"/>
    <w:rsid w:val="00216F1E"/>
    <w:rsid w:val="00234954"/>
    <w:rsid w:val="00242B75"/>
    <w:rsid w:val="00267A4C"/>
    <w:rsid w:val="00282714"/>
    <w:rsid w:val="002A799F"/>
    <w:rsid w:val="002B5046"/>
    <w:rsid w:val="002D219F"/>
    <w:rsid w:val="002D53BE"/>
    <w:rsid w:val="00316E9E"/>
    <w:rsid w:val="0034424C"/>
    <w:rsid w:val="00354747"/>
    <w:rsid w:val="00370992"/>
    <w:rsid w:val="003C4310"/>
    <w:rsid w:val="003D3F1C"/>
    <w:rsid w:val="003E37B2"/>
    <w:rsid w:val="003F0D35"/>
    <w:rsid w:val="003F18D1"/>
    <w:rsid w:val="0040239B"/>
    <w:rsid w:val="00411781"/>
    <w:rsid w:val="00423846"/>
    <w:rsid w:val="004302F4"/>
    <w:rsid w:val="0047173A"/>
    <w:rsid w:val="0047518B"/>
    <w:rsid w:val="00483A7B"/>
    <w:rsid w:val="004A164D"/>
    <w:rsid w:val="004A66E1"/>
    <w:rsid w:val="004A718F"/>
    <w:rsid w:val="004B2533"/>
    <w:rsid w:val="004B7965"/>
    <w:rsid w:val="004D3E32"/>
    <w:rsid w:val="004E25A6"/>
    <w:rsid w:val="00513243"/>
    <w:rsid w:val="005244DD"/>
    <w:rsid w:val="005303C9"/>
    <w:rsid w:val="005326A6"/>
    <w:rsid w:val="0054554B"/>
    <w:rsid w:val="005551A3"/>
    <w:rsid w:val="005607E3"/>
    <w:rsid w:val="00562920"/>
    <w:rsid w:val="00596C92"/>
    <w:rsid w:val="00597F24"/>
    <w:rsid w:val="005D0757"/>
    <w:rsid w:val="005F648A"/>
    <w:rsid w:val="0061432C"/>
    <w:rsid w:val="0061594A"/>
    <w:rsid w:val="00643BAF"/>
    <w:rsid w:val="006B1180"/>
    <w:rsid w:val="006C3D60"/>
    <w:rsid w:val="006C48F1"/>
    <w:rsid w:val="00714364"/>
    <w:rsid w:val="00725A4E"/>
    <w:rsid w:val="007273AB"/>
    <w:rsid w:val="00734B24"/>
    <w:rsid w:val="00743458"/>
    <w:rsid w:val="007441F6"/>
    <w:rsid w:val="00752506"/>
    <w:rsid w:val="00757A3A"/>
    <w:rsid w:val="0076290F"/>
    <w:rsid w:val="007B2E31"/>
    <w:rsid w:val="007D677C"/>
    <w:rsid w:val="007E0EBE"/>
    <w:rsid w:val="007E4640"/>
    <w:rsid w:val="00835E9E"/>
    <w:rsid w:val="00840109"/>
    <w:rsid w:val="0084023E"/>
    <w:rsid w:val="008460C9"/>
    <w:rsid w:val="00891789"/>
    <w:rsid w:val="00893FCF"/>
    <w:rsid w:val="00895D1F"/>
    <w:rsid w:val="00897C02"/>
    <w:rsid w:val="008C5464"/>
    <w:rsid w:val="008C5F88"/>
    <w:rsid w:val="008E28BA"/>
    <w:rsid w:val="008F7934"/>
    <w:rsid w:val="009175EA"/>
    <w:rsid w:val="0092511A"/>
    <w:rsid w:val="00953024"/>
    <w:rsid w:val="0095416E"/>
    <w:rsid w:val="00960DBB"/>
    <w:rsid w:val="00962E81"/>
    <w:rsid w:val="00993917"/>
    <w:rsid w:val="00997D09"/>
    <w:rsid w:val="009A60BC"/>
    <w:rsid w:val="009C5716"/>
    <w:rsid w:val="009C7741"/>
    <w:rsid w:val="009D4090"/>
    <w:rsid w:val="009D6F1E"/>
    <w:rsid w:val="00A1288C"/>
    <w:rsid w:val="00A20FF0"/>
    <w:rsid w:val="00A31A41"/>
    <w:rsid w:val="00A83545"/>
    <w:rsid w:val="00AA78D0"/>
    <w:rsid w:val="00AB0EDE"/>
    <w:rsid w:val="00AB301A"/>
    <w:rsid w:val="00AE0EE0"/>
    <w:rsid w:val="00B17266"/>
    <w:rsid w:val="00B25939"/>
    <w:rsid w:val="00B44921"/>
    <w:rsid w:val="00B46D36"/>
    <w:rsid w:val="00B50619"/>
    <w:rsid w:val="00B52B9A"/>
    <w:rsid w:val="00B74F67"/>
    <w:rsid w:val="00B77CF6"/>
    <w:rsid w:val="00BA6F01"/>
    <w:rsid w:val="00BB16B0"/>
    <w:rsid w:val="00BD7E2C"/>
    <w:rsid w:val="00C1522F"/>
    <w:rsid w:val="00C250BE"/>
    <w:rsid w:val="00C271F8"/>
    <w:rsid w:val="00C32334"/>
    <w:rsid w:val="00C3781F"/>
    <w:rsid w:val="00C56A07"/>
    <w:rsid w:val="00C623F7"/>
    <w:rsid w:val="00C65AD7"/>
    <w:rsid w:val="00C66B8C"/>
    <w:rsid w:val="00C75A05"/>
    <w:rsid w:val="00C80142"/>
    <w:rsid w:val="00CA63A9"/>
    <w:rsid w:val="00CA68A4"/>
    <w:rsid w:val="00CB0BAE"/>
    <w:rsid w:val="00CB405A"/>
    <w:rsid w:val="00CC25D1"/>
    <w:rsid w:val="00D27386"/>
    <w:rsid w:val="00D37027"/>
    <w:rsid w:val="00D50B3A"/>
    <w:rsid w:val="00D6407A"/>
    <w:rsid w:val="00D64361"/>
    <w:rsid w:val="00D84760"/>
    <w:rsid w:val="00DA5F4C"/>
    <w:rsid w:val="00DC073C"/>
    <w:rsid w:val="00DE6DFE"/>
    <w:rsid w:val="00DF7F6B"/>
    <w:rsid w:val="00E5688B"/>
    <w:rsid w:val="00E57702"/>
    <w:rsid w:val="00E61114"/>
    <w:rsid w:val="00E877A4"/>
    <w:rsid w:val="00EA6F49"/>
    <w:rsid w:val="00EB3557"/>
    <w:rsid w:val="00EE67F2"/>
    <w:rsid w:val="00EF3582"/>
    <w:rsid w:val="00F06B29"/>
    <w:rsid w:val="00F36E5C"/>
    <w:rsid w:val="00F5477B"/>
    <w:rsid w:val="00F55F4C"/>
    <w:rsid w:val="00F90AFC"/>
    <w:rsid w:val="00F90D5C"/>
    <w:rsid w:val="00FC5DC5"/>
    <w:rsid w:val="00FC78B2"/>
    <w:rsid w:val="00FD33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2F86D"/>
  <w15:chartTrackingRefBased/>
  <w15:docId w15:val="{3834FFB1-8019-4342-923B-5ECB0F1F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522F"/>
    <w:pPr>
      <w:spacing w:after="0" w:line="240" w:lineRule="auto"/>
    </w:pPr>
    <w:rPr>
      <w:rFonts w:ascii="Times New Roman" w:hAnsi="Times New Roman" w:cs="Arial"/>
      <w:kern w:val="0"/>
      <w:lang w:val="en-US"/>
      <w14:ligatures w14:val="none"/>
    </w:rPr>
  </w:style>
  <w:style w:type="paragraph" w:styleId="Titolo1">
    <w:name w:val="heading 1"/>
    <w:basedOn w:val="Normale"/>
    <w:next w:val="Normale"/>
    <w:link w:val="Titolo1Carattere"/>
    <w:uiPriority w:val="9"/>
    <w:qFormat/>
    <w:rsid w:val="009C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9C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9C571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571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571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571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571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571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571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5716"/>
    <w:rPr>
      <w:rFonts w:asciiTheme="majorHAnsi" w:eastAsiaTheme="majorEastAsia" w:hAnsiTheme="majorHAnsi" w:cstheme="majorBidi"/>
      <w:color w:val="0F4761" w:themeColor="accent1" w:themeShade="BF"/>
      <w:sz w:val="40"/>
      <w:szCs w:val="40"/>
      <w:lang w:val="en-GB"/>
    </w:rPr>
  </w:style>
  <w:style w:type="character" w:customStyle="1" w:styleId="Titolo2Carattere">
    <w:name w:val="Titolo 2 Carattere"/>
    <w:basedOn w:val="Carpredefinitoparagrafo"/>
    <w:link w:val="Titolo2"/>
    <w:uiPriority w:val="9"/>
    <w:rsid w:val="009C5716"/>
    <w:rPr>
      <w:rFonts w:asciiTheme="majorHAnsi" w:eastAsiaTheme="majorEastAsia" w:hAnsiTheme="majorHAnsi" w:cstheme="majorBidi"/>
      <w:color w:val="0F4761" w:themeColor="accent1" w:themeShade="BF"/>
      <w:sz w:val="32"/>
      <w:szCs w:val="32"/>
      <w:lang w:val="en-GB"/>
    </w:rPr>
  </w:style>
  <w:style w:type="character" w:customStyle="1" w:styleId="Titolo3Carattere">
    <w:name w:val="Titolo 3 Carattere"/>
    <w:basedOn w:val="Carpredefinitoparagrafo"/>
    <w:link w:val="Titolo3"/>
    <w:uiPriority w:val="9"/>
    <w:rsid w:val="009C5716"/>
    <w:rPr>
      <w:rFonts w:eastAsiaTheme="majorEastAsia" w:cstheme="majorBidi"/>
      <w:color w:val="0F4761" w:themeColor="accent1" w:themeShade="BF"/>
      <w:sz w:val="28"/>
      <w:szCs w:val="28"/>
      <w:lang w:val="en-GB"/>
    </w:rPr>
  </w:style>
  <w:style w:type="character" w:customStyle="1" w:styleId="Titolo4Carattere">
    <w:name w:val="Titolo 4 Carattere"/>
    <w:basedOn w:val="Carpredefinitoparagrafo"/>
    <w:link w:val="Titolo4"/>
    <w:uiPriority w:val="9"/>
    <w:semiHidden/>
    <w:rsid w:val="009C5716"/>
    <w:rPr>
      <w:rFonts w:eastAsiaTheme="majorEastAsia" w:cstheme="majorBidi"/>
      <w:i/>
      <w:iCs/>
      <w:color w:val="0F4761" w:themeColor="accent1" w:themeShade="BF"/>
      <w:lang w:val="en-GB"/>
    </w:rPr>
  </w:style>
  <w:style w:type="character" w:customStyle="1" w:styleId="Titolo5Carattere">
    <w:name w:val="Titolo 5 Carattere"/>
    <w:basedOn w:val="Carpredefinitoparagrafo"/>
    <w:link w:val="Titolo5"/>
    <w:uiPriority w:val="9"/>
    <w:semiHidden/>
    <w:rsid w:val="009C5716"/>
    <w:rPr>
      <w:rFonts w:eastAsiaTheme="majorEastAsia" w:cstheme="majorBidi"/>
      <w:color w:val="0F4761" w:themeColor="accent1" w:themeShade="BF"/>
      <w:lang w:val="en-GB"/>
    </w:rPr>
  </w:style>
  <w:style w:type="character" w:customStyle="1" w:styleId="Titolo6Carattere">
    <w:name w:val="Titolo 6 Carattere"/>
    <w:basedOn w:val="Carpredefinitoparagrafo"/>
    <w:link w:val="Titolo6"/>
    <w:uiPriority w:val="9"/>
    <w:semiHidden/>
    <w:rsid w:val="009C5716"/>
    <w:rPr>
      <w:rFonts w:eastAsiaTheme="majorEastAsia" w:cstheme="majorBidi"/>
      <w:i/>
      <w:iCs/>
      <w:color w:val="595959" w:themeColor="text1" w:themeTint="A6"/>
      <w:lang w:val="en-GB"/>
    </w:rPr>
  </w:style>
  <w:style w:type="character" w:customStyle="1" w:styleId="Titolo7Carattere">
    <w:name w:val="Titolo 7 Carattere"/>
    <w:basedOn w:val="Carpredefinitoparagrafo"/>
    <w:link w:val="Titolo7"/>
    <w:uiPriority w:val="9"/>
    <w:semiHidden/>
    <w:rsid w:val="009C5716"/>
    <w:rPr>
      <w:rFonts w:eastAsiaTheme="majorEastAsia" w:cstheme="majorBidi"/>
      <w:color w:val="595959" w:themeColor="text1" w:themeTint="A6"/>
      <w:lang w:val="en-GB"/>
    </w:rPr>
  </w:style>
  <w:style w:type="character" w:customStyle="1" w:styleId="Titolo8Carattere">
    <w:name w:val="Titolo 8 Carattere"/>
    <w:basedOn w:val="Carpredefinitoparagrafo"/>
    <w:link w:val="Titolo8"/>
    <w:uiPriority w:val="9"/>
    <w:semiHidden/>
    <w:rsid w:val="009C5716"/>
    <w:rPr>
      <w:rFonts w:eastAsiaTheme="majorEastAsia" w:cstheme="majorBidi"/>
      <w:i/>
      <w:iCs/>
      <w:color w:val="272727" w:themeColor="text1" w:themeTint="D8"/>
      <w:lang w:val="en-GB"/>
    </w:rPr>
  </w:style>
  <w:style w:type="character" w:customStyle="1" w:styleId="Titolo9Carattere">
    <w:name w:val="Titolo 9 Carattere"/>
    <w:basedOn w:val="Carpredefinitoparagrafo"/>
    <w:link w:val="Titolo9"/>
    <w:uiPriority w:val="9"/>
    <w:semiHidden/>
    <w:rsid w:val="009C5716"/>
    <w:rPr>
      <w:rFonts w:eastAsiaTheme="majorEastAsia" w:cstheme="majorBidi"/>
      <w:color w:val="272727" w:themeColor="text1" w:themeTint="D8"/>
      <w:lang w:val="en-GB"/>
    </w:rPr>
  </w:style>
  <w:style w:type="paragraph" w:styleId="Titolo">
    <w:name w:val="Title"/>
    <w:basedOn w:val="Normale"/>
    <w:next w:val="Normale"/>
    <w:link w:val="TitoloCarattere"/>
    <w:uiPriority w:val="10"/>
    <w:qFormat/>
    <w:rsid w:val="009C571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5716"/>
    <w:rPr>
      <w:rFonts w:asciiTheme="majorHAnsi" w:eastAsiaTheme="majorEastAsia" w:hAnsiTheme="majorHAnsi" w:cstheme="majorBidi"/>
      <w:spacing w:val="-10"/>
      <w:kern w:val="28"/>
      <w:sz w:val="56"/>
      <w:szCs w:val="56"/>
      <w:lang w:val="en-GB"/>
    </w:rPr>
  </w:style>
  <w:style w:type="paragraph" w:styleId="Sottotitolo">
    <w:name w:val="Subtitle"/>
    <w:basedOn w:val="Normale"/>
    <w:next w:val="Normale"/>
    <w:link w:val="SottotitoloCarattere"/>
    <w:uiPriority w:val="11"/>
    <w:qFormat/>
    <w:rsid w:val="009C571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5716"/>
    <w:rPr>
      <w:rFonts w:eastAsiaTheme="majorEastAsia" w:cstheme="majorBidi"/>
      <w:color w:val="595959" w:themeColor="text1" w:themeTint="A6"/>
      <w:spacing w:val="15"/>
      <w:sz w:val="28"/>
      <w:szCs w:val="28"/>
      <w:lang w:val="en-GB"/>
    </w:rPr>
  </w:style>
  <w:style w:type="paragraph" w:styleId="Citazione">
    <w:name w:val="Quote"/>
    <w:basedOn w:val="Normale"/>
    <w:next w:val="Normale"/>
    <w:link w:val="CitazioneCarattere"/>
    <w:uiPriority w:val="29"/>
    <w:qFormat/>
    <w:rsid w:val="009C571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5716"/>
    <w:rPr>
      <w:i/>
      <w:iCs/>
      <w:color w:val="404040" w:themeColor="text1" w:themeTint="BF"/>
      <w:lang w:val="en-GB"/>
    </w:rPr>
  </w:style>
  <w:style w:type="paragraph" w:styleId="Paragrafoelenco">
    <w:name w:val="List Paragraph"/>
    <w:basedOn w:val="Normale"/>
    <w:uiPriority w:val="34"/>
    <w:qFormat/>
    <w:rsid w:val="009C5716"/>
    <w:pPr>
      <w:ind w:left="720"/>
      <w:contextualSpacing/>
    </w:pPr>
  </w:style>
  <w:style w:type="character" w:styleId="Enfasiintensa">
    <w:name w:val="Intense Emphasis"/>
    <w:basedOn w:val="Carpredefinitoparagrafo"/>
    <w:uiPriority w:val="21"/>
    <w:qFormat/>
    <w:rsid w:val="009C5716"/>
    <w:rPr>
      <w:i/>
      <w:iCs/>
      <w:color w:val="0F4761" w:themeColor="accent1" w:themeShade="BF"/>
    </w:rPr>
  </w:style>
  <w:style w:type="paragraph" w:styleId="Citazioneintensa">
    <w:name w:val="Intense Quote"/>
    <w:basedOn w:val="Normale"/>
    <w:next w:val="Normale"/>
    <w:link w:val="CitazioneintensaCarattere"/>
    <w:uiPriority w:val="30"/>
    <w:qFormat/>
    <w:rsid w:val="009C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5716"/>
    <w:rPr>
      <w:i/>
      <w:iCs/>
      <w:color w:val="0F4761" w:themeColor="accent1" w:themeShade="BF"/>
      <w:lang w:val="en-GB"/>
    </w:rPr>
  </w:style>
  <w:style w:type="character" w:styleId="Riferimentointenso">
    <w:name w:val="Intense Reference"/>
    <w:basedOn w:val="Carpredefinitoparagrafo"/>
    <w:uiPriority w:val="32"/>
    <w:qFormat/>
    <w:rsid w:val="009C5716"/>
    <w:rPr>
      <w:b/>
      <w:bCs/>
      <w:smallCaps/>
      <w:color w:val="0F4761" w:themeColor="accent1" w:themeShade="BF"/>
      <w:spacing w:val="5"/>
    </w:rPr>
  </w:style>
  <w:style w:type="paragraph" w:styleId="Pidipagina">
    <w:name w:val="footer"/>
    <w:basedOn w:val="Normale"/>
    <w:link w:val="PidipaginaCarattere"/>
    <w:uiPriority w:val="99"/>
    <w:unhideWhenUsed/>
    <w:rsid w:val="00C1522F"/>
    <w:pPr>
      <w:tabs>
        <w:tab w:val="center" w:pos="4819"/>
        <w:tab w:val="right" w:pos="9638"/>
      </w:tabs>
    </w:pPr>
  </w:style>
  <w:style w:type="character" w:customStyle="1" w:styleId="PidipaginaCarattere">
    <w:name w:val="Piè di pagina Carattere"/>
    <w:basedOn w:val="Carpredefinitoparagrafo"/>
    <w:link w:val="Pidipagina"/>
    <w:uiPriority w:val="99"/>
    <w:rsid w:val="00C1522F"/>
    <w:rPr>
      <w:rFonts w:ascii="Times New Roman" w:hAnsi="Times New Roman" w:cs="Arial"/>
      <w:kern w:val="0"/>
      <w14:ligatures w14:val="none"/>
    </w:rPr>
  </w:style>
  <w:style w:type="paragraph" w:styleId="Revisione">
    <w:name w:val="Revision"/>
    <w:hidden/>
    <w:uiPriority w:val="99"/>
    <w:semiHidden/>
    <w:rsid w:val="00CC25D1"/>
    <w:pPr>
      <w:spacing w:after="0" w:line="240" w:lineRule="auto"/>
    </w:pPr>
    <w:rPr>
      <w:rFonts w:ascii="Times New Roman" w:hAnsi="Times New Roman" w:cs="Arial"/>
      <w:kern w:val="0"/>
      <w14:ligatures w14:val="none"/>
    </w:rPr>
  </w:style>
  <w:style w:type="table" w:styleId="Grigliatabella">
    <w:name w:val="Table Grid"/>
    <w:basedOn w:val="Tabellanormale"/>
    <w:uiPriority w:val="39"/>
    <w:rsid w:val="0059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AB0EDE"/>
    <w:rPr>
      <w:sz w:val="16"/>
      <w:szCs w:val="16"/>
    </w:rPr>
  </w:style>
  <w:style w:type="paragraph" w:styleId="Testocommento">
    <w:name w:val="annotation text"/>
    <w:basedOn w:val="Normale"/>
    <w:link w:val="TestocommentoCarattere"/>
    <w:uiPriority w:val="99"/>
    <w:unhideWhenUsed/>
    <w:rsid w:val="00AB0EDE"/>
    <w:rPr>
      <w:sz w:val="20"/>
      <w:szCs w:val="20"/>
    </w:rPr>
  </w:style>
  <w:style w:type="character" w:customStyle="1" w:styleId="TestocommentoCarattere">
    <w:name w:val="Testo commento Carattere"/>
    <w:basedOn w:val="Carpredefinitoparagrafo"/>
    <w:link w:val="Testocommento"/>
    <w:uiPriority w:val="99"/>
    <w:rsid w:val="00AB0EDE"/>
    <w:rPr>
      <w:rFonts w:ascii="Times New Roman" w:hAnsi="Times New Roman" w:cs="Arial"/>
      <w:kern w:val="0"/>
      <w:sz w:val="20"/>
      <w:szCs w:val="20"/>
      <w:lang w:val="en-US"/>
      <w14:ligatures w14:val="none"/>
    </w:rPr>
  </w:style>
  <w:style w:type="paragraph" w:styleId="Soggettocommento">
    <w:name w:val="annotation subject"/>
    <w:basedOn w:val="Testocommento"/>
    <w:next w:val="Testocommento"/>
    <w:link w:val="SoggettocommentoCarattere"/>
    <w:uiPriority w:val="99"/>
    <w:semiHidden/>
    <w:unhideWhenUsed/>
    <w:rsid w:val="00AB0EDE"/>
    <w:rPr>
      <w:b/>
      <w:bCs/>
    </w:rPr>
  </w:style>
  <w:style w:type="character" w:customStyle="1" w:styleId="SoggettocommentoCarattere">
    <w:name w:val="Soggetto commento Carattere"/>
    <w:basedOn w:val="TestocommentoCarattere"/>
    <w:link w:val="Soggettocommento"/>
    <w:uiPriority w:val="99"/>
    <w:semiHidden/>
    <w:rsid w:val="00AB0EDE"/>
    <w:rPr>
      <w:rFonts w:ascii="Times New Roman" w:hAnsi="Times New Roman" w:cs="Arial"/>
      <w:b/>
      <w:bCs/>
      <w:kern w:val="0"/>
      <w:sz w:val="20"/>
      <w:szCs w:val="20"/>
      <w:lang w:val="en-US"/>
      <w14:ligatures w14:val="none"/>
    </w:rPr>
  </w:style>
  <w:style w:type="paragraph" w:styleId="Bibliografia">
    <w:name w:val="Bibliography"/>
    <w:basedOn w:val="Normale"/>
    <w:next w:val="Normale"/>
    <w:uiPriority w:val="37"/>
    <w:unhideWhenUsed/>
    <w:rsid w:val="00A83545"/>
    <w:pPr>
      <w:tabs>
        <w:tab w:val="left" w:pos="384"/>
      </w:tabs>
      <w:spacing w:after="240"/>
      <w:ind w:left="384" w:hanging="384"/>
    </w:pPr>
  </w:style>
  <w:style w:type="paragraph" w:styleId="Corpotesto">
    <w:name w:val="Body Text"/>
    <w:basedOn w:val="Normale"/>
    <w:link w:val="CorpotestoCarattere"/>
    <w:qFormat/>
    <w:rsid w:val="00F55F4C"/>
    <w:pPr>
      <w:spacing w:before="120" w:after="120"/>
    </w:pPr>
    <w:rPr>
      <w:rFonts w:asciiTheme="minorHAnsi" w:hAnsiTheme="minorHAnsi" w:cstheme="minorBidi"/>
    </w:rPr>
  </w:style>
  <w:style w:type="character" w:customStyle="1" w:styleId="CorpotestoCarattere">
    <w:name w:val="Corpo testo Carattere"/>
    <w:basedOn w:val="Carpredefinitoparagrafo"/>
    <w:link w:val="Corpotesto"/>
    <w:rsid w:val="00F55F4C"/>
    <w:rPr>
      <w:kern w:val="0"/>
      <w:lang w:val="en-US"/>
      <w14:ligatures w14:val="none"/>
    </w:rPr>
  </w:style>
  <w:style w:type="paragraph" w:customStyle="1" w:styleId="FirstParagraph">
    <w:name w:val="First Paragraph"/>
    <w:basedOn w:val="Corpotesto"/>
    <w:next w:val="Corpotesto"/>
    <w:qFormat/>
    <w:rsid w:val="00F55F4C"/>
  </w:style>
  <w:style w:type="character" w:styleId="Collegamentoipertestuale">
    <w:name w:val="Hyperlink"/>
    <w:basedOn w:val="Carpredefinitoparagrafo"/>
    <w:uiPriority w:val="99"/>
    <w:rsid w:val="00F55F4C"/>
    <w:rPr>
      <w:color w:val="156082" w:themeColor="accent1"/>
    </w:rPr>
  </w:style>
  <w:style w:type="character" w:styleId="Numeroriga">
    <w:name w:val="line number"/>
    <w:basedOn w:val="Carpredefinitoparagrafo"/>
    <w:uiPriority w:val="99"/>
    <w:semiHidden/>
    <w:unhideWhenUsed/>
    <w:rsid w:val="00423846"/>
  </w:style>
  <w:style w:type="paragraph" w:styleId="Testofumetto">
    <w:name w:val="Balloon Text"/>
    <w:basedOn w:val="Normale"/>
    <w:link w:val="TestofumettoCarattere"/>
    <w:uiPriority w:val="99"/>
    <w:semiHidden/>
    <w:unhideWhenUsed/>
    <w:rsid w:val="005132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13243"/>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211767">
      <w:bodyDiv w:val="1"/>
      <w:marLeft w:val="0"/>
      <w:marRight w:val="0"/>
      <w:marTop w:val="0"/>
      <w:marBottom w:val="0"/>
      <w:divBdr>
        <w:top w:val="none" w:sz="0" w:space="0" w:color="auto"/>
        <w:left w:val="none" w:sz="0" w:space="0" w:color="auto"/>
        <w:bottom w:val="none" w:sz="0" w:space="0" w:color="auto"/>
        <w:right w:val="none" w:sz="0" w:space="0" w:color="auto"/>
      </w:divBdr>
    </w:div>
    <w:div w:id="1048601687">
      <w:bodyDiv w:val="1"/>
      <w:marLeft w:val="0"/>
      <w:marRight w:val="0"/>
      <w:marTop w:val="0"/>
      <w:marBottom w:val="0"/>
      <w:divBdr>
        <w:top w:val="none" w:sz="0" w:space="0" w:color="auto"/>
        <w:left w:val="none" w:sz="0" w:space="0" w:color="auto"/>
        <w:bottom w:val="none" w:sz="0" w:space="0" w:color="auto"/>
        <w:right w:val="none" w:sz="0" w:space="0" w:color="auto"/>
      </w:divBdr>
    </w:div>
    <w:div w:id="146250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4E00-76DE-4ADE-BB8A-793D3235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20</Pages>
  <Words>10322</Words>
  <Characters>58837</Characters>
  <Application>Microsoft Office Word</Application>
  <DocSecurity>0</DocSecurity>
  <Lines>490</Lines>
  <Paragraphs>138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Ettore Silvagni</dc:creator>
  <cp:keywords/>
  <dc:description/>
  <cp:lastModifiedBy>giorgio</cp:lastModifiedBy>
  <cp:revision>7</cp:revision>
  <dcterms:created xsi:type="dcterms:W3CDTF">2025-09-20T15:02:00Z</dcterms:created>
  <dcterms:modified xsi:type="dcterms:W3CDTF">2025-10-10T08:03:00Z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id="9lKPliey"/&gt;&lt;style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