
<file path=[Content_Types].xml><?xml version="1.0" encoding="utf-8"?>
<Types xmlns="http://schemas.openxmlformats.org/package/2006/content-types">
  <Default Extension="png" ContentType="image/png"/>
  <Default Extension="tiff" ContentType="image/tiff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1483A0">
      <w:pPr>
        <w:widowControl w:val="0"/>
        <w:tabs>
          <w:tab w:val="right" w:pos="8306"/>
        </w:tabs>
        <w:spacing w:line="360" w:lineRule="auto"/>
        <w:jc w:val="both"/>
        <w:rPr>
          <w:rFonts w:ascii="Times New Roman" w:hAnsi="Times New Roman" w:eastAsia="等线" w:cs="Times New Roman"/>
          <w:b/>
          <w:bCs/>
          <w:kern w:val="2"/>
        </w:rPr>
      </w:pPr>
      <w:r>
        <w:drawing>
          <wp:inline distT="0" distB="0" distL="114300" distR="114300">
            <wp:extent cx="5269230" cy="3547745"/>
            <wp:effectExtent l="0" t="0" r="0" b="8255"/>
            <wp:docPr id="1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6EB7">
      <w:pPr>
        <w:widowControl w:val="0"/>
        <w:tabs>
          <w:tab w:val="right" w:pos="8306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eastAsia="等线" w:cs="Times New Roman"/>
          <w:b/>
          <w:bCs/>
          <w:kern w:val="2"/>
        </w:rPr>
        <w:t>Figure S1. The antidepressant effects of GLX-NPs at different doses in the CUMS-induced depressive mice model.</w:t>
      </w:r>
      <w:r>
        <w:rPr>
          <w:rFonts w:ascii="Times New Roman" w:hAnsi="Times New Roman" w:eastAsia="等线" w:cs="Times New Roman"/>
          <w:kern w:val="2"/>
          <w:lang w:bidi="ar"/>
        </w:rPr>
        <w:t xml:space="preserve"> (</w:t>
      </w:r>
      <w:r>
        <w:rPr>
          <w:rFonts w:hint="eastAsia" w:ascii="Times New Roman" w:hAnsi="Times New Roman" w:eastAsia="等线" w:cs="Times New Roman"/>
          <w:kern w:val="2"/>
          <w:lang w:bidi="ar"/>
        </w:rPr>
        <w:t>A</w:t>
      </w:r>
      <w:r>
        <w:rPr>
          <w:rFonts w:ascii="Times New Roman" w:hAnsi="Times New Roman" w:eastAsia="等线" w:cs="Times New Roman"/>
          <w:kern w:val="2"/>
          <w:lang w:bidi="ar"/>
        </w:rPr>
        <w:t>)</w:t>
      </w:r>
      <w:r>
        <w:rPr>
          <w:rFonts w:hint="eastAsia" w:ascii="Times New Roman" w:hAnsi="Times New Roman" w:eastAsia="等线" w:cs="Times New Roman"/>
          <w:kern w:val="2"/>
          <w:lang w:bidi="ar"/>
        </w:rPr>
        <w:t xml:space="preserve"> </w:t>
      </w:r>
      <w:r>
        <w:rPr>
          <w:rFonts w:ascii="Times New Roman" w:hAnsi="Times New Roman" w:eastAsia="等线" w:cs="Times New Roman"/>
          <w:kern w:val="2"/>
          <w:lang w:bidi="ar"/>
        </w:rPr>
        <w:t xml:space="preserve">Total distance traveled in the OFT (n = </w:t>
      </w:r>
      <w:r>
        <w:rPr>
          <w:rFonts w:hint="eastAsia" w:ascii="Times New Roman" w:hAnsi="Times New Roman" w:eastAsia="等线" w:cs="Times New Roman"/>
          <w:kern w:val="2"/>
          <w:lang w:bidi="ar"/>
        </w:rPr>
        <w:t>6</w:t>
      </w:r>
      <w:r>
        <w:rPr>
          <w:rFonts w:ascii="Times New Roman" w:hAnsi="Times New Roman" w:eastAsia="等线" w:cs="Times New Roman"/>
          <w:kern w:val="2"/>
          <w:lang w:bidi="ar"/>
        </w:rPr>
        <w:t>)</w:t>
      </w:r>
      <w:r>
        <w:rPr>
          <w:rFonts w:hint="eastAsia" w:ascii="Times New Roman" w:hAnsi="Times New Roman" w:eastAsia="等线" w:cs="Times New Roman"/>
          <w:kern w:val="2"/>
          <w:lang w:bidi="ar"/>
        </w:rPr>
        <w:t xml:space="preserve">. </w:t>
      </w:r>
      <w:r>
        <w:rPr>
          <w:rFonts w:ascii="Times New Roman" w:hAnsi="Times New Roman" w:eastAsia="等线" w:cs="Times New Roman"/>
          <w:kern w:val="2"/>
          <w:lang w:bidi="ar"/>
        </w:rPr>
        <w:t>(B)</w:t>
      </w:r>
      <w:r>
        <w:rPr>
          <w:rFonts w:hint="eastAsia" w:ascii="Times New Roman" w:hAnsi="Times New Roman" w:eastAsia="等线" w:cs="Times New Roman"/>
          <w:kern w:val="2"/>
          <w:lang w:bidi="ar"/>
        </w:rPr>
        <w:t xml:space="preserve"> </w:t>
      </w:r>
      <w:r>
        <w:rPr>
          <w:rFonts w:ascii="Times New Roman" w:hAnsi="Times New Roman" w:eastAsia="等线" w:cs="Times New Roman"/>
          <w:kern w:val="2"/>
          <w:lang w:bidi="ar"/>
        </w:rPr>
        <w:t xml:space="preserve">Average velocity in the OFT (n = </w:t>
      </w:r>
      <w:r>
        <w:rPr>
          <w:rFonts w:hint="eastAsia" w:ascii="Times New Roman" w:hAnsi="Times New Roman" w:eastAsia="等线" w:cs="Times New Roman"/>
          <w:kern w:val="2"/>
          <w:lang w:bidi="ar"/>
        </w:rPr>
        <w:t>6</w:t>
      </w:r>
      <w:r>
        <w:rPr>
          <w:rFonts w:ascii="Times New Roman" w:hAnsi="Times New Roman" w:eastAsia="等线" w:cs="Times New Roman"/>
          <w:kern w:val="2"/>
          <w:lang w:bidi="ar"/>
        </w:rPr>
        <w:t xml:space="preserve">). (C) Time spent in the center zone during the OFT (n = </w:t>
      </w:r>
      <w:r>
        <w:rPr>
          <w:rFonts w:hint="eastAsia" w:ascii="Times New Roman" w:hAnsi="Times New Roman" w:eastAsia="等线" w:cs="Times New Roman"/>
          <w:kern w:val="2"/>
          <w:lang w:bidi="ar"/>
        </w:rPr>
        <w:t>6</w:t>
      </w:r>
      <w:r>
        <w:rPr>
          <w:rFonts w:ascii="Times New Roman" w:hAnsi="Times New Roman" w:eastAsia="等线" w:cs="Times New Roman"/>
          <w:kern w:val="2"/>
          <w:lang w:bidi="ar"/>
        </w:rPr>
        <w:t>). (</w:t>
      </w:r>
      <w:r>
        <w:rPr>
          <w:rFonts w:hint="eastAsia" w:ascii="Times New Roman" w:hAnsi="Times New Roman" w:eastAsia="等线" w:cs="Times New Roman"/>
          <w:kern w:val="2"/>
          <w:lang w:bidi="ar"/>
        </w:rPr>
        <w:t>D</w:t>
      </w:r>
      <w:r>
        <w:rPr>
          <w:rFonts w:ascii="Times New Roman" w:hAnsi="Times New Roman" w:eastAsia="等线" w:cs="Times New Roman"/>
          <w:kern w:val="2"/>
          <w:lang w:bidi="ar"/>
        </w:rPr>
        <w:t xml:space="preserve">)Immobility time in the FST (n = </w:t>
      </w:r>
      <w:r>
        <w:rPr>
          <w:rFonts w:hint="eastAsia" w:ascii="Times New Roman" w:hAnsi="Times New Roman" w:eastAsia="等线" w:cs="Times New Roman"/>
          <w:kern w:val="2"/>
          <w:lang w:bidi="ar"/>
        </w:rPr>
        <w:t>6</w:t>
      </w:r>
      <w:r>
        <w:rPr>
          <w:rFonts w:ascii="Times New Roman" w:hAnsi="Times New Roman" w:eastAsia="等线" w:cs="Times New Roman"/>
          <w:kern w:val="2"/>
          <w:lang w:bidi="ar"/>
        </w:rPr>
        <w:t>). (</w:t>
      </w:r>
      <w:r>
        <w:rPr>
          <w:rFonts w:hint="eastAsia" w:ascii="Times New Roman" w:hAnsi="Times New Roman" w:eastAsia="等线" w:cs="Times New Roman"/>
          <w:kern w:val="2"/>
          <w:lang w:bidi="ar"/>
        </w:rPr>
        <w:t>E</w:t>
      </w:r>
      <w:r>
        <w:rPr>
          <w:rFonts w:ascii="Times New Roman" w:hAnsi="Times New Roman" w:eastAsia="等线" w:cs="Times New Roman"/>
          <w:kern w:val="2"/>
          <w:lang w:bidi="ar"/>
        </w:rPr>
        <w:t>) Immobility time in the TST (n = 6). (</w:t>
      </w:r>
      <w:r>
        <w:rPr>
          <w:rFonts w:hint="eastAsia" w:ascii="Times New Roman" w:hAnsi="Times New Roman" w:eastAsia="等线" w:cs="Times New Roman"/>
          <w:kern w:val="2"/>
          <w:lang w:bidi="ar"/>
        </w:rPr>
        <w:t>F</w:t>
      </w:r>
      <w:r>
        <w:rPr>
          <w:rFonts w:ascii="Times New Roman" w:hAnsi="Times New Roman" w:eastAsia="等线" w:cs="Times New Roman"/>
          <w:kern w:val="2"/>
          <w:lang w:bidi="ar"/>
        </w:rPr>
        <w:t xml:space="preserve">) Sucrose consumption in the SPT (n = 6). </w:t>
      </w:r>
      <w:r>
        <w:rPr>
          <w:rFonts w:hint="eastAsia" w:ascii="Times New Roman" w:hAnsi="Times New Roman" w:eastAsia="等线" w:cs="Times New Roman"/>
          <w:kern w:val="2"/>
          <w:lang w:bidi="ar"/>
        </w:rPr>
        <w:t xml:space="preserve">(G) Serum </w:t>
      </w:r>
      <w:r>
        <w:rPr>
          <w:rFonts w:hint="eastAsia" w:ascii="Times New Roman" w:hAnsi="Times New Roman" w:eastAsia="等线" w:cs="Times New Roman"/>
          <w:kern w:val="2"/>
          <w:lang w:val="en-US" w:eastAsia="zh-CN" w:bidi="ar"/>
        </w:rPr>
        <w:t>CORT</w:t>
      </w:r>
      <w:r>
        <w:rPr>
          <w:rFonts w:hint="eastAsia" w:ascii="Times New Roman" w:hAnsi="Times New Roman" w:eastAsia="等线" w:cs="Times New Roman"/>
          <w:kern w:val="2"/>
          <w:lang w:bidi="ar"/>
        </w:rPr>
        <w:t xml:space="preserve"> levels (n = 6). (H) Serum 5-HT levels.</w:t>
      </w:r>
      <w:r>
        <w:rPr>
          <w:rFonts w:ascii="Times New Roman" w:hAnsi="Times New Roman" w:eastAsia="等线" w:cs="Times New Roman"/>
          <w:kern w:val="2"/>
          <w:lang w:bidi="ar"/>
        </w:rPr>
        <w:t xml:space="preserve"> Values are presented as the mean ± SD. </w:t>
      </w:r>
      <w:r>
        <w:rPr>
          <w:rFonts w:hint="eastAsia" w:ascii="Times New Roman" w:hAnsi="Times New Roman" w:eastAsia="等线" w:cs="Times New Roman"/>
          <w:kern w:val="2"/>
          <w:lang w:bidi="ar"/>
        </w:rPr>
        <w:t xml:space="preserve">ns = not significant, </w:t>
      </w:r>
      <w:r>
        <w:rPr>
          <w:rFonts w:ascii="Times New Roman" w:hAnsi="Times New Roman" w:eastAsia="等线" w:cs="Times New Roman"/>
          <w:kern w:val="2"/>
          <w:lang w:bidi="ar"/>
        </w:rPr>
        <w:t>**p&lt;0.01, ***p&lt;0.001.</w:t>
      </w:r>
    </w:p>
    <w:p w14:paraId="654610EF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</w:p>
    <w:p w14:paraId="4C049258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81600" cy="4966970"/>
            <wp:effectExtent l="0" t="0" r="0" b="0"/>
            <wp:docPr id="26322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297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94" cy="4980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F0B90">
      <w:pPr>
        <w:widowControl w:val="0"/>
        <w:tabs>
          <w:tab w:val="right" w:pos="8306"/>
        </w:tabs>
        <w:spacing w:line="360" w:lineRule="auto"/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eastAsia="等线" w:cs="Times New Roman"/>
          <w:b/>
          <w:bCs/>
          <w:kern w:val="2"/>
        </w:rPr>
        <w:t xml:space="preserve">Figure S2. </w:t>
      </w:r>
      <w:r>
        <w:rPr>
          <w:rFonts w:ascii="Times New Roman" w:hAnsi="Times New Roman" w:eastAsia="Times New Roman" w:cs="Times New Roman"/>
          <w:b/>
          <w:bCs/>
          <w:lang w:eastAsia="en-US"/>
        </w:rPr>
        <w:t>Synthesis and characterization of GLX-NPs.</w:t>
      </w:r>
      <w:r>
        <w:rPr>
          <w:rFonts w:ascii="Times New Roman" w:hAnsi="Times New Roman" w:cs="Times New Roman" w:eastAsiaTheme="minorEastAsia"/>
          <w:b/>
          <w:bCs/>
        </w:rPr>
        <w:t xml:space="preserve"> </w:t>
      </w:r>
      <w:r>
        <w:rPr>
          <w:rFonts w:ascii="Times New Roman" w:hAnsi="Times New Roman" w:cs="Times New Roman" w:eastAsiaTheme="minorEastAsia"/>
        </w:rPr>
        <w:t xml:space="preserve">(A) </w:t>
      </w:r>
      <w:r>
        <w:rPr>
          <w:rFonts w:ascii="Times New Roman" w:hAnsi="Times New Roman" w:eastAsia="Times New Roman" w:cs="Times New Roman"/>
          <w:lang w:eastAsia="en-US"/>
        </w:rPr>
        <w:t xml:space="preserve">Biodistribution of GLX and GLX-NPs in various tissues at </w:t>
      </w:r>
      <w:r>
        <w:rPr>
          <w:rFonts w:ascii="Times New Roman" w:hAnsi="Times New Roman" w:cs="Times New Roman" w:eastAsiaTheme="minorEastAsia"/>
        </w:rPr>
        <w:t>6</w:t>
      </w:r>
      <w:r>
        <w:rPr>
          <w:rFonts w:ascii="Times New Roman" w:hAnsi="Times New Roman" w:eastAsia="Times New Roman" w:cs="Times New Roman"/>
          <w:lang w:eastAsia="en-US"/>
        </w:rPr>
        <w:t xml:space="preserve"> hours post-administration </w:t>
      </w:r>
      <w:r>
        <w:rPr>
          <w:rFonts w:hint="eastAsia" w:ascii="Times New Roman" w:hAnsi="Times New Roman" w:cs="Times New Roman" w:eastAsiaTheme="minorEastAsia"/>
        </w:rPr>
        <w:t>(n = 3)</w:t>
      </w:r>
      <w:r>
        <w:rPr>
          <w:rFonts w:ascii="Times New Roman" w:hAnsi="Times New Roman" w:eastAsia="Times New Roman" w:cs="Times New Roman"/>
          <w:lang w:eastAsia="en-US"/>
        </w:rPr>
        <w:t>.</w:t>
      </w:r>
      <w:r>
        <w:rPr>
          <w:rFonts w:ascii="Times New Roman" w:hAnsi="Times New Roman" w:cs="Times New Roman" w:eastAsiaTheme="minorEastAsia"/>
        </w:rPr>
        <w:t xml:space="preserve"> (A) </w:t>
      </w:r>
      <w:r>
        <w:rPr>
          <w:rFonts w:ascii="Times New Roman" w:hAnsi="Times New Roman" w:eastAsia="Times New Roman" w:cs="Times New Roman"/>
          <w:lang w:eastAsia="en-US"/>
        </w:rPr>
        <w:t xml:space="preserve">Biodistribution of GLX and GLX-NPs in various tissues at </w:t>
      </w:r>
      <w:r>
        <w:rPr>
          <w:rFonts w:ascii="Times New Roman" w:hAnsi="Times New Roman" w:cs="Times New Roman" w:eastAsiaTheme="minorEastAsia"/>
        </w:rPr>
        <w:t>12</w:t>
      </w:r>
      <w:r>
        <w:rPr>
          <w:rFonts w:ascii="Times New Roman" w:hAnsi="Times New Roman" w:eastAsia="Times New Roman" w:cs="Times New Roman"/>
          <w:lang w:eastAsia="en-US"/>
        </w:rPr>
        <w:t xml:space="preserve"> hours post-administration (n = 3).</w:t>
      </w:r>
      <w:r>
        <w:rPr>
          <w:rFonts w:ascii="Times New Roman" w:hAnsi="Times New Roman" w:cs="Times New Roman" w:eastAsiaTheme="minorEastAsia"/>
        </w:rPr>
        <w:t xml:space="preserve"> (C</w:t>
      </w:r>
      <w:r>
        <w:rPr>
          <w:rFonts w:hint="eastAsia" w:ascii="Times New Roman" w:hAnsi="Times New Roman" w:cs="Times New Roman" w:eastAsiaTheme="minorEastAsia"/>
        </w:rPr>
        <w:t xml:space="preserve">) </w:t>
      </w:r>
      <w:r>
        <w:rPr>
          <w:rFonts w:ascii="Times New Roman" w:hAnsi="Times New Roman" w:cs="Times New Roman" w:eastAsiaTheme="minorEastAsia"/>
        </w:rPr>
        <w:t>In vitro release curve of GLX-NPs</w:t>
      </w:r>
      <w:r>
        <w:rPr>
          <w:rFonts w:hint="eastAsia" w:ascii="Times New Roman" w:hAnsi="Times New Roman" w:cs="Times New Roman" w:eastAsiaTheme="minorEastAsia"/>
        </w:rPr>
        <w:t xml:space="preserve"> (n = 3)</w:t>
      </w:r>
      <w:r>
        <w:rPr>
          <w:rFonts w:ascii="Times New Roman" w:hAnsi="Times New Roman" w:cs="Times New Roman" w:eastAsiaTheme="minorEastAsia"/>
        </w:rPr>
        <w:t>.</w:t>
      </w:r>
    </w:p>
    <w:p w14:paraId="4D1B8C19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</w:p>
    <w:p w14:paraId="34DA6D6E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</w:p>
    <w:p w14:paraId="3AA4E057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</w:p>
    <w:p w14:paraId="623F391A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</w:p>
    <w:p w14:paraId="2E7E8FEF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</w:p>
    <w:p w14:paraId="48649678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</w:p>
    <w:p w14:paraId="55ED60D8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</w:p>
    <w:p w14:paraId="0EA923DA">
      <w:pPr>
        <w:widowControl w:val="0"/>
        <w:tabs>
          <w:tab w:val="right" w:pos="8306"/>
        </w:tabs>
        <w:spacing w:line="360" w:lineRule="auto"/>
        <w:jc w:val="both"/>
        <w:rPr>
          <w:rFonts w:hint="eastAsia"/>
        </w:rPr>
      </w:pPr>
    </w:p>
    <w:p w14:paraId="09D10C75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b/>
          <w:bCs/>
          <w:kern w:val="2"/>
        </w:rPr>
      </w:pPr>
    </w:p>
    <w:p w14:paraId="33D7A910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b/>
          <w:bCs/>
          <w:kern w:val="2"/>
        </w:rPr>
      </w:pPr>
      <w:r>
        <w:rPr>
          <w:rFonts w:ascii="Times New Roman" w:hAnsi="Times New Roman" w:eastAsia="等线" w:cs="Times New Roman"/>
          <w:b/>
          <w:bCs/>
          <w:kern w:val="2"/>
        </w:rPr>
        <w:drawing>
          <wp:inline distT="0" distB="0" distL="0" distR="0">
            <wp:extent cx="5274310" cy="1889760"/>
            <wp:effectExtent l="0" t="0" r="2540" b="0"/>
            <wp:docPr id="2071507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07674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AC5E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kern w:val="2"/>
        </w:rPr>
      </w:pPr>
      <w:bookmarkStart w:id="0" w:name="_Hlk201145585"/>
      <w:r>
        <w:rPr>
          <w:rFonts w:hint="eastAsia" w:ascii="Times New Roman" w:hAnsi="Times New Roman" w:eastAsia="等线" w:cs="Times New Roman"/>
          <w:b/>
          <w:bCs/>
          <w:kern w:val="2"/>
        </w:rPr>
        <w:t>Figure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 S</w:t>
      </w:r>
      <w:r>
        <w:rPr>
          <w:rFonts w:hint="eastAsia" w:ascii="Times New Roman" w:hAnsi="Times New Roman" w:eastAsia="等线" w:cs="Times New Roman"/>
          <w:b/>
          <w:bCs/>
          <w:kern w:val="2"/>
        </w:rPr>
        <w:t>3</w:t>
      </w:r>
      <w:r>
        <w:rPr>
          <w:rFonts w:ascii="Times New Roman" w:hAnsi="Times New Roman" w:eastAsia="等线" w:cs="Times New Roman"/>
          <w:b/>
          <w:bCs/>
          <w:kern w:val="2"/>
        </w:rPr>
        <w:t>.</w:t>
      </w:r>
      <w:r>
        <w:rPr>
          <w:rFonts w:ascii="Times New Roman" w:hAnsi="Times New Roman" w:eastAsia="等线" w:cs="Times New Roman"/>
          <w:kern w:val="2"/>
        </w:rPr>
        <w:t xml:space="preserve"> </w:t>
      </w:r>
      <w:bookmarkEnd w:id="0"/>
      <w:r>
        <w:rPr>
          <w:rFonts w:ascii="Times New Roman" w:hAnsi="Times New Roman" w:eastAsia="等线" w:cs="Times New Roman"/>
          <w:b/>
          <w:bCs/>
          <w:kern w:val="2"/>
        </w:rPr>
        <w:t>Evaluation of CORT-</w:t>
      </w:r>
      <w:r>
        <w:rPr>
          <w:rFonts w:hint="eastAsia" w:ascii="Times New Roman" w:hAnsi="Times New Roman" w:eastAsia="等线" w:cs="Times New Roman"/>
          <w:b/>
          <w:bCs/>
          <w:kern w:val="2"/>
        </w:rPr>
        <w:t>i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nduced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stress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m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odel and GLX-NPs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e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ffects on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c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ell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v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iability via CCK-8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a</w:t>
      </w:r>
      <w:r>
        <w:rPr>
          <w:rFonts w:ascii="Times New Roman" w:hAnsi="Times New Roman" w:eastAsia="等线" w:cs="Times New Roman"/>
          <w:b/>
          <w:bCs/>
          <w:kern w:val="2"/>
        </w:rPr>
        <w:t>ssay</w:t>
      </w:r>
      <w:r>
        <w:rPr>
          <w:rFonts w:hint="eastAsia" w:ascii="Times New Roman" w:hAnsi="Times New Roman" w:eastAsia="等线" w:cs="Times New Roman"/>
          <w:b/>
          <w:bCs/>
          <w:kern w:val="2"/>
        </w:rPr>
        <w:t>.</w:t>
      </w:r>
      <w:r>
        <w:rPr>
          <w:rFonts w:ascii="Times New Roman" w:hAnsi="Times New Roman" w:eastAsia="等线" w:cs="Times New Roman"/>
          <w:kern w:val="2"/>
        </w:rPr>
        <w:t xml:space="preserve"> (A-B) Cells were exposed to different concentrations of CORT, and an appropriate concentration was selected by CCK-8 assay to establish the ptosis model (n=3). (C) Effects of different concentrations of GLX-NPs on cell viability assessed by CCK-8 assay (n=3).</w:t>
      </w:r>
    </w:p>
    <w:p w14:paraId="374A7F05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b/>
          <w:bCs/>
          <w:kern w:val="2"/>
        </w:rPr>
      </w:pPr>
    </w:p>
    <w:p w14:paraId="3FF7B9CF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b/>
          <w:bCs/>
          <w:kern w:val="2"/>
        </w:rPr>
      </w:pPr>
    </w:p>
    <w:p w14:paraId="1DA00F9F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b/>
          <w:bCs/>
          <w:kern w:val="2"/>
        </w:rPr>
      </w:pPr>
    </w:p>
    <w:p w14:paraId="2083FCF0">
      <w:pPr>
        <w:jc w:val="both"/>
        <w:rPr>
          <w:rFonts w:ascii="Times New Roman" w:hAnsi="Times New Roman" w:eastAsia="等线" w:cs="Times New Roman"/>
          <w:b/>
          <w:bCs/>
          <w:kern w:val="2"/>
        </w:rPr>
      </w:pPr>
      <w:r>
        <w:rPr>
          <w:rFonts w:ascii="Times New Roman" w:hAnsi="Times New Roman" w:eastAsia="等线" w:cs="Times New Roman"/>
          <w:b/>
          <w:bCs/>
          <w:kern w:val="2"/>
        </w:rPr>
        <w:br w:type="page"/>
      </w:r>
    </w:p>
    <w:p w14:paraId="028B432E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b/>
          <w:bCs/>
          <w:kern w:val="2"/>
        </w:rPr>
      </w:pPr>
      <w:r>
        <w:rPr>
          <w:rFonts w:ascii="Times New Roman" w:hAnsi="Times New Roman" w:eastAsia="等线" w:cs="Times New Roman"/>
          <w:b/>
          <w:bCs/>
          <w:kern w:val="2"/>
        </w:rPr>
        <w:drawing>
          <wp:inline distT="0" distB="0" distL="0" distR="0">
            <wp:extent cx="5274310" cy="4467860"/>
            <wp:effectExtent l="0" t="0" r="2540" b="8890"/>
            <wp:docPr id="20826934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93456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F3D5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kern w:val="2"/>
        </w:rPr>
      </w:pPr>
      <w:bookmarkStart w:id="1" w:name="_Hlk201145600"/>
      <w:r>
        <w:rPr>
          <w:rFonts w:hint="eastAsia" w:ascii="Times New Roman" w:hAnsi="Times New Roman" w:eastAsia="等线" w:cs="Times New Roman"/>
          <w:b/>
          <w:bCs/>
          <w:kern w:val="2"/>
        </w:rPr>
        <w:t xml:space="preserve">Figure </w:t>
      </w:r>
      <w:r>
        <w:rPr>
          <w:rFonts w:ascii="Times New Roman" w:hAnsi="Times New Roman" w:eastAsia="等线" w:cs="Times New Roman"/>
          <w:b/>
          <w:bCs/>
          <w:kern w:val="2"/>
        </w:rPr>
        <w:t>S</w:t>
      </w:r>
      <w:r>
        <w:rPr>
          <w:rFonts w:hint="eastAsia" w:ascii="Times New Roman" w:hAnsi="Times New Roman" w:eastAsia="等线" w:cs="Times New Roman"/>
          <w:b/>
          <w:bCs/>
          <w:kern w:val="2"/>
        </w:rPr>
        <w:t>4</w:t>
      </w:r>
      <w:r>
        <w:rPr>
          <w:rFonts w:ascii="Times New Roman" w:hAnsi="Times New Roman" w:eastAsia="等线" w:cs="Times New Roman"/>
          <w:b/>
          <w:bCs/>
          <w:kern w:val="2"/>
        </w:rPr>
        <w:t>.</w:t>
      </w:r>
      <w:r>
        <w:rPr>
          <w:rFonts w:ascii="Times New Roman" w:hAnsi="Times New Roman" w:eastAsia="等线" w:cs="Times New Roman"/>
          <w:kern w:val="2"/>
        </w:rPr>
        <w:t xml:space="preserve"> </w:t>
      </w:r>
      <w:bookmarkEnd w:id="1"/>
      <w:r>
        <w:rPr>
          <w:rFonts w:ascii="Times New Roman" w:hAnsi="Times New Roman" w:eastAsia="等线" w:cs="Times New Roman"/>
          <w:b/>
          <w:bCs/>
          <w:kern w:val="2"/>
        </w:rPr>
        <w:t xml:space="preserve">Assessment of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i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ntracellular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l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ipid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p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eroxidation and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a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ntioxidant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b</w:t>
      </w:r>
      <w:r>
        <w:rPr>
          <w:rFonts w:ascii="Times New Roman" w:hAnsi="Times New Roman" w:eastAsia="等线" w:cs="Times New Roman"/>
          <w:b/>
          <w:bCs/>
          <w:kern w:val="2"/>
        </w:rPr>
        <w:t>iomarkers</w:t>
      </w:r>
      <w:r>
        <w:rPr>
          <w:rFonts w:hint="eastAsia" w:ascii="Times New Roman" w:hAnsi="Times New Roman" w:eastAsia="等线" w:cs="Times New Roman"/>
          <w:b/>
          <w:bCs/>
          <w:kern w:val="2"/>
        </w:rPr>
        <w:t>.</w:t>
      </w:r>
      <w:r>
        <w:rPr>
          <w:rFonts w:hint="eastAsia" w:ascii="Times New Roman" w:hAnsi="Times New Roman" w:eastAsia="等线" w:cs="Times New Roman"/>
          <w:kern w:val="2"/>
        </w:rPr>
        <w:t xml:space="preserve"> </w:t>
      </w:r>
      <w:r>
        <w:rPr>
          <w:rFonts w:ascii="Times New Roman" w:hAnsi="Times New Roman" w:eastAsia="等线" w:cs="Times New Roman"/>
          <w:kern w:val="2"/>
        </w:rPr>
        <w:t>(A-B) Measurement of intracellular LPO and relative fluorescence intensity (n=3). Scale bar = 50 μm. (C-E) Levels of GSH, SOD and MDA in HT22 cells from different groups (n=3). Data are presented as mean ± SD. ***p &lt; 0.001.</w:t>
      </w:r>
    </w:p>
    <w:p w14:paraId="27430E18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28085C9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27994C68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F150A32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kern w:val="2"/>
        </w:rPr>
      </w:pPr>
      <w:r>
        <w:drawing>
          <wp:inline distT="0" distB="0" distL="114300" distR="114300">
            <wp:extent cx="5267960" cy="5230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06E5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kern w:val="2"/>
        </w:rPr>
      </w:pPr>
      <w:bookmarkStart w:id="2" w:name="_Hlk201145625"/>
      <w:r>
        <w:rPr>
          <w:rFonts w:hint="eastAsia" w:ascii="Times New Roman" w:hAnsi="Times New Roman" w:eastAsia="等线" w:cs="Times New Roman"/>
          <w:b/>
          <w:bCs/>
          <w:kern w:val="2"/>
        </w:rPr>
        <w:t>Figure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 S</w:t>
      </w:r>
      <w:r>
        <w:rPr>
          <w:rFonts w:hint="eastAsia" w:ascii="Times New Roman" w:hAnsi="Times New Roman" w:eastAsia="等线" w:cs="Times New Roman"/>
          <w:b/>
          <w:bCs/>
          <w:kern w:val="2"/>
        </w:rPr>
        <w:t>5</w:t>
      </w:r>
      <w:r>
        <w:rPr>
          <w:rFonts w:ascii="Times New Roman" w:hAnsi="Times New Roman" w:eastAsia="等线" w:cs="Times New Roman"/>
          <w:b/>
          <w:bCs/>
          <w:kern w:val="2"/>
        </w:rPr>
        <w:t>.</w:t>
      </w:r>
      <w:r>
        <w:rPr>
          <w:rFonts w:ascii="Times New Roman" w:hAnsi="Times New Roman" w:eastAsia="等线" w:cs="Times New Roman"/>
          <w:kern w:val="2"/>
        </w:rPr>
        <w:t xml:space="preserve"> 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Protein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e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xpression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a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nalysis of NOX4, NRF2, HO-1, and GPX4 in HT22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c</w:t>
      </w:r>
      <w:r>
        <w:rPr>
          <w:rFonts w:ascii="Times New Roman" w:hAnsi="Times New Roman" w:eastAsia="等线" w:cs="Times New Roman"/>
          <w:b/>
          <w:bCs/>
          <w:kern w:val="2"/>
        </w:rPr>
        <w:t>ells</w:t>
      </w:r>
      <w:r>
        <w:rPr>
          <w:rFonts w:hint="eastAsia" w:ascii="Times New Roman" w:hAnsi="Times New Roman" w:eastAsia="等线" w:cs="Times New Roman"/>
          <w:b/>
          <w:bCs/>
          <w:kern w:val="2"/>
        </w:rPr>
        <w:t>.</w:t>
      </w:r>
      <w:r>
        <w:rPr>
          <w:rFonts w:ascii="Times New Roman" w:hAnsi="Times New Roman" w:eastAsia="等线" w:cs="Times New Roman"/>
          <w:kern w:val="2"/>
        </w:rPr>
        <w:t xml:space="preserve"> </w:t>
      </w:r>
      <w:bookmarkEnd w:id="2"/>
      <w:r>
        <w:rPr>
          <w:rFonts w:ascii="Times New Roman" w:hAnsi="Times New Roman" w:eastAsia="等线" w:cs="Times New Roman"/>
          <w:kern w:val="2"/>
        </w:rPr>
        <w:t>(A-E) Representative immunoblotting and quantitative analysis of NOX4, N</w:t>
      </w:r>
      <w:r>
        <w:rPr>
          <w:rFonts w:hint="eastAsia" w:ascii="Times New Roman" w:hAnsi="Times New Roman" w:eastAsia="等线" w:cs="Times New Roman"/>
          <w:kern w:val="2"/>
        </w:rPr>
        <w:t>rf</w:t>
      </w:r>
      <w:r>
        <w:rPr>
          <w:rFonts w:ascii="Times New Roman" w:hAnsi="Times New Roman" w:eastAsia="等线" w:cs="Times New Roman"/>
          <w:kern w:val="2"/>
        </w:rPr>
        <w:t>2, HO-1, and GPX4 of HT22 cells from different groups (n=3). Data are presented as mean ± SD. *p &lt; 0.05, **p &lt; 0.01, ***p &lt; 0.001.</w:t>
      </w:r>
    </w:p>
    <w:p w14:paraId="7E5633CA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kern w:val="2"/>
        </w:rPr>
      </w:pPr>
      <w:r>
        <w:rPr>
          <w:rFonts w:ascii="Times New Roman" w:hAnsi="Times New Roman" w:eastAsia="等线" w:cs="Times New Roman"/>
          <w:kern w:val="2"/>
        </w:rPr>
        <w:t xml:space="preserve"> </w:t>
      </w:r>
      <w:r>
        <w:rPr>
          <w:rFonts w:hint="eastAsia" w:ascii="Times New Roman" w:hAnsi="Times New Roman" w:eastAsia="等线" w:cs="Times New Roman"/>
          <w:kern w:val="2"/>
        </w:rPr>
        <w:drawing>
          <wp:inline distT="0" distB="0" distL="114300" distR="114300">
            <wp:extent cx="5271770" cy="3424555"/>
            <wp:effectExtent l="0" t="0" r="0" b="0"/>
            <wp:docPr id="2" name="图片 2" descr="S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4 拷贝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B9DA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459FC892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kern w:val="2"/>
        </w:rPr>
      </w:pPr>
      <w:r>
        <w:rPr>
          <w:rFonts w:hint="eastAsia" w:ascii="Times New Roman" w:hAnsi="Times New Roman" w:eastAsia="等线" w:cs="Times New Roman"/>
          <w:b/>
          <w:bCs/>
          <w:kern w:val="2"/>
        </w:rPr>
        <w:t>Figure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 S</w:t>
      </w:r>
      <w:r>
        <w:rPr>
          <w:rFonts w:hint="eastAsia" w:ascii="Times New Roman" w:hAnsi="Times New Roman" w:eastAsia="等线" w:cs="Times New Roman"/>
          <w:b/>
          <w:bCs/>
          <w:kern w:val="2"/>
        </w:rPr>
        <w:t>6</w:t>
      </w:r>
      <w:r>
        <w:rPr>
          <w:rFonts w:ascii="Times New Roman" w:hAnsi="Times New Roman" w:eastAsia="等线" w:cs="Times New Roman"/>
          <w:b/>
          <w:bCs/>
          <w:kern w:val="2"/>
        </w:rPr>
        <w:t>.</w:t>
      </w:r>
      <w:r>
        <w:rPr>
          <w:rFonts w:hint="eastAsia" w:ascii="Times New Roman" w:hAnsi="Times New Roman" w:eastAsia="等线" w:cs="Times New Roman"/>
          <w:b/>
          <w:bCs/>
          <w:kern w:val="2"/>
        </w:rPr>
        <w:t xml:space="preserve"> qPCR analysis in hippocampus and HT22 cells. </w:t>
      </w:r>
      <w:r>
        <w:rPr>
          <w:rFonts w:ascii="Times New Roman" w:hAnsi="Times New Roman" w:eastAsia="等线" w:cs="Times New Roman"/>
          <w:kern w:val="2"/>
        </w:rPr>
        <w:t>(A-</w:t>
      </w:r>
      <w:r>
        <w:rPr>
          <w:rFonts w:hint="eastAsia" w:ascii="Times New Roman" w:hAnsi="Times New Roman" w:eastAsia="等线" w:cs="Times New Roman"/>
          <w:kern w:val="2"/>
        </w:rPr>
        <w:t>D</w:t>
      </w:r>
      <w:r>
        <w:rPr>
          <w:rFonts w:ascii="Times New Roman" w:hAnsi="Times New Roman" w:eastAsia="等线" w:cs="Times New Roman"/>
          <w:kern w:val="2"/>
        </w:rPr>
        <w:t>)</w:t>
      </w:r>
      <w:r>
        <w:rPr>
          <w:rFonts w:hint="eastAsia" w:ascii="Times New Roman" w:hAnsi="Times New Roman" w:eastAsia="等线" w:cs="Times New Roman"/>
          <w:kern w:val="2"/>
        </w:rPr>
        <w:t xml:space="preserve"> </w:t>
      </w:r>
      <w:r>
        <w:rPr>
          <w:rFonts w:ascii="Times New Roman" w:hAnsi="Times New Roman" w:eastAsia="等线" w:cs="Times New Roman"/>
          <w:kern w:val="2"/>
          <w:lang w:bidi="ar"/>
        </w:rPr>
        <w:t>qPCR analysis of NOX4, NRF2, HO-1, and GPX4 expression levels in hippocampal tissue of mice from different groups (n=4).</w:t>
      </w:r>
      <w:r>
        <w:rPr>
          <w:rFonts w:hint="eastAsia" w:ascii="Times New Roman" w:hAnsi="Times New Roman" w:eastAsia="等线" w:cs="Times New Roman"/>
          <w:kern w:val="2"/>
          <w:lang w:bidi="ar"/>
        </w:rPr>
        <w:t xml:space="preserve"> </w:t>
      </w:r>
      <w:r>
        <w:rPr>
          <w:rFonts w:ascii="Times New Roman" w:hAnsi="Times New Roman" w:eastAsia="等线" w:cs="Times New Roman"/>
          <w:kern w:val="2"/>
        </w:rPr>
        <w:t>(</w:t>
      </w:r>
      <w:r>
        <w:rPr>
          <w:rFonts w:hint="eastAsia" w:ascii="Times New Roman" w:hAnsi="Times New Roman" w:eastAsia="等线" w:cs="Times New Roman"/>
          <w:kern w:val="2"/>
        </w:rPr>
        <w:t>E</w:t>
      </w:r>
      <w:r>
        <w:rPr>
          <w:rFonts w:ascii="Times New Roman" w:hAnsi="Times New Roman" w:eastAsia="等线" w:cs="Times New Roman"/>
          <w:kern w:val="2"/>
        </w:rPr>
        <w:t>-</w:t>
      </w:r>
      <w:r>
        <w:rPr>
          <w:rFonts w:hint="eastAsia" w:ascii="Times New Roman" w:hAnsi="Times New Roman" w:eastAsia="等线" w:cs="Times New Roman"/>
          <w:kern w:val="2"/>
        </w:rPr>
        <w:t>H</w:t>
      </w:r>
      <w:r>
        <w:rPr>
          <w:rFonts w:ascii="Times New Roman" w:hAnsi="Times New Roman" w:eastAsia="等线" w:cs="Times New Roman"/>
          <w:kern w:val="2"/>
        </w:rPr>
        <w:t>)</w:t>
      </w:r>
      <w:r>
        <w:rPr>
          <w:rFonts w:hint="eastAsia" w:ascii="Times New Roman" w:hAnsi="Times New Roman" w:eastAsia="等线" w:cs="Times New Roman"/>
          <w:kern w:val="2"/>
        </w:rPr>
        <w:t xml:space="preserve"> </w:t>
      </w:r>
      <w:r>
        <w:rPr>
          <w:rFonts w:ascii="Times New Roman" w:hAnsi="Times New Roman" w:eastAsia="等线" w:cs="Times New Roman"/>
          <w:kern w:val="2"/>
        </w:rPr>
        <w:t>qPCR analysis of NOX4, NRF2, HO-1, and GPX4 expression in HT22 cells from different groups (n=4). Data are presented as mean ± SD.</w:t>
      </w:r>
      <w:r>
        <w:rPr>
          <w:rFonts w:hint="eastAsia" w:ascii="Times New Roman" w:hAnsi="Times New Roman" w:eastAsia="等线" w:cs="Times New Roman"/>
          <w:kern w:val="2"/>
        </w:rPr>
        <w:t xml:space="preserve"> </w:t>
      </w:r>
      <w:r>
        <w:rPr>
          <w:rFonts w:ascii="Times New Roman" w:hAnsi="Times New Roman" w:eastAsia="等线" w:cs="Times New Roman"/>
          <w:kern w:val="2"/>
        </w:rPr>
        <w:t>***p &lt; 0.001.</w:t>
      </w:r>
    </w:p>
    <w:p w14:paraId="1DDE63DB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77A981BA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CE2AD1D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F1804C7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77C3EEE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486F4DF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86CE2A2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443F2F9A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4711FD1D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8281708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5084B0C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A33ED97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752E98B6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7A57CAD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42ACA462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742B0B88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26648A2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8FD3BCE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45EC1637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0D1D27A8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kern w:val="2"/>
        </w:rPr>
      </w:pPr>
      <w:r>
        <w:drawing>
          <wp:inline distT="0" distB="0" distL="114300" distR="114300">
            <wp:extent cx="5273675" cy="717994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0C2F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kern w:val="2"/>
        </w:rPr>
      </w:pPr>
      <w:bookmarkStart w:id="3" w:name="_Hlk201145637"/>
      <w:r>
        <w:rPr>
          <w:rFonts w:ascii="Times New Roman" w:hAnsi="Times New Roman" w:eastAsia="等线" w:cs="Times New Roman"/>
          <w:b/>
          <w:bCs/>
          <w:kern w:val="2"/>
        </w:rPr>
        <w:t>Figure S</w:t>
      </w:r>
      <w:r>
        <w:rPr>
          <w:rFonts w:hint="eastAsia" w:ascii="Times New Roman" w:hAnsi="Times New Roman" w:eastAsia="等线" w:cs="Times New Roman"/>
          <w:b/>
          <w:bCs/>
          <w:kern w:val="2"/>
        </w:rPr>
        <w:t>7</w:t>
      </w:r>
      <w:r>
        <w:rPr>
          <w:rFonts w:ascii="Times New Roman" w:hAnsi="Times New Roman" w:eastAsia="等线" w:cs="Times New Roman"/>
          <w:b/>
          <w:bCs/>
          <w:kern w:val="2"/>
        </w:rPr>
        <w:t>.</w:t>
      </w:r>
      <w:r>
        <w:t xml:space="preserve"> 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Protein and mRNA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e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xpression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a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nalysis of NRF2, HO-1, and GPX4 in HT22 </w:t>
      </w:r>
      <w:r>
        <w:rPr>
          <w:rFonts w:hint="eastAsia" w:ascii="Times New Roman" w:hAnsi="Times New Roman" w:eastAsia="等线" w:cs="Times New Roman"/>
          <w:b/>
          <w:bCs/>
          <w:kern w:val="2"/>
        </w:rPr>
        <w:t>c</w:t>
      </w:r>
      <w:r>
        <w:rPr>
          <w:rFonts w:ascii="Times New Roman" w:hAnsi="Times New Roman" w:eastAsia="等线" w:cs="Times New Roman"/>
          <w:b/>
          <w:bCs/>
          <w:kern w:val="2"/>
        </w:rPr>
        <w:t>ells</w:t>
      </w:r>
      <w:r>
        <w:rPr>
          <w:rFonts w:hint="eastAsia" w:ascii="Times New Roman" w:hAnsi="Times New Roman" w:eastAsia="等线" w:cs="Times New Roman"/>
          <w:b/>
          <w:bCs/>
          <w:kern w:val="2"/>
        </w:rPr>
        <w:t>.</w:t>
      </w:r>
      <w:r>
        <w:rPr>
          <w:rFonts w:ascii="Times New Roman" w:hAnsi="Times New Roman" w:eastAsia="等线" w:cs="Times New Roman"/>
          <w:b/>
          <w:bCs/>
          <w:kern w:val="2"/>
        </w:rPr>
        <w:t xml:space="preserve"> </w:t>
      </w:r>
      <w:bookmarkEnd w:id="3"/>
      <w:r>
        <w:rPr>
          <w:rFonts w:ascii="Times New Roman" w:hAnsi="Times New Roman" w:eastAsia="等线" w:cs="Times New Roman"/>
          <w:kern w:val="2"/>
        </w:rPr>
        <w:t>(A-D) Representative immunoblotting and quantitative analysis of N</w:t>
      </w:r>
      <w:r>
        <w:rPr>
          <w:rFonts w:hint="eastAsia" w:ascii="Times New Roman" w:hAnsi="Times New Roman" w:eastAsia="等线" w:cs="Times New Roman"/>
          <w:kern w:val="2"/>
        </w:rPr>
        <w:t>rf</w:t>
      </w:r>
      <w:r>
        <w:rPr>
          <w:rFonts w:ascii="Times New Roman" w:hAnsi="Times New Roman" w:eastAsia="等线" w:cs="Times New Roman"/>
          <w:kern w:val="2"/>
        </w:rPr>
        <w:t xml:space="preserve">2, HO-1, and GPX4 </w:t>
      </w:r>
      <w:r>
        <w:rPr>
          <w:rFonts w:hint="eastAsia" w:ascii="Times New Roman" w:hAnsi="Times New Roman" w:eastAsia="等线" w:cs="Times New Roman"/>
          <w:kern w:val="2"/>
          <w:lang w:val="en-US" w:eastAsia="zh-CN"/>
        </w:rPr>
        <w:t>in</w:t>
      </w:r>
      <w:bookmarkStart w:id="8" w:name="_GoBack"/>
      <w:bookmarkEnd w:id="8"/>
      <w:r>
        <w:rPr>
          <w:rFonts w:ascii="Times New Roman" w:hAnsi="Times New Roman" w:eastAsia="等线" w:cs="Times New Roman"/>
          <w:kern w:val="2"/>
        </w:rPr>
        <w:t xml:space="preserve"> HT22 cells from different groups (n=3). (E-G) qPCR analysis of N</w:t>
      </w:r>
      <w:r>
        <w:rPr>
          <w:rFonts w:hint="eastAsia" w:ascii="Times New Roman" w:hAnsi="Times New Roman" w:eastAsia="等线" w:cs="Times New Roman"/>
          <w:kern w:val="2"/>
        </w:rPr>
        <w:t>rf</w:t>
      </w:r>
      <w:r>
        <w:rPr>
          <w:rFonts w:ascii="Times New Roman" w:hAnsi="Times New Roman" w:eastAsia="等线" w:cs="Times New Roman"/>
          <w:kern w:val="2"/>
        </w:rPr>
        <w:t>2, HO-1, and GPX4 expression in HT22 cells from different groups (n=4). Data are presented as mean ± SD. *p &lt; 0.05, **p &lt; 0.01, ***p &lt; 0.001.</w:t>
      </w:r>
    </w:p>
    <w:p w14:paraId="01EB2ABD">
      <w:pPr>
        <w:widowControl w:val="0"/>
        <w:spacing w:line="360" w:lineRule="auto"/>
        <w:jc w:val="both"/>
        <w:rPr>
          <w:rFonts w:ascii="Times New Roman" w:hAnsi="Times New Roman" w:eastAsia="等线" w:cs="Times New Roman"/>
          <w:kern w:val="2"/>
        </w:rPr>
      </w:pPr>
    </w:p>
    <w:p w14:paraId="35D348F6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05A2D6F8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31DAB27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43BE6D0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791285C3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6A27FA0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3070BA5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0568FB6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03D3F9A2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761C7E63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E298132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94E1DED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24DEE0DF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5658156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721F8E2A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F9DDDDD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265543D3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017B5A4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8A03311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4D3C886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BC0A31B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083E2844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39B69EE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0C3BB644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69CC0A45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3B2E26A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0A4E530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20F90C66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0D5D741C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53BFB7C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792BAF6A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BF580E1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45DE585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13AF87C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E5B665F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3372FC44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5D44878E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29113E09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1585A4E1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43131BC3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4F1CE161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</w:p>
    <w:p w14:paraId="21FF2267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4" w:name="_Hlk201145653"/>
      <w:r>
        <w:rPr>
          <w:rFonts w:ascii="Times New Roman" w:hAnsi="Times New Roman" w:cs="Times New Roman"/>
          <w:b/>
          <w:bCs/>
          <w:kern w:val="2"/>
        </w:rPr>
        <w:t>Table. S</w:t>
      </w:r>
      <w:r>
        <w:rPr>
          <w:rFonts w:hint="eastAsia" w:ascii="Times New Roman" w:hAnsi="Times New Roman" w:cs="Times New Roman"/>
          <w:b/>
          <w:bCs/>
          <w:kern w:val="2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  <w:kern w:val="2"/>
        </w:rPr>
        <w:t xml:space="preserve"> Investigation of the mPEG-PCL to GLX ratio for DL and EE in preliminary experiments.</w:t>
      </w:r>
    </w:p>
    <w:p w14:paraId="53D78CED">
      <w:pPr>
        <w:widowControl w:val="0"/>
        <w:jc w:val="both"/>
        <w:rPr>
          <w:rFonts w:ascii="Times New Roman" w:hAnsi="Times New Roman" w:eastAsia="等线" w:cs="Times New Roman"/>
          <w:kern w:val="2"/>
        </w:rPr>
      </w:pPr>
      <w:r>
        <w:rPr>
          <w:rFonts w:hint="eastAsia"/>
        </w:rPr>
        <w:drawing>
          <wp:inline distT="0" distB="0" distL="0" distR="0">
            <wp:extent cx="5274310" cy="288671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5331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17F23247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417F9F77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5815719E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49B4AEFD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33A9EBAA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18C2A4BD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7E36A12D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10D2363C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6B774B13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5A880958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2FDB4F1C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0B76AC5B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62BEE7F6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50D5BE74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32F84C2C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7A8EFA44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5A23EB14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2EFE3928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69E373AB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55D9538B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0D66CEF8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3C1EC0E8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02DB62B2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3565F50C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2376918C">
      <w:pPr>
        <w:jc w:val="both"/>
        <w:rPr>
          <w:rFonts w:ascii="Times New Roman" w:hAnsi="Times New Roman" w:cs="Times New Roman"/>
          <w:b/>
          <w:bCs/>
          <w:kern w:val="2"/>
        </w:rPr>
      </w:pPr>
    </w:p>
    <w:p w14:paraId="16BA7D9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kern w:val="2"/>
        </w:rPr>
        <w:t>Table. S</w:t>
      </w:r>
      <w:r>
        <w:rPr>
          <w:rFonts w:hint="eastAsia" w:ascii="Times New Roman" w:hAnsi="Times New Roman" w:cs="Times New Roman"/>
          <w:b/>
          <w:bCs/>
          <w:kern w:val="2"/>
        </w:rPr>
        <w:t>2</w:t>
      </w:r>
      <w:r>
        <w:rPr>
          <w:rFonts w:ascii="Times New Roman" w:hAnsi="Times New Roman" w:cs="Times New Roman"/>
          <w:b/>
          <w:bCs/>
          <w:kern w:val="2"/>
        </w:rPr>
        <w:t xml:space="preserve"> The antibodies used in the immunofluorescence experiments in this study</w:t>
      </w:r>
    </w:p>
    <w:bookmarkEnd w:id="4"/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2694"/>
        <w:gridCol w:w="1638"/>
      </w:tblGrid>
      <w:tr w14:paraId="2418F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4" w:type="dxa"/>
          </w:tcPr>
          <w:p w14:paraId="0B7068D1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Antibody</w:t>
            </w:r>
          </w:p>
        </w:tc>
        <w:tc>
          <w:tcPr>
            <w:tcW w:w="2694" w:type="dxa"/>
          </w:tcPr>
          <w:p w14:paraId="7271C96D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Source/Identifier</w:t>
            </w:r>
          </w:p>
        </w:tc>
        <w:tc>
          <w:tcPr>
            <w:tcW w:w="1638" w:type="dxa"/>
          </w:tcPr>
          <w:p w14:paraId="124960F2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Dilution ratio</w:t>
            </w:r>
          </w:p>
        </w:tc>
      </w:tr>
      <w:tr w14:paraId="25AEB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4" w:type="dxa"/>
          </w:tcPr>
          <w:p w14:paraId="6BF9FBB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anti-</w:t>
            </w:r>
            <w:r>
              <w:rPr>
                <w:rFonts w:ascii="Times New Roman" w:hAnsi="Times New Roman" w:cs="Times New Roman"/>
              </w:rPr>
              <w:t>NADPH oxidase 4 (NOX4)</w:t>
            </w:r>
          </w:p>
        </w:tc>
        <w:tc>
          <w:tcPr>
            <w:tcW w:w="2694" w:type="dxa"/>
          </w:tcPr>
          <w:p w14:paraId="703B441E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ABclonal,</w:t>
            </w:r>
            <w:r>
              <w:rPr>
                <w:rFonts w:ascii="Times New Roman" w:hAnsi="Times New Roman" w:cs="Times New Roman"/>
                <w:color w:val="333333"/>
                <w:kern w:val="3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A22149</w:t>
            </w:r>
          </w:p>
        </w:tc>
        <w:tc>
          <w:tcPr>
            <w:tcW w:w="1638" w:type="dxa"/>
          </w:tcPr>
          <w:p w14:paraId="2CB13799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1:100</w:t>
            </w:r>
          </w:p>
        </w:tc>
      </w:tr>
      <w:tr w14:paraId="3333E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4" w:type="dxa"/>
          </w:tcPr>
          <w:p w14:paraId="3A998F99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anti-Glutathione Peroxidase 4 (GPX4)</w:t>
            </w:r>
          </w:p>
        </w:tc>
        <w:tc>
          <w:tcPr>
            <w:tcW w:w="2694" w:type="dxa"/>
          </w:tcPr>
          <w:p w14:paraId="3026C12A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Abcam, ab125066</w:t>
            </w:r>
          </w:p>
        </w:tc>
        <w:tc>
          <w:tcPr>
            <w:tcW w:w="1638" w:type="dxa"/>
          </w:tcPr>
          <w:p w14:paraId="59CD4744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1:100</w:t>
            </w:r>
          </w:p>
        </w:tc>
      </w:tr>
      <w:tr w14:paraId="067A8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4" w:type="dxa"/>
          </w:tcPr>
          <w:p w14:paraId="686B71F5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anti-</w:t>
            </w:r>
            <w:r>
              <w:rPr>
                <w:rFonts w:ascii="Times New Roman" w:hAnsi="Times New Roman" w:cs="Times New Roman"/>
                <w:color w:val="000000"/>
                <w:kern w:val="3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NRF2</w:t>
            </w:r>
          </w:p>
        </w:tc>
        <w:tc>
          <w:tcPr>
            <w:tcW w:w="2694" w:type="dxa"/>
          </w:tcPr>
          <w:p w14:paraId="7CFFAC13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Proteintech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ascii="Times New Roman" w:hAnsi="Times New Roman" w:cs="Times New Roman"/>
              </w:rPr>
              <w:t>16396-1-AP</w:t>
            </w:r>
          </w:p>
        </w:tc>
        <w:tc>
          <w:tcPr>
            <w:tcW w:w="1638" w:type="dxa"/>
          </w:tcPr>
          <w:p w14:paraId="77796091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1:100</w:t>
            </w:r>
          </w:p>
        </w:tc>
      </w:tr>
      <w:tr w14:paraId="0EF3D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4" w:type="dxa"/>
          </w:tcPr>
          <w:p w14:paraId="2627976C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anti-</w:t>
            </w:r>
            <w:r>
              <w:rPr>
                <w:rFonts w:ascii="Times New Roman" w:hAnsi="Times New Roman" w:cs="Times New Roman"/>
                <w:color w:val="000000"/>
                <w:kern w:val="3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HO-1/HMOX1</w:t>
            </w:r>
          </w:p>
        </w:tc>
        <w:tc>
          <w:tcPr>
            <w:tcW w:w="2694" w:type="dxa"/>
          </w:tcPr>
          <w:p w14:paraId="57E8CC05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Proteintech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</w:rPr>
              <w:t>10701-1-AP</w:t>
            </w:r>
          </w:p>
        </w:tc>
        <w:tc>
          <w:tcPr>
            <w:tcW w:w="1638" w:type="dxa"/>
          </w:tcPr>
          <w:p w14:paraId="18E7C817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1:100</w:t>
            </w:r>
          </w:p>
        </w:tc>
      </w:tr>
      <w:tr w14:paraId="47BAC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4" w:type="dxa"/>
          </w:tcPr>
          <w:p w14:paraId="3CE0F6E2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anti-NeuN</w:t>
            </w:r>
          </w:p>
        </w:tc>
        <w:tc>
          <w:tcPr>
            <w:tcW w:w="2694" w:type="dxa"/>
          </w:tcPr>
          <w:p w14:paraId="1D6C19C4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Abcam, ab104224</w:t>
            </w:r>
          </w:p>
        </w:tc>
        <w:tc>
          <w:tcPr>
            <w:tcW w:w="1638" w:type="dxa"/>
          </w:tcPr>
          <w:p w14:paraId="572529A0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1:50</w:t>
            </w:r>
          </w:p>
        </w:tc>
      </w:tr>
      <w:tr w14:paraId="548C4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4" w:type="dxa"/>
          </w:tcPr>
          <w:p w14:paraId="6444EBA5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"/>
                <w14:textFill>
                  <w14:solidFill>
                    <w14:schemeClr w14:val="tx1"/>
                  </w14:solidFill>
                </w14:textFill>
              </w:rPr>
              <w:t>Goat anti-Mouse IgG</w:t>
            </w:r>
          </w:p>
        </w:tc>
        <w:tc>
          <w:tcPr>
            <w:tcW w:w="2694" w:type="dxa"/>
          </w:tcPr>
          <w:p w14:paraId="43111745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Proteintech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  <w14:textFill>
                  <w14:solidFill>
                    <w14:schemeClr w14:val="tx1"/>
                  </w14:solidFill>
                </w14:textFill>
              </w:rPr>
              <w:t>, SA00003-1</w:t>
            </w:r>
          </w:p>
        </w:tc>
        <w:tc>
          <w:tcPr>
            <w:tcW w:w="1638" w:type="dxa"/>
          </w:tcPr>
          <w:p w14:paraId="01B6955A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1:100</w:t>
            </w:r>
          </w:p>
        </w:tc>
      </w:tr>
      <w:tr w14:paraId="628FC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4" w:type="dxa"/>
          </w:tcPr>
          <w:p w14:paraId="2432CC42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"/>
                <w14:textFill>
                  <w14:solidFill>
                    <w14:schemeClr w14:val="tx1"/>
                  </w14:solidFill>
                </w14:textFill>
              </w:rPr>
              <w:t>Goat anti-Mouse IgG</w:t>
            </w:r>
          </w:p>
        </w:tc>
        <w:tc>
          <w:tcPr>
            <w:tcW w:w="2694" w:type="dxa"/>
          </w:tcPr>
          <w:p w14:paraId="4BD2C7AF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Proteintech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  <w14:textFill>
                  <w14:solidFill>
                    <w14:schemeClr w14:val="tx1"/>
                  </w14:solidFill>
                </w14:textFill>
              </w:rPr>
              <w:t>, SA00009-1</w:t>
            </w:r>
          </w:p>
        </w:tc>
        <w:tc>
          <w:tcPr>
            <w:tcW w:w="1638" w:type="dxa"/>
          </w:tcPr>
          <w:p w14:paraId="704357E4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1:100</w:t>
            </w:r>
          </w:p>
        </w:tc>
      </w:tr>
    </w:tbl>
    <w:p w14:paraId="4095F3B0">
      <w:pPr>
        <w:spacing w:line="480" w:lineRule="auto"/>
        <w:jc w:val="both"/>
        <w:rPr>
          <w:rFonts w:ascii="Times New Roman" w:hAnsi="Times New Roman" w:cs="Times New Roman"/>
        </w:rPr>
      </w:pPr>
    </w:p>
    <w:p w14:paraId="53B281E6">
      <w:pPr>
        <w:spacing w:line="480" w:lineRule="auto"/>
        <w:jc w:val="both"/>
        <w:rPr>
          <w:rFonts w:ascii="Times New Roman" w:hAnsi="Times New Roman" w:cs="Times New Roman"/>
        </w:rPr>
      </w:pPr>
    </w:p>
    <w:p w14:paraId="022E4207">
      <w:pPr>
        <w:spacing w:line="480" w:lineRule="auto"/>
        <w:jc w:val="both"/>
        <w:rPr>
          <w:rFonts w:ascii="Times New Roman" w:hAnsi="Times New Roman" w:cs="Times New Roman"/>
        </w:rPr>
      </w:pPr>
    </w:p>
    <w:p w14:paraId="43A7C87B">
      <w:pPr>
        <w:spacing w:line="480" w:lineRule="auto"/>
        <w:jc w:val="both"/>
        <w:rPr>
          <w:rFonts w:ascii="Times New Roman" w:hAnsi="Times New Roman" w:cs="Times New Roman"/>
        </w:rPr>
      </w:pPr>
    </w:p>
    <w:p w14:paraId="16C2EA89">
      <w:pPr>
        <w:spacing w:line="480" w:lineRule="auto"/>
        <w:jc w:val="both"/>
        <w:rPr>
          <w:rFonts w:ascii="Times New Roman" w:hAnsi="Times New Roman" w:cs="Times New Roman"/>
        </w:rPr>
      </w:pPr>
    </w:p>
    <w:p w14:paraId="4EAC37B3">
      <w:pPr>
        <w:spacing w:line="480" w:lineRule="auto"/>
        <w:jc w:val="both"/>
        <w:rPr>
          <w:rFonts w:ascii="Times New Roman" w:hAnsi="Times New Roman" w:cs="Times New Roman"/>
        </w:rPr>
      </w:pPr>
    </w:p>
    <w:p w14:paraId="3FE1B521">
      <w:pPr>
        <w:spacing w:line="480" w:lineRule="auto"/>
        <w:jc w:val="both"/>
        <w:rPr>
          <w:rFonts w:ascii="Times New Roman" w:hAnsi="Times New Roman" w:cs="Times New Roman"/>
        </w:rPr>
      </w:pPr>
    </w:p>
    <w:p w14:paraId="50EE8A6E">
      <w:pPr>
        <w:spacing w:line="480" w:lineRule="auto"/>
        <w:jc w:val="both"/>
        <w:rPr>
          <w:rFonts w:ascii="Times New Roman" w:hAnsi="Times New Roman" w:cs="Times New Roman"/>
        </w:rPr>
      </w:pPr>
    </w:p>
    <w:p w14:paraId="6A4176D3">
      <w:pPr>
        <w:spacing w:line="480" w:lineRule="auto"/>
        <w:jc w:val="both"/>
        <w:rPr>
          <w:rFonts w:ascii="Times New Roman" w:hAnsi="Times New Roman" w:cs="Times New Roman"/>
        </w:rPr>
      </w:pPr>
    </w:p>
    <w:p w14:paraId="6C7866D3">
      <w:pPr>
        <w:spacing w:line="480" w:lineRule="auto"/>
        <w:jc w:val="both"/>
        <w:rPr>
          <w:rFonts w:ascii="Times New Roman" w:hAnsi="Times New Roman" w:cs="Times New Roman"/>
        </w:rPr>
      </w:pPr>
    </w:p>
    <w:p w14:paraId="620D9540">
      <w:pPr>
        <w:spacing w:line="480" w:lineRule="auto"/>
        <w:jc w:val="both"/>
        <w:rPr>
          <w:rFonts w:ascii="Times New Roman" w:hAnsi="Times New Roman" w:cs="Times New Roman"/>
        </w:rPr>
      </w:pPr>
    </w:p>
    <w:p w14:paraId="3E23A7F8">
      <w:pPr>
        <w:spacing w:line="480" w:lineRule="auto"/>
        <w:jc w:val="both"/>
        <w:rPr>
          <w:rFonts w:ascii="Times New Roman" w:hAnsi="Times New Roman" w:cs="Times New Roman"/>
        </w:rPr>
      </w:pPr>
    </w:p>
    <w:p w14:paraId="78EFA843">
      <w:pPr>
        <w:spacing w:line="480" w:lineRule="auto"/>
        <w:jc w:val="both"/>
        <w:rPr>
          <w:rFonts w:ascii="Times New Roman" w:hAnsi="Times New Roman" w:cs="Times New Roman"/>
        </w:rPr>
      </w:pPr>
    </w:p>
    <w:p w14:paraId="1D170402">
      <w:pPr>
        <w:jc w:val="both"/>
        <w:rPr>
          <w:rFonts w:ascii="Times New Roman" w:hAnsi="Times New Roman" w:cs="Times New Roman"/>
          <w:b/>
          <w:bCs/>
        </w:rPr>
      </w:pPr>
      <w:bookmarkStart w:id="5" w:name="_Hlk201145670"/>
      <w:r>
        <w:rPr>
          <w:rFonts w:ascii="Times New Roman" w:hAnsi="Times New Roman" w:cs="Times New Roman"/>
          <w:b/>
          <w:bCs/>
          <w:kern w:val="2"/>
        </w:rPr>
        <w:t>Table. S</w:t>
      </w:r>
      <w:r>
        <w:rPr>
          <w:rFonts w:hint="eastAsia" w:ascii="Times New Roman" w:hAnsi="Times New Roman" w:cs="Times New Roman"/>
          <w:b/>
          <w:bCs/>
          <w:kern w:val="2"/>
        </w:rPr>
        <w:t>3</w:t>
      </w:r>
      <w:r>
        <w:rPr>
          <w:rFonts w:ascii="Times New Roman" w:hAnsi="Times New Roman" w:cs="Times New Roman"/>
          <w:b/>
          <w:bCs/>
          <w:kern w:val="2"/>
        </w:rPr>
        <w:t xml:space="preserve"> The antibodies used in the Western blot experiments in this study</w:t>
      </w:r>
      <w:bookmarkEnd w:id="5"/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2694"/>
        <w:gridCol w:w="1638"/>
      </w:tblGrid>
      <w:tr w14:paraId="44E97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17018956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bookmarkStart w:id="6" w:name="_Hlk196829862"/>
            <w:r>
              <w:rPr>
                <w:rFonts w:ascii="Times New Roman" w:hAnsi="Times New Roman" w:cs="Times New Roman"/>
                <w:b/>
                <w:bCs/>
              </w:rPr>
              <w:t>Antibody</w:t>
            </w:r>
          </w:p>
        </w:tc>
        <w:tc>
          <w:tcPr>
            <w:tcW w:w="2694" w:type="dxa"/>
          </w:tcPr>
          <w:p w14:paraId="30FE5C1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Source/Identifier</w:t>
            </w:r>
          </w:p>
        </w:tc>
        <w:tc>
          <w:tcPr>
            <w:tcW w:w="1638" w:type="dxa"/>
          </w:tcPr>
          <w:p w14:paraId="291FD2DF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Dilution ratio</w:t>
            </w:r>
          </w:p>
        </w:tc>
      </w:tr>
      <w:tr w14:paraId="4D2F3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4BF25735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anti-</w:t>
            </w:r>
            <w:r>
              <w:rPr>
                <w:rFonts w:ascii="Times New Roman" w:hAnsi="Times New Roman" w:cs="Times New Roman"/>
              </w:rPr>
              <w:t>NADPH oxidase 4 (NOX4)</w:t>
            </w:r>
          </w:p>
        </w:tc>
        <w:tc>
          <w:tcPr>
            <w:tcW w:w="2694" w:type="dxa"/>
          </w:tcPr>
          <w:p w14:paraId="2B086CC3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ABclonal,</w:t>
            </w:r>
            <w:r>
              <w:rPr>
                <w:rFonts w:ascii="Times New Roman" w:hAnsi="Times New Roman" w:cs="Times New Roman"/>
                <w:color w:val="333333"/>
                <w:kern w:val="3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A22149</w:t>
            </w:r>
          </w:p>
        </w:tc>
        <w:tc>
          <w:tcPr>
            <w:tcW w:w="1638" w:type="dxa"/>
          </w:tcPr>
          <w:p w14:paraId="7D414CE1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1:1000</w:t>
            </w:r>
          </w:p>
        </w:tc>
      </w:tr>
      <w:tr w14:paraId="2DDFE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2869DC44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anti-</w:t>
            </w:r>
            <w:r>
              <w:rPr>
                <w:rFonts w:ascii="Times New Roman" w:hAnsi="Times New Roman" w:cs="Times New Roman"/>
                <w:color w:val="000000"/>
                <w:kern w:val="3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NRF2</w:t>
            </w:r>
          </w:p>
        </w:tc>
        <w:tc>
          <w:tcPr>
            <w:tcW w:w="2694" w:type="dxa"/>
          </w:tcPr>
          <w:p w14:paraId="0033EFE1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Proteintech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ascii="Times New Roman" w:hAnsi="Times New Roman" w:cs="Times New Roman"/>
              </w:rPr>
              <w:t>16396-1-AP</w:t>
            </w:r>
          </w:p>
        </w:tc>
        <w:tc>
          <w:tcPr>
            <w:tcW w:w="1638" w:type="dxa"/>
          </w:tcPr>
          <w:p w14:paraId="63862FAD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1:1000</w:t>
            </w:r>
          </w:p>
        </w:tc>
      </w:tr>
      <w:tr w14:paraId="72737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02D6D0A9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anti-</w:t>
            </w:r>
            <w:r>
              <w:rPr>
                <w:rFonts w:ascii="Times New Roman" w:hAnsi="Times New Roman" w:cs="Times New Roman"/>
                <w:color w:val="000000"/>
                <w:kern w:val="3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HO-1/HMOX1</w:t>
            </w:r>
          </w:p>
        </w:tc>
        <w:tc>
          <w:tcPr>
            <w:tcW w:w="2694" w:type="dxa"/>
          </w:tcPr>
          <w:p w14:paraId="060F8A83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Proteintech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</w:rPr>
              <w:t>10701-1-AP</w:t>
            </w:r>
          </w:p>
        </w:tc>
        <w:tc>
          <w:tcPr>
            <w:tcW w:w="1638" w:type="dxa"/>
          </w:tcPr>
          <w:p w14:paraId="1D417007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1:2000</w:t>
            </w:r>
          </w:p>
        </w:tc>
      </w:tr>
      <w:tr w14:paraId="374A6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5368D0D2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anti-Glutathione Peroxidase 4 (GPX4)</w:t>
            </w:r>
          </w:p>
        </w:tc>
        <w:tc>
          <w:tcPr>
            <w:tcW w:w="2694" w:type="dxa"/>
          </w:tcPr>
          <w:p w14:paraId="771FEF2A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Abcam, ab125066</w:t>
            </w:r>
          </w:p>
        </w:tc>
        <w:tc>
          <w:tcPr>
            <w:tcW w:w="1638" w:type="dxa"/>
          </w:tcPr>
          <w:p w14:paraId="1F270729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1:1000</w:t>
            </w:r>
          </w:p>
        </w:tc>
      </w:tr>
      <w:tr w14:paraId="24EA8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3D87F187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anti-GAPDH</w:t>
            </w:r>
          </w:p>
        </w:tc>
        <w:tc>
          <w:tcPr>
            <w:tcW w:w="2694" w:type="dxa"/>
          </w:tcPr>
          <w:p w14:paraId="234994D9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Proteintech, 60004-1-Ig</w:t>
            </w:r>
          </w:p>
        </w:tc>
        <w:tc>
          <w:tcPr>
            <w:tcW w:w="1638" w:type="dxa"/>
          </w:tcPr>
          <w:p w14:paraId="58E00346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2"/>
              </w:rPr>
              <w:t>1:10,000</w:t>
            </w:r>
          </w:p>
        </w:tc>
      </w:tr>
      <w:tr w14:paraId="7BDAD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547D71BB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anti-β-Actin</w:t>
            </w:r>
          </w:p>
        </w:tc>
        <w:tc>
          <w:tcPr>
            <w:tcW w:w="2694" w:type="dxa"/>
          </w:tcPr>
          <w:p w14:paraId="6B810400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Beyotime,</w:t>
            </w:r>
            <w:r>
              <w:rPr>
                <w:rFonts w:ascii="Times New Roman" w:hAnsi="Times New Roman" w:eastAsia="微软雅黑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</w:rPr>
              <w:t>AF0003</w:t>
            </w:r>
          </w:p>
        </w:tc>
        <w:tc>
          <w:tcPr>
            <w:tcW w:w="1638" w:type="dxa"/>
          </w:tcPr>
          <w:p w14:paraId="4F835183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1:1000</w:t>
            </w:r>
          </w:p>
        </w:tc>
      </w:tr>
      <w:tr w14:paraId="1E568B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1647AA54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Goat anti-Mouse IgG</w:t>
            </w:r>
          </w:p>
        </w:tc>
        <w:tc>
          <w:tcPr>
            <w:tcW w:w="2694" w:type="dxa"/>
          </w:tcPr>
          <w:p w14:paraId="565E12E2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Beyotime, A0216</w:t>
            </w:r>
          </w:p>
        </w:tc>
        <w:tc>
          <w:tcPr>
            <w:tcW w:w="1638" w:type="dxa"/>
          </w:tcPr>
          <w:p w14:paraId="7207550B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1:1000</w:t>
            </w:r>
          </w:p>
        </w:tc>
      </w:tr>
      <w:tr w14:paraId="6677F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 w14:paraId="7928BA4A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Goat anti-Rabbit IgG</w:t>
            </w:r>
          </w:p>
        </w:tc>
        <w:tc>
          <w:tcPr>
            <w:tcW w:w="2694" w:type="dxa"/>
          </w:tcPr>
          <w:p w14:paraId="2A7F90E3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Beyotime, A0208</w:t>
            </w:r>
          </w:p>
        </w:tc>
        <w:tc>
          <w:tcPr>
            <w:tcW w:w="1638" w:type="dxa"/>
          </w:tcPr>
          <w:p w14:paraId="7AE60C6F">
            <w:pPr>
              <w:spacing w:line="480" w:lineRule="auto"/>
              <w:jc w:val="both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1:1000</w:t>
            </w:r>
          </w:p>
        </w:tc>
      </w:tr>
      <w:bookmarkEnd w:id="6"/>
    </w:tbl>
    <w:p w14:paraId="229D87B0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06B373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C320F5F">
      <w:pPr>
        <w:widowControl w:val="0"/>
        <w:jc w:val="both"/>
        <w:rPr>
          <w:rFonts w:ascii="Times New Roman" w:hAnsi="Times New Roman" w:cs="Times New Roman"/>
          <w:b/>
          <w:bCs/>
          <w:kern w:val="2"/>
        </w:rPr>
      </w:pPr>
      <w:bookmarkStart w:id="7" w:name="_Hlk201145678"/>
      <w:r>
        <w:rPr>
          <w:rFonts w:ascii="Times New Roman" w:hAnsi="Times New Roman" w:cs="Times New Roman"/>
          <w:b/>
          <w:bCs/>
          <w:kern w:val="2"/>
        </w:rPr>
        <w:t>Table. S</w:t>
      </w:r>
      <w:r>
        <w:rPr>
          <w:rFonts w:hint="eastAsia" w:ascii="Times New Roman" w:hAnsi="Times New Roman" w:cs="Times New Roman"/>
          <w:b/>
          <w:bCs/>
          <w:kern w:val="2"/>
        </w:rPr>
        <w:t>4</w:t>
      </w:r>
      <w:r>
        <w:rPr>
          <w:rFonts w:ascii="Times New Roman" w:hAnsi="Times New Roman" w:cs="Times New Roman"/>
          <w:b/>
          <w:bCs/>
          <w:kern w:val="2"/>
        </w:rPr>
        <w:t xml:space="preserve"> Primer sequences</w:t>
      </w:r>
    </w:p>
    <w:bookmarkEnd w:id="7"/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3827"/>
        <w:gridCol w:w="3481"/>
      </w:tblGrid>
      <w:tr w14:paraId="6D217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278499E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2"/>
              </w:rPr>
              <w:t>Gene</w:t>
            </w:r>
          </w:p>
        </w:tc>
        <w:tc>
          <w:tcPr>
            <w:tcW w:w="3827" w:type="dxa"/>
          </w:tcPr>
          <w:p w14:paraId="251156CA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</w:rPr>
              <w:t>Forward Primer (5’—3’)</w:t>
            </w:r>
          </w:p>
        </w:tc>
        <w:tc>
          <w:tcPr>
            <w:tcW w:w="3481" w:type="dxa"/>
          </w:tcPr>
          <w:p w14:paraId="253B4060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</w:rPr>
              <w:t>Reverse Primer (5’—3’)</w:t>
            </w:r>
          </w:p>
        </w:tc>
      </w:tr>
      <w:tr w14:paraId="61BA7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37E593B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Nox4</w:t>
            </w:r>
          </w:p>
        </w:tc>
        <w:tc>
          <w:tcPr>
            <w:tcW w:w="3827" w:type="dxa"/>
          </w:tcPr>
          <w:p w14:paraId="7D60F7A5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CAGATGTTGGGGCTAGGATTG</w:t>
            </w:r>
          </w:p>
        </w:tc>
        <w:tc>
          <w:tcPr>
            <w:tcW w:w="3481" w:type="dxa"/>
          </w:tcPr>
          <w:p w14:paraId="0C09742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GAGTGTTCGGCACATGGGTA</w:t>
            </w:r>
          </w:p>
        </w:tc>
      </w:tr>
      <w:tr w14:paraId="585AD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4ACB371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Nrf2</w:t>
            </w:r>
          </w:p>
        </w:tc>
        <w:tc>
          <w:tcPr>
            <w:tcW w:w="3827" w:type="dxa"/>
          </w:tcPr>
          <w:p w14:paraId="710D2E77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AAAATCATTAACCTCCCTGTTGAT</w:t>
            </w:r>
          </w:p>
        </w:tc>
        <w:tc>
          <w:tcPr>
            <w:tcW w:w="3481" w:type="dxa"/>
          </w:tcPr>
          <w:p w14:paraId="21BC8584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CGGCGACTTTATTCTTACCTCTC</w:t>
            </w:r>
          </w:p>
        </w:tc>
      </w:tr>
      <w:tr w14:paraId="2C31E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30E54CA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Ho-1</w:t>
            </w:r>
          </w:p>
        </w:tc>
        <w:tc>
          <w:tcPr>
            <w:tcW w:w="3827" w:type="dxa"/>
          </w:tcPr>
          <w:p w14:paraId="67BAECBF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CAAGCCGAGAATGCTGAGTTCATG</w:t>
            </w:r>
          </w:p>
        </w:tc>
        <w:tc>
          <w:tcPr>
            <w:tcW w:w="3481" w:type="dxa"/>
          </w:tcPr>
          <w:p w14:paraId="0919572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GCAAGGGATGATTTCCTGCCAG</w:t>
            </w:r>
          </w:p>
        </w:tc>
      </w:tr>
      <w:tr w14:paraId="51293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11CA89E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Gpx4</w:t>
            </w:r>
          </w:p>
        </w:tc>
        <w:tc>
          <w:tcPr>
            <w:tcW w:w="3827" w:type="dxa"/>
          </w:tcPr>
          <w:p w14:paraId="22188197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GCCTGGATAAGTACAGGGGTT</w:t>
            </w:r>
          </w:p>
        </w:tc>
        <w:tc>
          <w:tcPr>
            <w:tcW w:w="3481" w:type="dxa"/>
          </w:tcPr>
          <w:p w14:paraId="21303335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CATGCAGATCGACTAGCTGAG</w:t>
            </w:r>
          </w:p>
        </w:tc>
      </w:tr>
      <w:tr w14:paraId="29F69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356260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β-actin</w:t>
            </w:r>
          </w:p>
        </w:tc>
        <w:tc>
          <w:tcPr>
            <w:tcW w:w="3827" w:type="dxa"/>
          </w:tcPr>
          <w:p w14:paraId="1A2B6F55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TTCAACACCCCAGCCATG</w:t>
            </w:r>
          </w:p>
        </w:tc>
        <w:tc>
          <w:tcPr>
            <w:tcW w:w="3481" w:type="dxa"/>
          </w:tcPr>
          <w:p w14:paraId="0F5AD052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CCTCGTAGATGGGCACAGT</w:t>
            </w:r>
          </w:p>
        </w:tc>
      </w:tr>
    </w:tbl>
    <w:p w14:paraId="73CCAD68">
      <w:pPr>
        <w:spacing w:line="480" w:lineRule="auto"/>
        <w:jc w:val="both"/>
        <w:rPr>
          <w:rFonts w:ascii="Times New Roman" w:hAnsi="Times New Roman" w:cs="Times New Roman"/>
        </w:rPr>
      </w:pPr>
    </w:p>
    <w:p w14:paraId="0E255776">
      <w:pPr>
        <w:spacing w:line="480" w:lineRule="auto"/>
        <w:jc w:val="both"/>
        <w:rPr>
          <w:rFonts w:ascii="Times New Roman" w:hAnsi="Times New Roman" w:cs="Times New Roman"/>
        </w:rPr>
      </w:pPr>
    </w:p>
    <w:p w14:paraId="4998F3E7">
      <w:pPr>
        <w:spacing w:line="480" w:lineRule="auto"/>
        <w:jc w:val="both"/>
        <w:rPr>
          <w:rFonts w:ascii="Times New Roman" w:hAnsi="Times New Roman" w:cs="Times New Roman"/>
        </w:rPr>
      </w:pPr>
    </w:p>
    <w:p w14:paraId="0BD1BAF0">
      <w:pPr>
        <w:spacing w:line="480" w:lineRule="auto"/>
        <w:jc w:val="both"/>
        <w:rPr>
          <w:rFonts w:ascii="Times New Roman" w:hAnsi="Times New Roman" w:cs="Times New Roman"/>
        </w:rPr>
      </w:pPr>
    </w:p>
    <w:p w14:paraId="07FD50BF">
      <w:pPr>
        <w:spacing w:line="480" w:lineRule="auto"/>
        <w:jc w:val="both"/>
        <w:rPr>
          <w:rFonts w:ascii="Times New Roman" w:hAnsi="Times New Roman" w:cs="Times New Roman"/>
        </w:rPr>
      </w:pPr>
    </w:p>
    <w:p w14:paraId="1C0F74C6">
      <w:pPr>
        <w:spacing w:line="480" w:lineRule="auto"/>
        <w:jc w:val="both"/>
        <w:rPr>
          <w:rFonts w:ascii="Times New Roman" w:hAnsi="Times New Roman" w:cs="Times New Roman"/>
        </w:rPr>
      </w:pPr>
    </w:p>
    <w:p w14:paraId="17FF8B0D">
      <w:pPr>
        <w:spacing w:line="480" w:lineRule="auto"/>
        <w:jc w:val="both"/>
        <w:rPr>
          <w:rFonts w:ascii="Times New Roman" w:hAnsi="Times New Roman" w:cs="Times New Roman"/>
        </w:rPr>
      </w:pPr>
    </w:p>
    <w:p w14:paraId="41863143">
      <w:pPr>
        <w:spacing w:line="480" w:lineRule="auto"/>
        <w:jc w:val="both"/>
        <w:rPr>
          <w:rFonts w:ascii="Times New Roman" w:hAnsi="Times New Roman" w:cs="Times New Roman"/>
        </w:rPr>
      </w:pPr>
    </w:p>
    <w:p w14:paraId="541CB260">
      <w:pPr>
        <w:spacing w:line="480" w:lineRule="auto"/>
        <w:jc w:val="both"/>
        <w:rPr>
          <w:rFonts w:ascii="Times New Roman" w:hAnsi="Times New Roman" w:cs="Times New Roman"/>
        </w:rPr>
      </w:pPr>
    </w:p>
    <w:p w14:paraId="6BF40150">
      <w:pPr>
        <w:spacing w:line="480" w:lineRule="auto"/>
        <w:jc w:val="both"/>
        <w:rPr>
          <w:rFonts w:ascii="Times New Roman" w:hAnsi="Times New Roman" w:cs="Times New Roman"/>
        </w:rPr>
      </w:pPr>
    </w:p>
    <w:p w14:paraId="0AE33E3F">
      <w:pPr>
        <w:spacing w:line="480" w:lineRule="auto"/>
        <w:jc w:val="both"/>
        <w:rPr>
          <w:rFonts w:ascii="Times New Roman" w:hAnsi="Times New Roman" w:cs="Times New Roman"/>
        </w:rPr>
      </w:pPr>
    </w:p>
    <w:p w14:paraId="4AD7A4D1">
      <w:pPr>
        <w:spacing w:line="480" w:lineRule="auto"/>
        <w:jc w:val="both"/>
        <w:rPr>
          <w:rFonts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EF9"/>
    <w:rsid w:val="000048A2"/>
    <w:rsid w:val="00052235"/>
    <w:rsid w:val="0006400B"/>
    <w:rsid w:val="00141712"/>
    <w:rsid w:val="00151697"/>
    <w:rsid w:val="00177D12"/>
    <w:rsid w:val="00200CB9"/>
    <w:rsid w:val="002043FE"/>
    <w:rsid w:val="002820DD"/>
    <w:rsid w:val="002F287C"/>
    <w:rsid w:val="00304A50"/>
    <w:rsid w:val="00331030"/>
    <w:rsid w:val="00337FEF"/>
    <w:rsid w:val="00390A8F"/>
    <w:rsid w:val="003A4D99"/>
    <w:rsid w:val="003F05D1"/>
    <w:rsid w:val="004323F8"/>
    <w:rsid w:val="004D19EA"/>
    <w:rsid w:val="0059671C"/>
    <w:rsid w:val="005E0B03"/>
    <w:rsid w:val="00615E6A"/>
    <w:rsid w:val="00655568"/>
    <w:rsid w:val="006A7C71"/>
    <w:rsid w:val="006C4EF9"/>
    <w:rsid w:val="006F4133"/>
    <w:rsid w:val="0076755B"/>
    <w:rsid w:val="0077163D"/>
    <w:rsid w:val="00786BC9"/>
    <w:rsid w:val="007F34DF"/>
    <w:rsid w:val="00857C26"/>
    <w:rsid w:val="008A2E34"/>
    <w:rsid w:val="008C6C74"/>
    <w:rsid w:val="009273C5"/>
    <w:rsid w:val="00946595"/>
    <w:rsid w:val="00954567"/>
    <w:rsid w:val="00A46BDD"/>
    <w:rsid w:val="00A47271"/>
    <w:rsid w:val="00A80580"/>
    <w:rsid w:val="00A85A90"/>
    <w:rsid w:val="00A91F04"/>
    <w:rsid w:val="00AD43CC"/>
    <w:rsid w:val="00B22010"/>
    <w:rsid w:val="00B2575F"/>
    <w:rsid w:val="00C1375F"/>
    <w:rsid w:val="00C50863"/>
    <w:rsid w:val="00C7398D"/>
    <w:rsid w:val="00CA0D70"/>
    <w:rsid w:val="00D13331"/>
    <w:rsid w:val="00D4728A"/>
    <w:rsid w:val="00D85927"/>
    <w:rsid w:val="00DE6692"/>
    <w:rsid w:val="00E010AA"/>
    <w:rsid w:val="00E0393A"/>
    <w:rsid w:val="00E21364"/>
    <w:rsid w:val="00EB595F"/>
    <w:rsid w:val="00EC2950"/>
    <w:rsid w:val="00EE5C17"/>
    <w:rsid w:val="00F44011"/>
    <w:rsid w:val="00F630A0"/>
    <w:rsid w:val="00F631D4"/>
    <w:rsid w:val="075A0AC3"/>
    <w:rsid w:val="097C0737"/>
    <w:rsid w:val="0DB973DC"/>
    <w:rsid w:val="17544559"/>
    <w:rsid w:val="179E2BC2"/>
    <w:rsid w:val="2F762FEF"/>
    <w:rsid w:val="32EC64B6"/>
    <w:rsid w:val="33FF0724"/>
    <w:rsid w:val="3F5E5209"/>
    <w:rsid w:val="493F3B27"/>
    <w:rsid w:val="4CC45C51"/>
    <w:rsid w:val="5E661E5D"/>
    <w:rsid w:val="61736D7D"/>
    <w:rsid w:val="61AB46E4"/>
    <w:rsid w:val="745E44F5"/>
    <w:rsid w:val="76731439"/>
    <w:rsid w:val="7970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widowControl w:val="0"/>
      <w:spacing w:before="480" w:after="80"/>
      <w:jc w:val="both"/>
      <w:outlineLvl w:val="0"/>
    </w:pPr>
    <w:rPr>
      <w:rFonts w:asciiTheme="majorHAnsi" w:hAnsiTheme="majorHAnsi" w:eastAsiaTheme="majorEastAsia" w:cstheme="majorBidi"/>
      <w:color w:val="2F5597" w:themeColor="accent1" w:themeShade="BF"/>
      <w:kern w:val="2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widowControl w:val="0"/>
      <w:spacing w:before="160" w:after="80"/>
      <w:jc w:val="both"/>
      <w:outlineLvl w:val="1"/>
    </w:pPr>
    <w:rPr>
      <w:rFonts w:asciiTheme="majorHAnsi" w:hAnsiTheme="majorHAnsi" w:eastAsiaTheme="majorEastAsia" w:cstheme="majorBidi"/>
      <w:color w:val="2F5597" w:themeColor="accent1" w:themeShade="BF"/>
      <w:kern w:val="2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widowControl w:val="0"/>
      <w:spacing w:before="160" w:after="80"/>
      <w:jc w:val="both"/>
      <w:outlineLvl w:val="2"/>
    </w:pPr>
    <w:rPr>
      <w:rFonts w:asciiTheme="majorHAnsi" w:hAnsiTheme="majorHAnsi" w:eastAsiaTheme="majorEastAsia" w:cstheme="majorBidi"/>
      <w:color w:val="2F5597" w:themeColor="accent1" w:themeShade="BF"/>
      <w:kern w:val="2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widowControl w:val="0"/>
      <w:spacing w:before="80" w:after="40"/>
      <w:jc w:val="both"/>
      <w:outlineLvl w:val="3"/>
    </w:pPr>
    <w:rPr>
      <w:rFonts w:asciiTheme="minorHAnsi" w:hAnsiTheme="minorHAnsi" w:eastAsiaTheme="minorEastAsia" w:cstheme="majorBidi"/>
      <w:color w:val="2F5597" w:themeColor="accent1" w:themeShade="BF"/>
      <w:kern w:val="2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widowControl w:val="0"/>
      <w:spacing w:before="80" w:after="40"/>
      <w:jc w:val="both"/>
      <w:outlineLvl w:val="4"/>
    </w:pPr>
    <w:rPr>
      <w:rFonts w:asciiTheme="minorHAnsi" w:hAnsiTheme="minorHAnsi" w:eastAsiaTheme="minorEastAsia" w:cstheme="majorBidi"/>
      <w:color w:val="2F5597" w:themeColor="accent1" w:themeShade="BF"/>
      <w:kern w:val="2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widowControl w:val="0"/>
      <w:spacing w:before="40"/>
      <w:jc w:val="both"/>
      <w:outlineLvl w:val="5"/>
    </w:pPr>
    <w:rPr>
      <w:rFonts w:asciiTheme="minorHAnsi" w:hAnsiTheme="minorHAnsi" w:eastAsiaTheme="minorEastAsia" w:cstheme="majorBidi"/>
      <w:b/>
      <w:bCs/>
      <w:color w:val="2F5597" w:themeColor="accent1" w:themeShade="BF"/>
      <w:kern w:val="2"/>
      <w:sz w:val="21"/>
      <w:szCs w:val="22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widowControl w:val="0"/>
      <w:spacing w:before="40"/>
      <w:jc w:val="both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kern w:val="2"/>
      <w:sz w:val="21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widowControl w:val="0"/>
      <w:jc w:val="both"/>
      <w:outlineLvl w:val="7"/>
    </w:pPr>
    <w:rPr>
      <w:rFonts w:asciiTheme="minorHAnsi" w:hAnsiTheme="minorHAnsi" w:eastAsiaTheme="minorEastAsia" w:cstheme="majorBidi"/>
      <w:color w:val="595959" w:themeColor="text1" w:themeTint="A6"/>
      <w:kern w:val="2"/>
      <w:sz w:val="21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widowControl w:val="0"/>
      <w:jc w:val="both"/>
      <w:outlineLvl w:val="8"/>
    </w:pPr>
    <w:rPr>
      <w:rFonts w:asciiTheme="minorHAnsi" w:hAnsiTheme="minorHAnsi" w:eastAsiaTheme="majorEastAsia" w:cstheme="majorBidi"/>
      <w:color w:val="595959" w:themeColor="text1" w:themeTint="A6"/>
      <w:kern w:val="2"/>
      <w:sz w:val="21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widowControl w:val="0"/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kern w:val="2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semiHidden/>
    <w:unhideWhenUsed/>
    <w:qFormat/>
    <w:uiPriority w:val="99"/>
  </w:style>
  <w:style w:type="paragraph" w:styleId="15">
    <w:name w:val="Title"/>
    <w:basedOn w:val="1"/>
    <w:next w:val="1"/>
    <w:link w:val="28"/>
    <w:qFormat/>
    <w:uiPriority w:val="10"/>
    <w:pPr>
      <w:widowControl w:val="0"/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0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1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2">
    <w:name w:val="标题 4 字符"/>
    <w:basedOn w:val="18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3">
    <w:name w:val="标题 5 字符"/>
    <w:basedOn w:val="18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4">
    <w:name w:val="标题 6 字符"/>
    <w:basedOn w:val="18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5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8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widowControl w:val="0"/>
      <w:spacing w:before="160" w:after="160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kern w:val="2"/>
      <w:sz w:val="21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8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widowControl w:val="0"/>
      <w:ind w:left="720"/>
      <w:contextualSpacing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33">
    <w:name w:val="明显强调1"/>
    <w:basedOn w:val="18"/>
    <w:qFormat/>
    <w:uiPriority w:val="21"/>
    <w:rPr>
      <w:i/>
      <w:iCs/>
      <w:color w:val="2F5597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widowControl w:val="0"/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rFonts w:asciiTheme="minorHAnsi" w:hAnsiTheme="minorHAnsi" w:eastAsiaTheme="minorEastAsia" w:cstheme="minorBidi"/>
      <w:i/>
      <w:iCs/>
      <w:color w:val="2F5597" w:themeColor="accent1" w:themeShade="BF"/>
      <w:kern w:val="2"/>
      <w:sz w:val="21"/>
      <w:szCs w:val="22"/>
    </w:rPr>
  </w:style>
  <w:style w:type="character" w:customStyle="1" w:styleId="35">
    <w:name w:val="明显引用 字符"/>
    <w:basedOn w:val="18"/>
    <w:link w:val="34"/>
    <w:qFormat/>
    <w:uiPriority w:val="30"/>
    <w:rPr>
      <w:i/>
      <w:iCs/>
      <w:color w:val="2F5597" w:themeColor="accent1" w:themeShade="BF"/>
    </w:rPr>
  </w:style>
  <w:style w:type="character" w:customStyle="1" w:styleId="36">
    <w:name w:val="明显参考1"/>
    <w:basedOn w:val="18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7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8">
    <w:name w:val="页脚 字符"/>
    <w:basedOn w:val="18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png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e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577</Words>
  <Characters>3342</Characters>
  <Lines>268</Lines>
  <Paragraphs>97</Paragraphs>
  <TotalTime>180</TotalTime>
  <ScaleCrop>false</ScaleCrop>
  <LinksUpToDate>false</LinksUpToDate>
  <CharactersWithSpaces>3840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2025-04-29T05:34:00Z</dcterms:created>
  <dc:creator>天 王</dc:creator>
  <cp:lastModifiedBy>Tian Wang</cp:lastModifiedBy>
  <dcterms:modified xsi:type="dcterms:W3CDTF">2025-10-14T16:46:11Z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eyJoZGlkIjoiODViY2JkMjU3NGYzZTEwMzZmMGFkZWViYmNkYWU3NDIiLCJ1c2VySWQiOiIyMDA3ODI5MTMifQ==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4E7A44446BFC4C2D963ACF3F57490C9A_12</vt:lpwstr>
  </property>
</Properties>
</file>