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BC0D" w14:textId="77777777" w:rsidR="007E798F" w:rsidRPr="006C2F1C" w:rsidRDefault="007E798F" w:rsidP="007E798F">
      <w:pPr>
        <w:widowControl/>
        <w:spacing w:after="0" w:line="480" w:lineRule="auto"/>
        <w:jc w:val="both"/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6C2F1C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Table </w:t>
      </w: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S</w:t>
      </w:r>
      <w:r w:rsidRPr="006C2F1C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1</w:t>
      </w:r>
      <w:r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.</w:t>
      </w:r>
      <w:r w:rsidRPr="006C2F1C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Baseline clinical characteristics in PWLH with and without </w:t>
      </w:r>
      <w:proofErr w:type="spellStart"/>
      <w:r w:rsidRPr="006C2F1C">
        <w:rPr>
          <w:rFonts w:ascii="Arial" w:eastAsia="宋体" w:hAnsi="Arial" w:cs="Arial"/>
          <w:b/>
          <w:bCs/>
          <w:kern w:val="0"/>
          <w:sz w:val="20"/>
          <w:szCs w:val="20"/>
          <w14:ligatures w14:val="none"/>
        </w:rPr>
        <w:t>MetS</w:t>
      </w:r>
      <w:proofErr w:type="spellEnd"/>
    </w:p>
    <w:tbl>
      <w:tblPr>
        <w:tblStyle w:val="ae"/>
        <w:tblW w:w="11038" w:type="dxa"/>
        <w:tblInd w:w="-1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5"/>
        <w:gridCol w:w="2059"/>
        <w:gridCol w:w="2148"/>
        <w:gridCol w:w="2596"/>
        <w:gridCol w:w="1500"/>
      </w:tblGrid>
      <w:tr w:rsidR="007E798F" w:rsidRPr="006C2F1C" w14:paraId="14E119D8" w14:textId="77777777" w:rsidTr="000C3DDE">
        <w:tc>
          <w:tcPr>
            <w:tcW w:w="2735" w:type="dxa"/>
            <w:tcBorders>
              <w:top w:val="single" w:sz="4" w:space="0" w:color="auto"/>
              <w:bottom w:val="single" w:sz="4" w:space="0" w:color="auto"/>
            </w:tcBorders>
          </w:tcPr>
          <w:p w14:paraId="5B923A9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bottom w:val="single" w:sz="4" w:space="0" w:color="auto"/>
            </w:tcBorders>
          </w:tcPr>
          <w:p w14:paraId="13DE234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Overall (n=848)</w:t>
            </w:r>
          </w:p>
        </w:tc>
        <w:tc>
          <w:tcPr>
            <w:tcW w:w="2148" w:type="dxa"/>
            <w:tcBorders>
              <w:top w:val="single" w:sz="4" w:space="0" w:color="auto"/>
              <w:bottom w:val="single" w:sz="4" w:space="0" w:color="auto"/>
            </w:tcBorders>
          </w:tcPr>
          <w:p w14:paraId="4BFBF04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6C2F1C">
              <w:rPr>
                <w:rFonts w:ascii="Arial" w:hAnsi="Arial" w:cs="Arial"/>
                <w:color w:val="000000"/>
                <w:sz w:val="20"/>
              </w:rPr>
              <w:t>MetS</w:t>
            </w:r>
            <w:proofErr w:type="spellEnd"/>
            <w:r w:rsidRPr="006C2F1C">
              <w:rPr>
                <w:rFonts w:ascii="Arial" w:hAnsi="Arial" w:cs="Arial"/>
                <w:color w:val="000000"/>
                <w:sz w:val="20"/>
              </w:rPr>
              <w:t xml:space="preserve"> group (n=266)</w:t>
            </w:r>
          </w:p>
        </w:tc>
        <w:tc>
          <w:tcPr>
            <w:tcW w:w="2596" w:type="dxa"/>
            <w:tcBorders>
              <w:top w:val="single" w:sz="4" w:space="0" w:color="auto"/>
              <w:bottom w:val="single" w:sz="4" w:space="0" w:color="auto"/>
            </w:tcBorders>
          </w:tcPr>
          <w:p w14:paraId="1B3E727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Non-</w:t>
            </w:r>
            <w:proofErr w:type="spellStart"/>
            <w:r w:rsidRPr="006C2F1C">
              <w:rPr>
                <w:rFonts w:ascii="Arial" w:hAnsi="Arial" w:cs="Arial"/>
                <w:color w:val="000000"/>
                <w:sz w:val="20"/>
              </w:rPr>
              <w:t>MetS</w:t>
            </w:r>
            <w:proofErr w:type="spellEnd"/>
            <w:r w:rsidRPr="006C2F1C">
              <w:rPr>
                <w:rFonts w:ascii="Arial" w:hAnsi="Arial" w:cs="Arial"/>
                <w:color w:val="000000"/>
                <w:sz w:val="20"/>
              </w:rPr>
              <w:t xml:space="preserve"> group (n=582)</w:t>
            </w:r>
          </w:p>
        </w:tc>
        <w:tc>
          <w:tcPr>
            <w:tcW w:w="1500" w:type="dxa"/>
            <w:tcBorders>
              <w:top w:val="single" w:sz="4" w:space="0" w:color="auto"/>
              <w:bottom w:val="single" w:sz="4" w:space="0" w:color="auto"/>
            </w:tcBorders>
          </w:tcPr>
          <w:p w14:paraId="45BA3DC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P Value</w:t>
            </w:r>
          </w:p>
        </w:tc>
      </w:tr>
      <w:tr w:rsidR="007E798F" w:rsidRPr="006C2F1C" w14:paraId="16F1C635" w14:textId="77777777" w:rsidTr="000C3DDE">
        <w:tc>
          <w:tcPr>
            <w:tcW w:w="2735" w:type="dxa"/>
            <w:tcBorders>
              <w:top w:val="single" w:sz="4" w:space="0" w:color="auto"/>
            </w:tcBorders>
          </w:tcPr>
          <w:p w14:paraId="1AA9346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Sex (n, %)</w:t>
            </w:r>
          </w:p>
        </w:tc>
        <w:tc>
          <w:tcPr>
            <w:tcW w:w="2059" w:type="dxa"/>
            <w:tcBorders>
              <w:top w:val="single" w:sz="4" w:space="0" w:color="auto"/>
            </w:tcBorders>
          </w:tcPr>
          <w:p w14:paraId="684D4C4E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  <w:tcBorders>
              <w:top w:val="single" w:sz="4" w:space="0" w:color="auto"/>
            </w:tcBorders>
          </w:tcPr>
          <w:p w14:paraId="78753F33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  <w:tcBorders>
              <w:top w:val="single" w:sz="4" w:space="0" w:color="auto"/>
            </w:tcBorders>
          </w:tcPr>
          <w:p w14:paraId="450672D3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auto"/>
            </w:tcBorders>
          </w:tcPr>
          <w:p w14:paraId="236FE6B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0.003</w:t>
            </w:r>
          </w:p>
        </w:tc>
      </w:tr>
      <w:tr w:rsidR="007E798F" w:rsidRPr="006C2F1C" w14:paraId="21707770" w14:textId="77777777" w:rsidTr="000C3DDE">
        <w:tc>
          <w:tcPr>
            <w:tcW w:w="2735" w:type="dxa"/>
          </w:tcPr>
          <w:p w14:paraId="544D91AE" w14:textId="77777777" w:rsidR="007E798F" w:rsidRPr="006C2F1C" w:rsidRDefault="007E798F" w:rsidP="000C3DDE">
            <w:pPr>
              <w:widowControl/>
              <w:spacing w:line="480" w:lineRule="auto"/>
              <w:ind w:firstLineChars="50" w:firstLine="1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 xml:space="preserve"> Male</w:t>
            </w:r>
          </w:p>
        </w:tc>
        <w:tc>
          <w:tcPr>
            <w:tcW w:w="2059" w:type="dxa"/>
          </w:tcPr>
          <w:p w14:paraId="3EDAA36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735 (86.7)</w:t>
            </w:r>
          </w:p>
        </w:tc>
        <w:tc>
          <w:tcPr>
            <w:tcW w:w="2148" w:type="dxa"/>
          </w:tcPr>
          <w:p w14:paraId="64BC063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244 (91.7)</w:t>
            </w:r>
          </w:p>
        </w:tc>
        <w:tc>
          <w:tcPr>
            <w:tcW w:w="2596" w:type="dxa"/>
          </w:tcPr>
          <w:p w14:paraId="1C47CE6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491 (84.4)</w:t>
            </w:r>
          </w:p>
        </w:tc>
        <w:tc>
          <w:tcPr>
            <w:tcW w:w="1500" w:type="dxa"/>
          </w:tcPr>
          <w:p w14:paraId="09C68F34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0B514704" w14:textId="77777777" w:rsidTr="000C3DDE">
        <w:tc>
          <w:tcPr>
            <w:tcW w:w="2735" w:type="dxa"/>
          </w:tcPr>
          <w:p w14:paraId="72A2CA5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 xml:space="preserve">  Female</w:t>
            </w:r>
          </w:p>
        </w:tc>
        <w:tc>
          <w:tcPr>
            <w:tcW w:w="2059" w:type="dxa"/>
          </w:tcPr>
          <w:p w14:paraId="6A3976D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113 (13.3)</w:t>
            </w:r>
          </w:p>
        </w:tc>
        <w:tc>
          <w:tcPr>
            <w:tcW w:w="2148" w:type="dxa"/>
          </w:tcPr>
          <w:p w14:paraId="399042D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22 (8.3)</w:t>
            </w:r>
          </w:p>
        </w:tc>
        <w:tc>
          <w:tcPr>
            <w:tcW w:w="2596" w:type="dxa"/>
          </w:tcPr>
          <w:p w14:paraId="6E61D35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91 (15.6)</w:t>
            </w:r>
          </w:p>
        </w:tc>
        <w:tc>
          <w:tcPr>
            <w:tcW w:w="1500" w:type="dxa"/>
          </w:tcPr>
          <w:p w14:paraId="39F51C73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6901BBAA" w14:textId="77777777" w:rsidTr="000C3DDE">
        <w:tc>
          <w:tcPr>
            <w:tcW w:w="2735" w:type="dxa"/>
          </w:tcPr>
          <w:p w14:paraId="481E12C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Age (years)</w:t>
            </w:r>
          </w:p>
        </w:tc>
        <w:tc>
          <w:tcPr>
            <w:tcW w:w="2059" w:type="dxa"/>
          </w:tcPr>
          <w:p w14:paraId="44C2800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36 (29,46)</w:t>
            </w:r>
          </w:p>
        </w:tc>
        <w:tc>
          <w:tcPr>
            <w:tcW w:w="2148" w:type="dxa"/>
          </w:tcPr>
          <w:p w14:paraId="74B7824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39 (32,49)</w:t>
            </w:r>
          </w:p>
        </w:tc>
        <w:tc>
          <w:tcPr>
            <w:tcW w:w="2596" w:type="dxa"/>
          </w:tcPr>
          <w:p w14:paraId="3F0E054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34 (28,43)</w:t>
            </w:r>
          </w:p>
        </w:tc>
        <w:tc>
          <w:tcPr>
            <w:tcW w:w="1500" w:type="dxa"/>
          </w:tcPr>
          <w:p w14:paraId="17EC8D9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</w:tr>
      <w:tr w:rsidR="007E798F" w:rsidRPr="006C2F1C" w14:paraId="3F609137" w14:textId="77777777" w:rsidTr="000C3DDE">
        <w:tc>
          <w:tcPr>
            <w:tcW w:w="2735" w:type="dxa"/>
          </w:tcPr>
          <w:p w14:paraId="02895DB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bookmarkStart w:id="0" w:name="_Hlk191064840"/>
            <w:r w:rsidRPr="006C2F1C">
              <w:rPr>
                <w:rFonts w:ascii="Arial" w:eastAsia="DengXian" w:hAnsi="Arial" w:cs="Arial"/>
                <w:color w:val="000000"/>
                <w:sz w:val="20"/>
              </w:rPr>
              <w:t>HIV Transmission Risk (n, %)</w:t>
            </w:r>
          </w:p>
        </w:tc>
        <w:tc>
          <w:tcPr>
            <w:tcW w:w="2059" w:type="dxa"/>
          </w:tcPr>
          <w:p w14:paraId="6ADD4A70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467D886D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58E790FE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46B2407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</w:tr>
      <w:tr w:rsidR="007E798F" w:rsidRPr="006C2F1C" w14:paraId="497E9F73" w14:textId="77777777" w:rsidTr="000C3DDE">
        <w:tc>
          <w:tcPr>
            <w:tcW w:w="2735" w:type="dxa"/>
          </w:tcPr>
          <w:p w14:paraId="76AFBF59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MSM</w:t>
            </w:r>
          </w:p>
        </w:tc>
        <w:tc>
          <w:tcPr>
            <w:tcW w:w="2059" w:type="dxa"/>
          </w:tcPr>
          <w:p w14:paraId="4F4CA767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426 (50.2)</w:t>
            </w:r>
          </w:p>
        </w:tc>
        <w:tc>
          <w:tcPr>
            <w:tcW w:w="2148" w:type="dxa"/>
          </w:tcPr>
          <w:p w14:paraId="4ABEEDD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155 (58.3)</w:t>
            </w:r>
          </w:p>
        </w:tc>
        <w:tc>
          <w:tcPr>
            <w:tcW w:w="2596" w:type="dxa"/>
          </w:tcPr>
          <w:p w14:paraId="19B624C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271 (46.6)</w:t>
            </w:r>
          </w:p>
        </w:tc>
        <w:tc>
          <w:tcPr>
            <w:tcW w:w="1500" w:type="dxa"/>
          </w:tcPr>
          <w:p w14:paraId="7BAD7C18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64E21804" w14:textId="77777777" w:rsidTr="000C3DDE">
        <w:tc>
          <w:tcPr>
            <w:tcW w:w="2735" w:type="dxa"/>
          </w:tcPr>
          <w:p w14:paraId="19B7ECDA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Heterosexual</w:t>
            </w:r>
          </w:p>
        </w:tc>
        <w:tc>
          <w:tcPr>
            <w:tcW w:w="2059" w:type="dxa"/>
          </w:tcPr>
          <w:p w14:paraId="40061427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359 (42.3)</w:t>
            </w:r>
          </w:p>
        </w:tc>
        <w:tc>
          <w:tcPr>
            <w:tcW w:w="2148" w:type="dxa"/>
          </w:tcPr>
          <w:p w14:paraId="443FF56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102 (38.3)</w:t>
            </w:r>
          </w:p>
        </w:tc>
        <w:tc>
          <w:tcPr>
            <w:tcW w:w="2596" w:type="dxa"/>
          </w:tcPr>
          <w:p w14:paraId="64B67D6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257 (44.2)</w:t>
            </w:r>
          </w:p>
        </w:tc>
        <w:tc>
          <w:tcPr>
            <w:tcW w:w="1500" w:type="dxa"/>
          </w:tcPr>
          <w:p w14:paraId="47F6DF52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5068A9BD" w14:textId="77777777" w:rsidTr="000C3DDE">
        <w:tc>
          <w:tcPr>
            <w:tcW w:w="2735" w:type="dxa"/>
          </w:tcPr>
          <w:p w14:paraId="50C03961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Other/unknown</w:t>
            </w:r>
          </w:p>
        </w:tc>
        <w:tc>
          <w:tcPr>
            <w:tcW w:w="2059" w:type="dxa"/>
          </w:tcPr>
          <w:p w14:paraId="7966159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63 (7.4)</w:t>
            </w:r>
          </w:p>
        </w:tc>
        <w:tc>
          <w:tcPr>
            <w:tcW w:w="2148" w:type="dxa"/>
          </w:tcPr>
          <w:p w14:paraId="5C57AD3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9 (3.4)</w:t>
            </w:r>
          </w:p>
        </w:tc>
        <w:tc>
          <w:tcPr>
            <w:tcW w:w="2596" w:type="dxa"/>
          </w:tcPr>
          <w:p w14:paraId="2A9C924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54 (9.3)</w:t>
            </w:r>
          </w:p>
        </w:tc>
        <w:tc>
          <w:tcPr>
            <w:tcW w:w="1500" w:type="dxa"/>
          </w:tcPr>
          <w:p w14:paraId="53A3DD2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32FC93A3" w14:textId="77777777" w:rsidTr="000C3DDE">
        <w:tc>
          <w:tcPr>
            <w:tcW w:w="2735" w:type="dxa"/>
          </w:tcPr>
          <w:p w14:paraId="5A449FC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Abdominal obesity (n, %)</w:t>
            </w:r>
          </w:p>
        </w:tc>
        <w:tc>
          <w:tcPr>
            <w:tcW w:w="2059" w:type="dxa"/>
          </w:tcPr>
          <w:p w14:paraId="15B3B47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2A1F4B7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0D9FE9D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4ADA47A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0.080</w:t>
            </w:r>
          </w:p>
        </w:tc>
      </w:tr>
      <w:tr w:rsidR="007E798F" w:rsidRPr="006C2F1C" w14:paraId="4D67C673" w14:textId="77777777" w:rsidTr="000C3DDE">
        <w:tc>
          <w:tcPr>
            <w:tcW w:w="2735" w:type="dxa"/>
          </w:tcPr>
          <w:p w14:paraId="1EB89B40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Yes</w:t>
            </w:r>
          </w:p>
        </w:tc>
        <w:tc>
          <w:tcPr>
            <w:tcW w:w="2059" w:type="dxa"/>
          </w:tcPr>
          <w:p w14:paraId="2B28A13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10 (1.2)</w:t>
            </w:r>
          </w:p>
        </w:tc>
        <w:tc>
          <w:tcPr>
            <w:tcW w:w="2148" w:type="dxa"/>
          </w:tcPr>
          <w:p w14:paraId="50BDB94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6 (2.3)</w:t>
            </w:r>
          </w:p>
        </w:tc>
        <w:tc>
          <w:tcPr>
            <w:tcW w:w="2596" w:type="dxa"/>
          </w:tcPr>
          <w:p w14:paraId="197AEEF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4 (0.7)</w:t>
            </w:r>
          </w:p>
        </w:tc>
        <w:tc>
          <w:tcPr>
            <w:tcW w:w="1500" w:type="dxa"/>
          </w:tcPr>
          <w:p w14:paraId="1C2EE083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6B4AABE" w14:textId="77777777" w:rsidTr="000C3DDE">
        <w:tc>
          <w:tcPr>
            <w:tcW w:w="2735" w:type="dxa"/>
          </w:tcPr>
          <w:p w14:paraId="213500D9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No</w:t>
            </w:r>
          </w:p>
        </w:tc>
        <w:tc>
          <w:tcPr>
            <w:tcW w:w="2059" w:type="dxa"/>
          </w:tcPr>
          <w:p w14:paraId="096E3AD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838 (98.8)</w:t>
            </w:r>
          </w:p>
        </w:tc>
        <w:tc>
          <w:tcPr>
            <w:tcW w:w="2148" w:type="dxa"/>
          </w:tcPr>
          <w:p w14:paraId="64D4BBF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260 (97.7)</w:t>
            </w:r>
          </w:p>
        </w:tc>
        <w:tc>
          <w:tcPr>
            <w:tcW w:w="2596" w:type="dxa"/>
          </w:tcPr>
          <w:p w14:paraId="503C262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578 (99.3)</w:t>
            </w:r>
          </w:p>
        </w:tc>
        <w:tc>
          <w:tcPr>
            <w:tcW w:w="1500" w:type="dxa"/>
          </w:tcPr>
          <w:p w14:paraId="2E91B40A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7A5182A6" w14:textId="77777777" w:rsidTr="000C3DDE">
        <w:tc>
          <w:tcPr>
            <w:tcW w:w="2735" w:type="dxa"/>
          </w:tcPr>
          <w:p w14:paraId="7C06FCF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Hyperglycemia (n, %)</w:t>
            </w:r>
          </w:p>
        </w:tc>
        <w:tc>
          <w:tcPr>
            <w:tcW w:w="2059" w:type="dxa"/>
          </w:tcPr>
          <w:p w14:paraId="33233D37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69F0245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3CAF3B1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297B4D4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0.430</w:t>
            </w:r>
          </w:p>
        </w:tc>
      </w:tr>
      <w:tr w:rsidR="007E798F" w:rsidRPr="006C2F1C" w14:paraId="03CDFDEF" w14:textId="77777777" w:rsidTr="000C3DDE">
        <w:tc>
          <w:tcPr>
            <w:tcW w:w="2735" w:type="dxa"/>
          </w:tcPr>
          <w:p w14:paraId="240E07ED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Yes</w:t>
            </w:r>
          </w:p>
        </w:tc>
        <w:tc>
          <w:tcPr>
            <w:tcW w:w="2059" w:type="dxa"/>
          </w:tcPr>
          <w:p w14:paraId="4952DF0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17 (2.0)</w:t>
            </w:r>
          </w:p>
        </w:tc>
        <w:tc>
          <w:tcPr>
            <w:tcW w:w="2148" w:type="dxa"/>
          </w:tcPr>
          <w:p w14:paraId="0B43A1E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7 (2.6)</w:t>
            </w:r>
          </w:p>
        </w:tc>
        <w:tc>
          <w:tcPr>
            <w:tcW w:w="2596" w:type="dxa"/>
          </w:tcPr>
          <w:p w14:paraId="3CA807B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10 (1.7)</w:t>
            </w:r>
          </w:p>
        </w:tc>
        <w:tc>
          <w:tcPr>
            <w:tcW w:w="1500" w:type="dxa"/>
          </w:tcPr>
          <w:p w14:paraId="153DED87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4CEEA7A2" w14:textId="77777777" w:rsidTr="000C3DDE">
        <w:tc>
          <w:tcPr>
            <w:tcW w:w="2735" w:type="dxa"/>
          </w:tcPr>
          <w:p w14:paraId="10935B8C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No</w:t>
            </w:r>
          </w:p>
        </w:tc>
        <w:tc>
          <w:tcPr>
            <w:tcW w:w="2059" w:type="dxa"/>
          </w:tcPr>
          <w:p w14:paraId="002BB34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831 (98.0)</w:t>
            </w:r>
          </w:p>
        </w:tc>
        <w:tc>
          <w:tcPr>
            <w:tcW w:w="2148" w:type="dxa"/>
          </w:tcPr>
          <w:p w14:paraId="278A2F3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259 (97.4)</w:t>
            </w:r>
          </w:p>
        </w:tc>
        <w:tc>
          <w:tcPr>
            <w:tcW w:w="2596" w:type="dxa"/>
          </w:tcPr>
          <w:p w14:paraId="7B43460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572 (98.3)</w:t>
            </w:r>
          </w:p>
        </w:tc>
        <w:tc>
          <w:tcPr>
            <w:tcW w:w="1500" w:type="dxa"/>
          </w:tcPr>
          <w:p w14:paraId="5EE3317E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289FFBA" w14:textId="77777777" w:rsidTr="000C3DDE">
        <w:tc>
          <w:tcPr>
            <w:tcW w:w="2735" w:type="dxa"/>
          </w:tcPr>
          <w:p w14:paraId="7AA1CB2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Hypertension (n, %)</w:t>
            </w:r>
          </w:p>
        </w:tc>
        <w:tc>
          <w:tcPr>
            <w:tcW w:w="2059" w:type="dxa"/>
          </w:tcPr>
          <w:p w14:paraId="2BFBF7E1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7C6142A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3A482C8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7DE0578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</w:tr>
      <w:tr w:rsidR="007E798F" w:rsidRPr="006C2F1C" w14:paraId="5F1F2A30" w14:textId="77777777" w:rsidTr="000C3DDE">
        <w:tc>
          <w:tcPr>
            <w:tcW w:w="2735" w:type="dxa"/>
          </w:tcPr>
          <w:p w14:paraId="232452D2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Yes</w:t>
            </w:r>
          </w:p>
        </w:tc>
        <w:tc>
          <w:tcPr>
            <w:tcW w:w="2059" w:type="dxa"/>
          </w:tcPr>
          <w:p w14:paraId="438A0A5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41 (4.8)</w:t>
            </w:r>
          </w:p>
        </w:tc>
        <w:tc>
          <w:tcPr>
            <w:tcW w:w="2148" w:type="dxa"/>
          </w:tcPr>
          <w:p w14:paraId="21BCAE5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25 (9.4)</w:t>
            </w:r>
          </w:p>
        </w:tc>
        <w:tc>
          <w:tcPr>
            <w:tcW w:w="2596" w:type="dxa"/>
          </w:tcPr>
          <w:p w14:paraId="5E77F7B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16 (2.7)</w:t>
            </w:r>
          </w:p>
        </w:tc>
        <w:tc>
          <w:tcPr>
            <w:tcW w:w="1500" w:type="dxa"/>
          </w:tcPr>
          <w:p w14:paraId="3B665031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17512ACF" w14:textId="77777777" w:rsidTr="000C3DDE">
        <w:tc>
          <w:tcPr>
            <w:tcW w:w="2735" w:type="dxa"/>
          </w:tcPr>
          <w:p w14:paraId="49A24AB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No</w:t>
            </w:r>
          </w:p>
        </w:tc>
        <w:tc>
          <w:tcPr>
            <w:tcW w:w="2059" w:type="dxa"/>
          </w:tcPr>
          <w:p w14:paraId="7219B2D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807 (95.2)</w:t>
            </w:r>
          </w:p>
        </w:tc>
        <w:tc>
          <w:tcPr>
            <w:tcW w:w="2148" w:type="dxa"/>
          </w:tcPr>
          <w:p w14:paraId="5EEF945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241 (90.6)</w:t>
            </w:r>
          </w:p>
        </w:tc>
        <w:tc>
          <w:tcPr>
            <w:tcW w:w="2596" w:type="dxa"/>
          </w:tcPr>
          <w:p w14:paraId="281A8F2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566 (97.3)</w:t>
            </w:r>
          </w:p>
        </w:tc>
        <w:tc>
          <w:tcPr>
            <w:tcW w:w="1500" w:type="dxa"/>
          </w:tcPr>
          <w:p w14:paraId="1DF33BFD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53256C9F" w14:textId="77777777" w:rsidTr="000C3DDE">
        <w:tc>
          <w:tcPr>
            <w:tcW w:w="2735" w:type="dxa"/>
          </w:tcPr>
          <w:p w14:paraId="1FE40F2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Elevated TG (n, %)</w:t>
            </w:r>
          </w:p>
        </w:tc>
        <w:tc>
          <w:tcPr>
            <w:tcW w:w="2059" w:type="dxa"/>
          </w:tcPr>
          <w:p w14:paraId="0B254D3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311003D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4E70D05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58F53CA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0.081</w:t>
            </w:r>
          </w:p>
        </w:tc>
      </w:tr>
      <w:tr w:rsidR="007E798F" w:rsidRPr="006C2F1C" w14:paraId="09F2ECD8" w14:textId="77777777" w:rsidTr="000C3DDE">
        <w:tc>
          <w:tcPr>
            <w:tcW w:w="2735" w:type="dxa"/>
          </w:tcPr>
          <w:p w14:paraId="5DC4FD4E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Yes</w:t>
            </w:r>
          </w:p>
        </w:tc>
        <w:tc>
          <w:tcPr>
            <w:tcW w:w="2059" w:type="dxa"/>
          </w:tcPr>
          <w:p w14:paraId="6936889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25 (2.9)</w:t>
            </w:r>
          </w:p>
        </w:tc>
        <w:tc>
          <w:tcPr>
            <w:tcW w:w="2148" w:type="dxa"/>
          </w:tcPr>
          <w:p w14:paraId="6C23720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12 (4.5)</w:t>
            </w:r>
          </w:p>
        </w:tc>
        <w:tc>
          <w:tcPr>
            <w:tcW w:w="2596" w:type="dxa"/>
          </w:tcPr>
          <w:p w14:paraId="26DA80F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13 (2.2)</w:t>
            </w:r>
          </w:p>
        </w:tc>
        <w:tc>
          <w:tcPr>
            <w:tcW w:w="1500" w:type="dxa"/>
          </w:tcPr>
          <w:p w14:paraId="27913D8C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57715BF9" w14:textId="77777777" w:rsidTr="000C3DDE">
        <w:tc>
          <w:tcPr>
            <w:tcW w:w="2735" w:type="dxa"/>
          </w:tcPr>
          <w:p w14:paraId="4774CACC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lastRenderedPageBreak/>
              <w:t>No</w:t>
            </w:r>
          </w:p>
        </w:tc>
        <w:tc>
          <w:tcPr>
            <w:tcW w:w="2059" w:type="dxa"/>
          </w:tcPr>
          <w:p w14:paraId="6694D40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823 (97.1)</w:t>
            </w:r>
          </w:p>
        </w:tc>
        <w:tc>
          <w:tcPr>
            <w:tcW w:w="2148" w:type="dxa"/>
          </w:tcPr>
          <w:p w14:paraId="76968A7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254 (95.5)</w:t>
            </w:r>
          </w:p>
        </w:tc>
        <w:tc>
          <w:tcPr>
            <w:tcW w:w="2596" w:type="dxa"/>
          </w:tcPr>
          <w:p w14:paraId="084B28D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569 (97.8)</w:t>
            </w:r>
          </w:p>
        </w:tc>
        <w:tc>
          <w:tcPr>
            <w:tcW w:w="1500" w:type="dxa"/>
          </w:tcPr>
          <w:p w14:paraId="466979C5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13B09601" w14:textId="77777777" w:rsidTr="000C3DDE">
        <w:tc>
          <w:tcPr>
            <w:tcW w:w="2735" w:type="dxa"/>
          </w:tcPr>
          <w:p w14:paraId="32E23E6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Reduced HDL (n, %)</w:t>
            </w:r>
          </w:p>
        </w:tc>
        <w:tc>
          <w:tcPr>
            <w:tcW w:w="2059" w:type="dxa"/>
          </w:tcPr>
          <w:p w14:paraId="2C80617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5428C61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3B4507E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624BDED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0.091</w:t>
            </w:r>
          </w:p>
        </w:tc>
      </w:tr>
      <w:tr w:rsidR="007E798F" w:rsidRPr="006C2F1C" w14:paraId="4A8B98E9" w14:textId="77777777" w:rsidTr="000C3DDE">
        <w:tc>
          <w:tcPr>
            <w:tcW w:w="2735" w:type="dxa"/>
          </w:tcPr>
          <w:p w14:paraId="78776B2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Yes</w:t>
            </w:r>
          </w:p>
        </w:tc>
        <w:tc>
          <w:tcPr>
            <w:tcW w:w="2059" w:type="dxa"/>
          </w:tcPr>
          <w:p w14:paraId="1857436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121 (14.3)</w:t>
            </w:r>
          </w:p>
        </w:tc>
        <w:tc>
          <w:tcPr>
            <w:tcW w:w="2148" w:type="dxa"/>
          </w:tcPr>
          <w:p w14:paraId="66C1F77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46 (17.3)</w:t>
            </w:r>
          </w:p>
        </w:tc>
        <w:tc>
          <w:tcPr>
            <w:tcW w:w="2596" w:type="dxa"/>
          </w:tcPr>
          <w:p w14:paraId="3A3FBF1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75 (12.9)</w:t>
            </w:r>
          </w:p>
        </w:tc>
        <w:tc>
          <w:tcPr>
            <w:tcW w:w="1500" w:type="dxa"/>
          </w:tcPr>
          <w:p w14:paraId="3A93936D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38C7E48" w14:textId="77777777" w:rsidTr="000C3DDE">
        <w:tc>
          <w:tcPr>
            <w:tcW w:w="2735" w:type="dxa"/>
          </w:tcPr>
          <w:p w14:paraId="6875F417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No</w:t>
            </w:r>
          </w:p>
        </w:tc>
        <w:tc>
          <w:tcPr>
            <w:tcW w:w="2059" w:type="dxa"/>
          </w:tcPr>
          <w:p w14:paraId="1022013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727 (85.7)</w:t>
            </w:r>
          </w:p>
        </w:tc>
        <w:tc>
          <w:tcPr>
            <w:tcW w:w="2148" w:type="dxa"/>
          </w:tcPr>
          <w:p w14:paraId="0395027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220 (82.7)</w:t>
            </w:r>
          </w:p>
        </w:tc>
        <w:tc>
          <w:tcPr>
            <w:tcW w:w="2596" w:type="dxa"/>
          </w:tcPr>
          <w:p w14:paraId="068CF351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507 (87.1)</w:t>
            </w:r>
          </w:p>
        </w:tc>
        <w:tc>
          <w:tcPr>
            <w:tcW w:w="1500" w:type="dxa"/>
          </w:tcPr>
          <w:p w14:paraId="685F1A9A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bookmarkEnd w:id="0"/>
      <w:tr w:rsidR="007E798F" w:rsidRPr="006C2F1C" w14:paraId="4FC631BD" w14:textId="77777777" w:rsidTr="000C3DDE">
        <w:tc>
          <w:tcPr>
            <w:tcW w:w="2735" w:type="dxa"/>
          </w:tcPr>
          <w:p w14:paraId="5FD55F0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Baseline CD4 count (cells/</w:t>
            </w:r>
            <w:proofErr w:type="spellStart"/>
            <w:r w:rsidRPr="006C2F1C">
              <w:rPr>
                <w:rFonts w:ascii="Arial" w:eastAsia="DengXian" w:hAnsi="Arial" w:cs="Arial"/>
                <w:color w:val="000000"/>
                <w:sz w:val="20"/>
              </w:rPr>
              <w:t>μL</w:t>
            </w:r>
            <w:proofErr w:type="spellEnd"/>
            <w:r w:rsidRPr="006C2F1C">
              <w:rPr>
                <w:rFonts w:ascii="Arial" w:eastAsia="DengXian" w:hAnsi="Arial" w:cs="Arial"/>
                <w:color w:val="000000"/>
                <w:sz w:val="20"/>
              </w:rPr>
              <w:t>)</w:t>
            </w:r>
          </w:p>
        </w:tc>
        <w:tc>
          <w:tcPr>
            <w:tcW w:w="2059" w:type="dxa"/>
          </w:tcPr>
          <w:p w14:paraId="17AC8031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407.0 (279.0,531.8)</w:t>
            </w:r>
          </w:p>
        </w:tc>
        <w:tc>
          <w:tcPr>
            <w:tcW w:w="2148" w:type="dxa"/>
          </w:tcPr>
          <w:p w14:paraId="4FBEA50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421.5 (289.3,541.3)</w:t>
            </w:r>
          </w:p>
        </w:tc>
        <w:tc>
          <w:tcPr>
            <w:tcW w:w="2596" w:type="dxa"/>
          </w:tcPr>
          <w:p w14:paraId="5FCEC7F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396.5 (277.0,530.0)</w:t>
            </w:r>
          </w:p>
        </w:tc>
        <w:tc>
          <w:tcPr>
            <w:tcW w:w="1500" w:type="dxa"/>
          </w:tcPr>
          <w:p w14:paraId="1ADA9D0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0.212</w:t>
            </w:r>
          </w:p>
        </w:tc>
      </w:tr>
      <w:tr w:rsidR="007E798F" w:rsidRPr="006C2F1C" w14:paraId="4FBAC01A" w14:textId="77777777" w:rsidTr="000C3DDE">
        <w:tc>
          <w:tcPr>
            <w:tcW w:w="2735" w:type="dxa"/>
          </w:tcPr>
          <w:p w14:paraId="016EFB9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Baseline CD8 count (cells/</w:t>
            </w:r>
            <w:proofErr w:type="spellStart"/>
            <w:r w:rsidRPr="006C2F1C">
              <w:rPr>
                <w:rFonts w:ascii="Arial" w:eastAsia="DengXian" w:hAnsi="Arial" w:cs="Arial"/>
                <w:color w:val="000000"/>
                <w:sz w:val="20"/>
              </w:rPr>
              <w:t>μL</w:t>
            </w:r>
            <w:proofErr w:type="spellEnd"/>
            <w:r w:rsidRPr="006C2F1C">
              <w:rPr>
                <w:rFonts w:ascii="Arial" w:eastAsia="DengXian" w:hAnsi="Arial" w:cs="Arial"/>
                <w:color w:val="000000"/>
                <w:sz w:val="20"/>
              </w:rPr>
              <w:t>)</w:t>
            </w:r>
          </w:p>
        </w:tc>
        <w:tc>
          <w:tcPr>
            <w:tcW w:w="2059" w:type="dxa"/>
          </w:tcPr>
          <w:p w14:paraId="19B6F18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647.5 (480.3,921.0)</w:t>
            </w:r>
          </w:p>
        </w:tc>
        <w:tc>
          <w:tcPr>
            <w:tcW w:w="2148" w:type="dxa"/>
          </w:tcPr>
          <w:p w14:paraId="1A5D8751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720.5 (483.3,975.3)</w:t>
            </w:r>
          </w:p>
        </w:tc>
        <w:tc>
          <w:tcPr>
            <w:tcW w:w="2596" w:type="dxa"/>
          </w:tcPr>
          <w:p w14:paraId="111CEC4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633.0 (479.5,874.0)</w:t>
            </w:r>
          </w:p>
        </w:tc>
        <w:tc>
          <w:tcPr>
            <w:tcW w:w="1500" w:type="dxa"/>
          </w:tcPr>
          <w:p w14:paraId="1DA14AA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0.043</w:t>
            </w:r>
          </w:p>
        </w:tc>
      </w:tr>
      <w:tr w:rsidR="007E798F" w:rsidRPr="006C2F1C" w14:paraId="43B17D63" w14:textId="77777777" w:rsidTr="000C3DDE">
        <w:tc>
          <w:tcPr>
            <w:tcW w:w="2735" w:type="dxa"/>
          </w:tcPr>
          <w:p w14:paraId="4A68813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Baseline HIV viral load (n, %)</w:t>
            </w:r>
          </w:p>
        </w:tc>
        <w:tc>
          <w:tcPr>
            <w:tcW w:w="2059" w:type="dxa"/>
          </w:tcPr>
          <w:p w14:paraId="263131EF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48555E56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0E10F225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500" w:type="dxa"/>
          </w:tcPr>
          <w:p w14:paraId="3B26344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0.089</w:t>
            </w:r>
          </w:p>
        </w:tc>
      </w:tr>
      <w:tr w:rsidR="007E798F" w:rsidRPr="006C2F1C" w14:paraId="26388636" w14:textId="77777777" w:rsidTr="000C3DDE">
        <w:tc>
          <w:tcPr>
            <w:tcW w:w="2735" w:type="dxa"/>
          </w:tcPr>
          <w:p w14:paraId="0B240BC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proofErr w:type="gramStart"/>
            <w:r w:rsidRPr="006C2F1C">
              <w:rPr>
                <w:rFonts w:ascii="Calibri" w:hAnsi="Calibri" w:cs="Calibri"/>
                <w:color w:val="000000"/>
                <w:sz w:val="20"/>
              </w:rPr>
              <w:t>﻿</w:t>
            </w:r>
            <w:r w:rsidRPr="006C2F1C">
              <w:rPr>
                <w:rFonts w:ascii="Arial" w:hAnsi="Arial" w:cs="Arial"/>
                <w:color w:val="000000"/>
                <w:sz w:val="20"/>
              </w:rPr>
              <w:t xml:space="preserve">  Viral</w:t>
            </w:r>
            <w:proofErr w:type="gramEnd"/>
            <w:r w:rsidRPr="006C2F1C">
              <w:rPr>
                <w:rFonts w:ascii="Arial" w:hAnsi="Arial" w:cs="Arial"/>
                <w:color w:val="000000"/>
                <w:sz w:val="20"/>
              </w:rPr>
              <w:t xml:space="preserve"> suppression</w:t>
            </w:r>
          </w:p>
        </w:tc>
        <w:tc>
          <w:tcPr>
            <w:tcW w:w="2059" w:type="dxa"/>
          </w:tcPr>
          <w:p w14:paraId="00E43F0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688(81.1)</w:t>
            </w:r>
          </w:p>
        </w:tc>
        <w:tc>
          <w:tcPr>
            <w:tcW w:w="2148" w:type="dxa"/>
          </w:tcPr>
          <w:p w14:paraId="4F5223A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206 (77.4)</w:t>
            </w:r>
          </w:p>
        </w:tc>
        <w:tc>
          <w:tcPr>
            <w:tcW w:w="2596" w:type="dxa"/>
          </w:tcPr>
          <w:p w14:paraId="1D2E245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482 (82.8)</w:t>
            </w:r>
          </w:p>
        </w:tc>
        <w:tc>
          <w:tcPr>
            <w:tcW w:w="1500" w:type="dxa"/>
          </w:tcPr>
          <w:p w14:paraId="0E351A24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18FE6728" w14:textId="77777777" w:rsidTr="000C3DDE">
        <w:tc>
          <w:tcPr>
            <w:tcW w:w="2735" w:type="dxa"/>
          </w:tcPr>
          <w:p w14:paraId="618182C2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Low HIV viral load</w:t>
            </w:r>
          </w:p>
        </w:tc>
        <w:tc>
          <w:tcPr>
            <w:tcW w:w="2059" w:type="dxa"/>
          </w:tcPr>
          <w:p w14:paraId="40822EB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115(13.6)</w:t>
            </w:r>
          </w:p>
        </w:tc>
        <w:tc>
          <w:tcPr>
            <w:tcW w:w="2148" w:type="dxa"/>
          </w:tcPr>
          <w:p w14:paraId="5D46B49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40 (15.0)</w:t>
            </w:r>
          </w:p>
        </w:tc>
        <w:tc>
          <w:tcPr>
            <w:tcW w:w="2596" w:type="dxa"/>
          </w:tcPr>
          <w:p w14:paraId="7C8BC33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75 (12.9)</w:t>
            </w:r>
          </w:p>
        </w:tc>
        <w:tc>
          <w:tcPr>
            <w:tcW w:w="1500" w:type="dxa"/>
          </w:tcPr>
          <w:p w14:paraId="18CD59E5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D3F25F4" w14:textId="77777777" w:rsidTr="000C3DDE">
        <w:tc>
          <w:tcPr>
            <w:tcW w:w="2735" w:type="dxa"/>
          </w:tcPr>
          <w:p w14:paraId="72C82F83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High HIV viral load</w:t>
            </w:r>
          </w:p>
        </w:tc>
        <w:tc>
          <w:tcPr>
            <w:tcW w:w="2059" w:type="dxa"/>
          </w:tcPr>
          <w:p w14:paraId="04D3A77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45(5.3)</w:t>
            </w:r>
          </w:p>
        </w:tc>
        <w:tc>
          <w:tcPr>
            <w:tcW w:w="2148" w:type="dxa"/>
          </w:tcPr>
          <w:p w14:paraId="46CBF88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20 (7.5)</w:t>
            </w:r>
          </w:p>
        </w:tc>
        <w:tc>
          <w:tcPr>
            <w:tcW w:w="2596" w:type="dxa"/>
          </w:tcPr>
          <w:p w14:paraId="1A099E9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25 (4.3)</w:t>
            </w:r>
          </w:p>
        </w:tc>
        <w:tc>
          <w:tcPr>
            <w:tcW w:w="1500" w:type="dxa"/>
          </w:tcPr>
          <w:p w14:paraId="7E16015C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3C50C7C" w14:textId="77777777" w:rsidTr="000C3DDE">
        <w:tc>
          <w:tcPr>
            <w:tcW w:w="2735" w:type="dxa"/>
          </w:tcPr>
          <w:p w14:paraId="6A9FBAF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ART regimen (n, %)</w:t>
            </w:r>
          </w:p>
        </w:tc>
        <w:tc>
          <w:tcPr>
            <w:tcW w:w="2059" w:type="dxa"/>
          </w:tcPr>
          <w:p w14:paraId="0CD4477C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46C72AE6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61C5A500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7657DCF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0.106</w:t>
            </w:r>
          </w:p>
        </w:tc>
      </w:tr>
      <w:tr w:rsidR="007E798F" w:rsidRPr="006C2F1C" w14:paraId="760DA16E" w14:textId="77777777" w:rsidTr="000C3DDE">
        <w:tc>
          <w:tcPr>
            <w:tcW w:w="2735" w:type="dxa"/>
          </w:tcPr>
          <w:p w14:paraId="597CA439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proofErr w:type="spellStart"/>
            <w:r w:rsidRPr="006C2F1C">
              <w:rPr>
                <w:rFonts w:ascii="Arial" w:eastAsia="DengXian" w:hAnsi="Arial" w:cs="Arial"/>
                <w:color w:val="000000"/>
                <w:sz w:val="20"/>
              </w:rPr>
              <w:t>NNRTIs+NRTIs</w:t>
            </w:r>
            <w:proofErr w:type="spellEnd"/>
          </w:p>
        </w:tc>
        <w:tc>
          <w:tcPr>
            <w:tcW w:w="2059" w:type="dxa"/>
          </w:tcPr>
          <w:p w14:paraId="1DB4FADF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653 (77.0)</w:t>
            </w:r>
          </w:p>
        </w:tc>
        <w:tc>
          <w:tcPr>
            <w:tcW w:w="2148" w:type="dxa"/>
          </w:tcPr>
          <w:p w14:paraId="4309008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217 (81.6)</w:t>
            </w:r>
          </w:p>
        </w:tc>
        <w:tc>
          <w:tcPr>
            <w:tcW w:w="2596" w:type="dxa"/>
          </w:tcPr>
          <w:p w14:paraId="4B65E16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436 (74.9)</w:t>
            </w:r>
          </w:p>
        </w:tc>
        <w:tc>
          <w:tcPr>
            <w:tcW w:w="1500" w:type="dxa"/>
          </w:tcPr>
          <w:p w14:paraId="1E852C9F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40C59EB0" w14:textId="77777777" w:rsidTr="000C3DDE">
        <w:tc>
          <w:tcPr>
            <w:tcW w:w="2735" w:type="dxa"/>
          </w:tcPr>
          <w:p w14:paraId="03F6F8B8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proofErr w:type="spellStart"/>
            <w:r w:rsidRPr="006C2F1C">
              <w:rPr>
                <w:rFonts w:ascii="Arial" w:eastAsia="DengXian" w:hAnsi="Arial" w:cs="Arial"/>
                <w:color w:val="000000"/>
                <w:sz w:val="20"/>
              </w:rPr>
              <w:t>PIs+NRTIs</w:t>
            </w:r>
            <w:proofErr w:type="spellEnd"/>
          </w:p>
        </w:tc>
        <w:tc>
          <w:tcPr>
            <w:tcW w:w="2059" w:type="dxa"/>
          </w:tcPr>
          <w:p w14:paraId="34B052C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52 (6.1)</w:t>
            </w:r>
          </w:p>
        </w:tc>
        <w:tc>
          <w:tcPr>
            <w:tcW w:w="2148" w:type="dxa"/>
          </w:tcPr>
          <w:p w14:paraId="6B649560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13 (4.9)</w:t>
            </w:r>
          </w:p>
        </w:tc>
        <w:tc>
          <w:tcPr>
            <w:tcW w:w="2596" w:type="dxa"/>
          </w:tcPr>
          <w:p w14:paraId="0CC3721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39 (6.7)</w:t>
            </w:r>
          </w:p>
        </w:tc>
        <w:tc>
          <w:tcPr>
            <w:tcW w:w="1500" w:type="dxa"/>
          </w:tcPr>
          <w:p w14:paraId="40FCE40D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5A45C57" w14:textId="77777777" w:rsidTr="000C3DDE">
        <w:tc>
          <w:tcPr>
            <w:tcW w:w="2735" w:type="dxa"/>
          </w:tcPr>
          <w:p w14:paraId="7865A937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proofErr w:type="spellStart"/>
            <w:r w:rsidRPr="006C2F1C">
              <w:rPr>
                <w:rFonts w:ascii="Arial" w:eastAsia="DengXian" w:hAnsi="Arial" w:cs="Arial"/>
                <w:color w:val="000000"/>
                <w:sz w:val="20"/>
              </w:rPr>
              <w:t>INSTIs+NRTIs</w:t>
            </w:r>
            <w:proofErr w:type="spellEnd"/>
          </w:p>
        </w:tc>
        <w:tc>
          <w:tcPr>
            <w:tcW w:w="2059" w:type="dxa"/>
          </w:tcPr>
          <w:p w14:paraId="6F1996AB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143 (16.9)</w:t>
            </w:r>
          </w:p>
        </w:tc>
        <w:tc>
          <w:tcPr>
            <w:tcW w:w="2148" w:type="dxa"/>
          </w:tcPr>
          <w:p w14:paraId="43B6095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36 (13.5)</w:t>
            </w:r>
          </w:p>
        </w:tc>
        <w:tc>
          <w:tcPr>
            <w:tcW w:w="2596" w:type="dxa"/>
          </w:tcPr>
          <w:p w14:paraId="39914C1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107 (18.4)</w:t>
            </w:r>
          </w:p>
        </w:tc>
        <w:tc>
          <w:tcPr>
            <w:tcW w:w="1500" w:type="dxa"/>
          </w:tcPr>
          <w:p w14:paraId="1621B188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46D2ABE3" w14:textId="77777777" w:rsidTr="000C3DDE">
        <w:tc>
          <w:tcPr>
            <w:tcW w:w="2735" w:type="dxa"/>
          </w:tcPr>
          <w:p w14:paraId="2D773658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A71BA4">
              <w:rPr>
                <w:rFonts w:ascii="Arial" w:eastAsia="DengXian" w:hAnsi="Arial" w:cs="Arial"/>
                <w:color w:val="000000"/>
                <w:sz w:val="20"/>
              </w:rPr>
              <w:t>TDF use</w:t>
            </w:r>
            <w:r w:rsidRPr="00A71BA4">
              <w:rPr>
                <w:rFonts w:ascii="Arial" w:eastAsia="DengXian" w:hAnsi="Arial" w:cs="Arial" w:hint="eastAsia"/>
                <w:color w:val="000000"/>
                <w:sz w:val="20"/>
              </w:rPr>
              <w:t xml:space="preserve"> </w:t>
            </w:r>
            <w:r w:rsidRPr="00A71BA4">
              <w:rPr>
                <w:rFonts w:ascii="Arial" w:eastAsia="DengXian" w:hAnsi="Arial" w:cs="Arial"/>
                <w:color w:val="000000"/>
                <w:sz w:val="20"/>
              </w:rPr>
              <w:t>(n, %)</w:t>
            </w:r>
          </w:p>
        </w:tc>
        <w:tc>
          <w:tcPr>
            <w:tcW w:w="2059" w:type="dxa"/>
          </w:tcPr>
          <w:p w14:paraId="516CA569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50128602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71ABE4E6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6A793427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 w:hint="eastAsia"/>
                <w:color w:val="000000"/>
                <w:sz w:val="20"/>
              </w:rPr>
              <w:t>0.580</w:t>
            </w:r>
          </w:p>
        </w:tc>
      </w:tr>
      <w:tr w:rsidR="007E798F" w:rsidRPr="006C2F1C" w14:paraId="1AFA7B8C" w14:textId="77777777" w:rsidTr="000C3DDE">
        <w:tc>
          <w:tcPr>
            <w:tcW w:w="2735" w:type="dxa"/>
          </w:tcPr>
          <w:p w14:paraId="1B18F6A3" w14:textId="77777777" w:rsidR="007E798F" w:rsidRPr="00A71BA4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non-TDF-based</w:t>
            </w:r>
          </w:p>
        </w:tc>
        <w:tc>
          <w:tcPr>
            <w:tcW w:w="2059" w:type="dxa"/>
          </w:tcPr>
          <w:p w14:paraId="27BA9685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574 (67.7)</w:t>
            </w:r>
          </w:p>
        </w:tc>
        <w:tc>
          <w:tcPr>
            <w:tcW w:w="2148" w:type="dxa"/>
          </w:tcPr>
          <w:p w14:paraId="3C2D34D9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184 (69.2)</w:t>
            </w:r>
          </w:p>
        </w:tc>
        <w:tc>
          <w:tcPr>
            <w:tcW w:w="2596" w:type="dxa"/>
          </w:tcPr>
          <w:p w14:paraId="2D513C14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390 (67.0)</w:t>
            </w:r>
          </w:p>
        </w:tc>
        <w:tc>
          <w:tcPr>
            <w:tcW w:w="1500" w:type="dxa"/>
          </w:tcPr>
          <w:p w14:paraId="207A9D8A" w14:textId="77777777" w:rsidR="007E798F" w:rsidRPr="00A71BA4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043D464" w14:textId="77777777" w:rsidTr="000C3DDE">
        <w:tc>
          <w:tcPr>
            <w:tcW w:w="2735" w:type="dxa"/>
          </w:tcPr>
          <w:p w14:paraId="1662571E" w14:textId="77777777" w:rsidR="007E798F" w:rsidRPr="00A71BA4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TDF-based</w:t>
            </w:r>
          </w:p>
        </w:tc>
        <w:tc>
          <w:tcPr>
            <w:tcW w:w="2059" w:type="dxa"/>
          </w:tcPr>
          <w:p w14:paraId="55B4E8A6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274 (32.3)</w:t>
            </w:r>
          </w:p>
        </w:tc>
        <w:tc>
          <w:tcPr>
            <w:tcW w:w="2148" w:type="dxa"/>
          </w:tcPr>
          <w:p w14:paraId="184DFE7A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82 (30.8)</w:t>
            </w:r>
          </w:p>
        </w:tc>
        <w:tc>
          <w:tcPr>
            <w:tcW w:w="2596" w:type="dxa"/>
          </w:tcPr>
          <w:p w14:paraId="03283D74" w14:textId="77777777" w:rsidR="007E798F" w:rsidRPr="00A71BA4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A71BA4">
              <w:rPr>
                <w:rFonts w:ascii="Arial" w:hAnsi="Arial" w:cs="Arial"/>
                <w:color w:val="000000"/>
                <w:sz w:val="20"/>
              </w:rPr>
              <w:t>192 (33.0)</w:t>
            </w:r>
          </w:p>
        </w:tc>
        <w:tc>
          <w:tcPr>
            <w:tcW w:w="1500" w:type="dxa"/>
          </w:tcPr>
          <w:p w14:paraId="39CA4848" w14:textId="77777777" w:rsidR="007E798F" w:rsidRPr="00A71BA4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436271BA" w14:textId="77777777" w:rsidTr="000C3DDE">
        <w:tc>
          <w:tcPr>
            <w:tcW w:w="2735" w:type="dxa"/>
          </w:tcPr>
          <w:p w14:paraId="6537CFD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Follow up time (days)</w:t>
            </w:r>
          </w:p>
        </w:tc>
        <w:tc>
          <w:tcPr>
            <w:tcW w:w="2059" w:type="dxa"/>
          </w:tcPr>
          <w:p w14:paraId="292CC72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1415 (677,1705)</w:t>
            </w:r>
          </w:p>
        </w:tc>
        <w:tc>
          <w:tcPr>
            <w:tcW w:w="2148" w:type="dxa"/>
          </w:tcPr>
          <w:p w14:paraId="35E082BA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1244 (524,1640)</w:t>
            </w:r>
          </w:p>
        </w:tc>
        <w:tc>
          <w:tcPr>
            <w:tcW w:w="2596" w:type="dxa"/>
          </w:tcPr>
          <w:p w14:paraId="0103DA76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1479 (784,1715)</w:t>
            </w:r>
          </w:p>
        </w:tc>
        <w:tc>
          <w:tcPr>
            <w:tcW w:w="1500" w:type="dxa"/>
          </w:tcPr>
          <w:p w14:paraId="0BE09FE3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&lt;0.001</w:t>
            </w:r>
          </w:p>
        </w:tc>
      </w:tr>
      <w:tr w:rsidR="007E798F" w:rsidRPr="006C2F1C" w14:paraId="793310AD" w14:textId="77777777" w:rsidTr="000C3DDE">
        <w:tc>
          <w:tcPr>
            <w:tcW w:w="2735" w:type="dxa"/>
          </w:tcPr>
          <w:p w14:paraId="32B1BCA2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Viremia Category (n, %)</w:t>
            </w:r>
          </w:p>
        </w:tc>
        <w:tc>
          <w:tcPr>
            <w:tcW w:w="2059" w:type="dxa"/>
          </w:tcPr>
          <w:p w14:paraId="679E5CB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148" w:type="dxa"/>
          </w:tcPr>
          <w:p w14:paraId="41584F85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596" w:type="dxa"/>
          </w:tcPr>
          <w:p w14:paraId="73EF7622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500" w:type="dxa"/>
          </w:tcPr>
          <w:p w14:paraId="4493E7DE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0.037</w:t>
            </w:r>
          </w:p>
        </w:tc>
      </w:tr>
      <w:tr w:rsidR="007E798F" w:rsidRPr="006C2F1C" w14:paraId="2B407427" w14:textId="77777777" w:rsidTr="000C3DDE">
        <w:tc>
          <w:tcPr>
            <w:tcW w:w="2735" w:type="dxa"/>
          </w:tcPr>
          <w:p w14:paraId="3713C5A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lastRenderedPageBreak/>
              <w:t>No LLV</w:t>
            </w:r>
          </w:p>
        </w:tc>
        <w:tc>
          <w:tcPr>
            <w:tcW w:w="2059" w:type="dxa"/>
          </w:tcPr>
          <w:p w14:paraId="0C92FE87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667 (78.7)</w:t>
            </w:r>
          </w:p>
        </w:tc>
        <w:tc>
          <w:tcPr>
            <w:tcW w:w="2148" w:type="dxa"/>
          </w:tcPr>
          <w:p w14:paraId="7E3B2681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195 (73.3)</w:t>
            </w:r>
          </w:p>
        </w:tc>
        <w:tc>
          <w:tcPr>
            <w:tcW w:w="2596" w:type="dxa"/>
          </w:tcPr>
          <w:p w14:paraId="3E411C2C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472 (81.1)</w:t>
            </w:r>
          </w:p>
        </w:tc>
        <w:tc>
          <w:tcPr>
            <w:tcW w:w="1500" w:type="dxa"/>
          </w:tcPr>
          <w:p w14:paraId="62E2A0D2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542E41B6" w14:textId="77777777" w:rsidTr="000C3DDE">
        <w:tc>
          <w:tcPr>
            <w:tcW w:w="2735" w:type="dxa"/>
          </w:tcPr>
          <w:p w14:paraId="62B4CA2B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r w:rsidRPr="006C2F1C">
              <w:rPr>
                <w:rFonts w:ascii="Arial" w:eastAsia="DengXian" w:hAnsi="Arial" w:cs="Arial"/>
                <w:color w:val="000000"/>
                <w:sz w:val="20"/>
              </w:rPr>
              <w:t>LLV 51-200</w:t>
            </w:r>
          </w:p>
        </w:tc>
        <w:tc>
          <w:tcPr>
            <w:tcW w:w="2059" w:type="dxa"/>
          </w:tcPr>
          <w:p w14:paraId="4CBCB0D5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125 (14.7)</w:t>
            </w:r>
          </w:p>
        </w:tc>
        <w:tc>
          <w:tcPr>
            <w:tcW w:w="2148" w:type="dxa"/>
          </w:tcPr>
          <w:p w14:paraId="7DD8B3B7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49 (18.4)</w:t>
            </w:r>
          </w:p>
        </w:tc>
        <w:tc>
          <w:tcPr>
            <w:tcW w:w="2596" w:type="dxa"/>
          </w:tcPr>
          <w:p w14:paraId="7D737999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76 (13.1)</w:t>
            </w:r>
          </w:p>
        </w:tc>
        <w:tc>
          <w:tcPr>
            <w:tcW w:w="1500" w:type="dxa"/>
          </w:tcPr>
          <w:p w14:paraId="520CE807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7E798F" w:rsidRPr="006C2F1C" w14:paraId="25D8D7AB" w14:textId="77777777" w:rsidTr="000C3DDE">
        <w:tc>
          <w:tcPr>
            <w:tcW w:w="2735" w:type="dxa"/>
          </w:tcPr>
          <w:p w14:paraId="0D9BD5E9" w14:textId="77777777" w:rsidR="007E798F" w:rsidRPr="006C2F1C" w:rsidRDefault="007E798F" w:rsidP="000C3DDE">
            <w:pPr>
              <w:widowControl/>
              <w:tabs>
                <w:tab w:val="center" w:pos="1075"/>
              </w:tabs>
              <w:spacing w:line="480" w:lineRule="auto"/>
              <w:ind w:firstLineChars="100" w:firstLine="200"/>
              <w:jc w:val="both"/>
              <w:rPr>
                <w:rFonts w:ascii="Arial" w:eastAsia="DengXian" w:hAnsi="Arial" w:cs="Arial"/>
                <w:color w:val="000000"/>
                <w:sz w:val="20"/>
              </w:rPr>
            </w:pPr>
            <w:bookmarkStart w:id="1" w:name="OLE_LINK10"/>
            <w:r w:rsidRPr="006C2F1C">
              <w:rPr>
                <w:rFonts w:ascii="Arial" w:eastAsia="DengXian" w:hAnsi="Arial" w:cs="Arial"/>
                <w:color w:val="000000"/>
                <w:sz w:val="20"/>
              </w:rPr>
              <w:t>LLV 201-500</w:t>
            </w:r>
            <w:bookmarkEnd w:id="1"/>
          </w:p>
        </w:tc>
        <w:tc>
          <w:tcPr>
            <w:tcW w:w="2059" w:type="dxa"/>
          </w:tcPr>
          <w:p w14:paraId="2E6A099D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56 (6.6)</w:t>
            </w:r>
          </w:p>
        </w:tc>
        <w:tc>
          <w:tcPr>
            <w:tcW w:w="2148" w:type="dxa"/>
          </w:tcPr>
          <w:p w14:paraId="34FF87D4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22 (8.3)</w:t>
            </w:r>
          </w:p>
        </w:tc>
        <w:tc>
          <w:tcPr>
            <w:tcW w:w="2596" w:type="dxa"/>
          </w:tcPr>
          <w:p w14:paraId="4A0AA7E8" w14:textId="77777777" w:rsidR="007E798F" w:rsidRPr="006C2F1C" w:rsidRDefault="007E798F" w:rsidP="000C3DDE">
            <w:pPr>
              <w:widowControl/>
              <w:spacing w:line="480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6C2F1C">
              <w:rPr>
                <w:rFonts w:ascii="Arial" w:hAnsi="Arial" w:cs="Arial"/>
                <w:color w:val="000000"/>
                <w:sz w:val="20"/>
              </w:rPr>
              <w:t>34 (5.8)</w:t>
            </w:r>
          </w:p>
        </w:tc>
        <w:tc>
          <w:tcPr>
            <w:tcW w:w="1500" w:type="dxa"/>
          </w:tcPr>
          <w:p w14:paraId="15D84B99" w14:textId="77777777" w:rsidR="007E798F" w:rsidRPr="006C2F1C" w:rsidRDefault="007E798F" w:rsidP="000C3DDE">
            <w:pPr>
              <w:widowControl/>
              <w:spacing w:line="480" w:lineRule="auto"/>
              <w:ind w:firstLineChars="100" w:firstLine="20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0AD67F9C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</w:pPr>
      <w:r w:rsidRPr="006C2F1C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Abbreviations</w:t>
      </w:r>
      <w:r w:rsidRPr="00567A8E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 xml:space="preserve">: 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 xml:space="preserve">PLWH, people living with HIV; </w:t>
      </w:r>
      <w:proofErr w:type="spellStart"/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MetS</w:t>
      </w:r>
      <w:proofErr w:type="spellEnd"/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, metabolic syndrome; MSM, men who have sex with men; TG, triglycerides;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HDL-C, high-density lipoprotein cholesterol; ART, antiretroviral therapy; NNRTIs, non-nucleoside reverse transcriptase inhibitors; NRTIs, nucleoside reverse transcriptase inhibitors; PIs, protease inhibitors; INSTIs, integrase strand transfer inhibitors;</w:t>
      </w:r>
      <w:r w:rsidRPr="006C2F1C">
        <w:rPr>
          <w:rFonts w:ascii="宋体" w:eastAsia="宋体" w:hAnsi="宋体" w:cs="宋体"/>
          <w:kern w:val="0"/>
          <w:sz w:val="24"/>
          <w14:ligatures w14:val="none"/>
        </w:rPr>
        <w:t xml:space="preserve"> </w:t>
      </w:r>
      <w:r w:rsidRPr="003B05C8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TDF, tenofovir disoproxil fumarate;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 xml:space="preserve"> LLV, Low-level viremia. </w:t>
      </w:r>
    </w:p>
    <w:p w14:paraId="61EA37E5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  <w:r w:rsidRPr="00567A8E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N</w:t>
      </w:r>
      <w:r w:rsidRPr="00567A8E">
        <w:rPr>
          <w:rFonts w:ascii="Arial" w:eastAsia="宋体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>otes</w:t>
      </w:r>
      <w:r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 xml:space="preserve">: 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>Viral suppression (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baseline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viral loads &lt;50 copies/mL or undetectable), low viral load (detectable but 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baseline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viral loads &lt;3 log</w:t>
      </w:r>
      <w:r w:rsidRPr="006C2F1C">
        <w:rPr>
          <w:rFonts w:ascii="Cambria Math" w:eastAsia="宋体" w:hAnsi="Cambria Math" w:cs="Cambria Math"/>
          <w:kern w:val="0"/>
          <w:sz w:val="20"/>
          <w:szCs w:val="20"/>
          <w14:ligatures w14:val="none"/>
        </w:rPr>
        <w:t>₁₀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copies/mL), and high viral load (</w:t>
      </w:r>
      <w:r w:rsidRPr="006C2F1C"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>baseline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viral loads &gt;3 log</w:t>
      </w:r>
      <w:r w:rsidRPr="006C2F1C">
        <w:rPr>
          <w:rFonts w:ascii="Cambria Math" w:eastAsia="宋体" w:hAnsi="Cambria Math" w:cs="Cambria Math"/>
          <w:kern w:val="0"/>
          <w:sz w:val="20"/>
          <w:szCs w:val="20"/>
          <w14:ligatures w14:val="none"/>
        </w:rPr>
        <w:t>₁₀</w:t>
      </w:r>
      <w:r w:rsidRPr="006C2F1C">
        <w:rPr>
          <w:rFonts w:ascii="Arial" w:eastAsia="宋体" w:hAnsi="Arial" w:cs="Arial"/>
          <w:kern w:val="0"/>
          <w:sz w:val="20"/>
          <w:szCs w:val="20"/>
          <w14:ligatures w14:val="none"/>
        </w:rPr>
        <w:t xml:space="preserve"> copies/mL).</w:t>
      </w:r>
      <w:r w:rsidRPr="006C2F1C">
        <w:rPr>
          <w:rFonts w:ascii="Arial" w:eastAsia="DengXian" w:hAnsi="Arial" w:cs="Arial"/>
          <w:kern w:val="0"/>
          <w:sz w:val="20"/>
          <w:szCs w:val="20"/>
          <w14:ligatures w14:val="none"/>
        </w:rPr>
        <w:t xml:space="preserve"> No LLV (all viral loads &lt;50 copies/mL or undetectable after 6 months of ART); LLV 51-200 (two consecutive viral loads between 51-200 copies/mL); LLV 201-500 (two consecutive viral loads between 201-500 copies/mL).</w:t>
      </w:r>
    </w:p>
    <w:p w14:paraId="300DF8B7" w14:textId="77777777" w:rsidR="00620364" w:rsidRDefault="00620364"/>
    <w:p w14:paraId="3E87220E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49E08684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0C0BF175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065CE0F2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72F7D0AF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32D1F6C0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17C7D8E3" w14:textId="77777777" w:rsid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4AD90985" w14:textId="77777777" w:rsidR="007E798F" w:rsidRPr="007E798F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61325803" w14:textId="77777777" w:rsidR="007E798F" w:rsidRPr="00567A8E" w:rsidRDefault="007E798F" w:rsidP="007E798F">
      <w:pPr>
        <w:spacing w:line="360" w:lineRule="auto"/>
        <w:jc w:val="both"/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</w:pPr>
      <w:r w:rsidRPr="00567A8E"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lastRenderedPageBreak/>
        <w:t>T</w:t>
      </w:r>
      <w:r w:rsidRPr="00567A8E">
        <w:rPr>
          <w:rFonts w:ascii="Arial" w:eastAsia="DengXian" w:hAnsi="Arial" w:cs="Arial" w:hint="eastAsia"/>
          <w:b/>
          <w:bCs/>
          <w:kern w:val="0"/>
          <w:sz w:val="20"/>
          <w:szCs w:val="20"/>
          <w14:ligatures w14:val="none"/>
        </w:rPr>
        <w:t xml:space="preserve">able </w:t>
      </w:r>
      <w:r w:rsidRPr="00567A8E"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t>S</w:t>
      </w:r>
      <w:r w:rsidRPr="00567A8E">
        <w:rPr>
          <w:rFonts w:ascii="Arial" w:eastAsia="DengXian" w:hAnsi="Arial" w:cs="Arial" w:hint="eastAsia"/>
          <w:b/>
          <w:bCs/>
          <w:kern w:val="0"/>
          <w:sz w:val="20"/>
          <w:szCs w:val="20"/>
          <w14:ligatures w14:val="none"/>
        </w:rPr>
        <w:t>2</w:t>
      </w:r>
      <w:r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t>.</w:t>
      </w:r>
      <w:r w:rsidRPr="00567A8E">
        <w:rPr>
          <w:rFonts w:ascii="Arial" w:eastAsia="DengXian" w:hAnsi="Arial" w:cs="Arial" w:hint="eastAsia"/>
          <w:b/>
          <w:bCs/>
          <w:kern w:val="0"/>
          <w:sz w:val="20"/>
          <w:szCs w:val="20"/>
          <w14:ligatures w14:val="none"/>
        </w:rPr>
        <w:t xml:space="preserve"> </w:t>
      </w:r>
      <w:r w:rsidRPr="00567A8E"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t xml:space="preserve">Sensitivity analysis of LLV as an independent risk factor for </w:t>
      </w:r>
      <w:proofErr w:type="spellStart"/>
      <w:r w:rsidRPr="00567A8E"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t>MetS</w:t>
      </w:r>
      <w:proofErr w:type="spellEnd"/>
      <w:r w:rsidRPr="00567A8E">
        <w:rPr>
          <w:rFonts w:ascii="Arial" w:eastAsia="DengXian" w:hAnsi="Arial" w:cs="Arial"/>
          <w:b/>
          <w:bCs/>
          <w:kern w:val="0"/>
          <w:sz w:val="20"/>
          <w:szCs w:val="20"/>
          <w14:ligatures w14:val="none"/>
        </w:rPr>
        <w:t xml:space="preserve"> by TDF use</w:t>
      </w:r>
    </w:p>
    <w:tbl>
      <w:tblPr>
        <w:tblStyle w:val="ae"/>
        <w:tblW w:w="8931" w:type="dxa"/>
        <w:tblInd w:w="-567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3"/>
        <w:gridCol w:w="2861"/>
        <w:gridCol w:w="2977"/>
      </w:tblGrid>
      <w:tr w:rsidR="007E798F" w:rsidRPr="00567A8E" w14:paraId="5874F9CC" w14:textId="77777777" w:rsidTr="000C3DDE">
        <w:tc>
          <w:tcPr>
            <w:tcW w:w="3093" w:type="dxa"/>
            <w:tcBorders>
              <w:top w:val="single" w:sz="4" w:space="0" w:color="auto"/>
              <w:bottom w:val="single" w:sz="4" w:space="0" w:color="auto"/>
            </w:tcBorders>
          </w:tcPr>
          <w:p w14:paraId="63675EA1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</w:p>
        </w:tc>
        <w:tc>
          <w:tcPr>
            <w:tcW w:w="2861" w:type="dxa"/>
            <w:tcBorders>
              <w:top w:val="single" w:sz="4" w:space="0" w:color="auto"/>
              <w:bottom w:val="single" w:sz="4" w:space="0" w:color="auto"/>
            </w:tcBorders>
          </w:tcPr>
          <w:p w14:paraId="0FA623C7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Sensitivity analysis A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3B7423C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Sensitivity analysis B</w:t>
            </w:r>
          </w:p>
        </w:tc>
      </w:tr>
      <w:tr w:rsidR="007E798F" w:rsidRPr="00567A8E" w14:paraId="09FB47C3" w14:textId="77777777" w:rsidTr="000C3DDE">
        <w:tc>
          <w:tcPr>
            <w:tcW w:w="3093" w:type="dxa"/>
            <w:tcBorders>
              <w:top w:val="single" w:sz="4" w:space="0" w:color="auto"/>
            </w:tcBorders>
          </w:tcPr>
          <w:p w14:paraId="1A9FE6A5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No LLV</w:t>
            </w:r>
          </w:p>
        </w:tc>
        <w:tc>
          <w:tcPr>
            <w:tcW w:w="2861" w:type="dxa"/>
            <w:tcBorders>
              <w:top w:val="single" w:sz="4" w:space="0" w:color="auto"/>
            </w:tcBorders>
          </w:tcPr>
          <w:p w14:paraId="03601220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Ref.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17A4025C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Ref.</w:t>
            </w:r>
          </w:p>
        </w:tc>
      </w:tr>
      <w:tr w:rsidR="007E798F" w:rsidRPr="00567A8E" w14:paraId="0C9FF480" w14:textId="77777777" w:rsidTr="000C3DDE">
        <w:tc>
          <w:tcPr>
            <w:tcW w:w="3093" w:type="dxa"/>
          </w:tcPr>
          <w:p w14:paraId="07FCAA22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LLV 51-200</w:t>
            </w:r>
          </w:p>
        </w:tc>
        <w:tc>
          <w:tcPr>
            <w:tcW w:w="2861" w:type="dxa"/>
          </w:tcPr>
          <w:p w14:paraId="031786DD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1.0</w:t>
            </w:r>
            <w:r w:rsidRPr="00567A8E">
              <w:rPr>
                <w:rFonts w:ascii="Arial" w:eastAsia="DengXian" w:hAnsi="Arial" w:cs="Arial" w:hint="eastAsia"/>
                <w:sz w:val="20"/>
              </w:rPr>
              <w:t>86</w:t>
            </w:r>
            <w:r w:rsidRPr="00567A8E">
              <w:rPr>
                <w:rFonts w:ascii="Arial" w:eastAsia="DengXian" w:hAnsi="Arial" w:cs="Arial"/>
                <w:sz w:val="20"/>
              </w:rPr>
              <w:t>(1.0</w:t>
            </w:r>
            <w:r w:rsidRPr="00567A8E">
              <w:rPr>
                <w:rFonts w:ascii="Arial" w:eastAsia="DengXian" w:hAnsi="Arial" w:cs="Arial" w:hint="eastAsia"/>
                <w:sz w:val="20"/>
              </w:rPr>
              <w:t>17</w:t>
            </w:r>
            <w:r w:rsidRPr="00567A8E">
              <w:rPr>
                <w:rFonts w:ascii="Arial" w:eastAsia="DengXian" w:hAnsi="Arial" w:cs="Arial"/>
                <w:sz w:val="20"/>
              </w:rPr>
              <w:t>-1.1</w:t>
            </w:r>
            <w:r w:rsidRPr="00567A8E">
              <w:rPr>
                <w:rFonts w:ascii="Arial" w:eastAsia="DengXian" w:hAnsi="Arial" w:cs="Arial" w:hint="eastAsia"/>
                <w:sz w:val="20"/>
              </w:rPr>
              <w:t>59</w:t>
            </w:r>
            <w:r w:rsidRPr="00567A8E">
              <w:rPr>
                <w:rFonts w:ascii="Arial" w:eastAsia="DengXian" w:hAnsi="Arial" w:cs="Arial"/>
                <w:sz w:val="20"/>
              </w:rPr>
              <w:t>) *</w:t>
            </w:r>
          </w:p>
        </w:tc>
        <w:tc>
          <w:tcPr>
            <w:tcW w:w="2977" w:type="dxa"/>
          </w:tcPr>
          <w:p w14:paraId="389D7BB7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 w:hint="eastAsia"/>
                <w:sz w:val="20"/>
              </w:rPr>
              <w:t>0.978</w:t>
            </w:r>
            <w:r w:rsidRPr="00567A8E">
              <w:rPr>
                <w:rFonts w:ascii="Arial" w:eastAsia="DengXian" w:hAnsi="Arial" w:cs="Arial"/>
                <w:sz w:val="20"/>
              </w:rPr>
              <w:t>(</w:t>
            </w:r>
            <w:r w:rsidRPr="00567A8E">
              <w:rPr>
                <w:rFonts w:ascii="Arial" w:eastAsia="DengXian" w:hAnsi="Arial" w:cs="Arial" w:hint="eastAsia"/>
                <w:sz w:val="20"/>
              </w:rPr>
              <w:t>0</w:t>
            </w:r>
            <w:r w:rsidRPr="00567A8E">
              <w:rPr>
                <w:rFonts w:ascii="Arial" w:eastAsia="DengXian" w:hAnsi="Arial" w:cs="Arial"/>
                <w:sz w:val="20"/>
              </w:rPr>
              <w:t>.</w:t>
            </w:r>
            <w:r w:rsidRPr="00567A8E">
              <w:rPr>
                <w:rFonts w:ascii="Arial" w:eastAsia="DengXian" w:hAnsi="Arial" w:cs="Arial" w:hint="eastAsia"/>
                <w:sz w:val="20"/>
              </w:rPr>
              <w:t>894</w:t>
            </w:r>
            <w:r w:rsidRPr="00567A8E">
              <w:rPr>
                <w:rFonts w:ascii="Arial" w:eastAsia="DengXian" w:hAnsi="Arial" w:cs="Arial"/>
                <w:sz w:val="20"/>
              </w:rPr>
              <w:t>-1.0</w:t>
            </w:r>
            <w:r w:rsidRPr="00567A8E">
              <w:rPr>
                <w:rFonts w:ascii="Arial" w:eastAsia="DengXian" w:hAnsi="Arial" w:cs="Arial" w:hint="eastAsia"/>
                <w:sz w:val="20"/>
              </w:rPr>
              <w:t>70</w:t>
            </w:r>
            <w:r w:rsidRPr="00567A8E">
              <w:rPr>
                <w:rFonts w:ascii="Arial" w:eastAsia="DengXian" w:hAnsi="Arial" w:cs="Arial"/>
                <w:sz w:val="20"/>
              </w:rPr>
              <w:t>)</w:t>
            </w:r>
          </w:p>
        </w:tc>
      </w:tr>
      <w:tr w:rsidR="007E798F" w:rsidRPr="00567A8E" w14:paraId="797D61B3" w14:textId="77777777" w:rsidTr="000C3DDE">
        <w:tc>
          <w:tcPr>
            <w:tcW w:w="3093" w:type="dxa"/>
          </w:tcPr>
          <w:p w14:paraId="6F7394E2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LLV 201-500</w:t>
            </w:r>
          </w:p>
        </w:tc>
        <w:tc>
          <w:tcPr>
            <w:tcW w:w="2861" w:type="dxa"/>
          </w:tcPr>
          <w:p w14:paraId="40239FC2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1.</w:t>
            </w:r>
            <w:r w:rsidRPr="00567A8E">
              <w:rPr>
                <w:rFonts w:ascii="Arial" w:eastAsia="DengXian" w:hAnsi="Arial" w:cs="Arial" w:hint="eastAsia"/>
                <w:sz w:val="20"/>
              </w:rPr>
              <w:t>1</w:t>
            </w:r>
            <w:r w:rsidRPr="00567A8E">
              <w:rPr>
                <w:rFonts w:ascii="Arial" w:eastAsia="DengXian" w:hAnsi="Arial" w:cs="Arial"/>
                <w:sz w:val="20"/>
              </w:rPr>
              <w:t>0</w:t>
            </w:r>
            <w:r w:rsidRPr="00567A8E">
              <w:rPr>
                <w:rFonts w:ascii="Arial" w:eastAsia="DengXian" w:hAnsi="Arial" w:cs="Arial" w:hint="eastAsia"/>
                <w:sz w:val="20"/>
              </w:rPr>
              <w:t>4</w:t>
            </w:r>
            <w:r w:rsidRPr="00567A8E">
              <w:rPr>
                <w:rFonts w:ascii="Arial" w:eastAsia="DengXian" w:hAnsi="Arial" w:cs="Arial"/>
                <w:sz w:val="20"/>
              </w:rPr>
              <w:t>(</w:t>
            </w:r>
            <w:r w:rsidRPr="00567A8E">
              <w:rPr>
                <w:rFonts w:ascii="Arial" w:eastAsia="DengXian" w:hAnsi="Arial" w:cs="Arial" w:hint="eastAsia"/>
                <w:sz w:val="20"/>
              </w:rPr>
              <w:t>0</w:t>
            </w:r>
            <w:r w:rsidRPr="00567A8E">
              <w:rPr>
                <w:rFonts w:ascii="Arial" w:eastAsia="DengXian" w:hAnsi="Arial" w:cs="Arial"/>
                <w:sz w:val="20"/>
              </w:rPr>
              <w:t>.</w:t>
            </w:r>
            <w:r w:rsidRPr="00567A8E">
              <w:rPr>
                <w:rFonts w:ascii="Arial" w:eastAsia="DengXian" w:hAnsi="Arial" w:cs="Arial" w:hint="eastAsia"/>
                <w:sz w:val="20"/>
              </w:rPr>
              <w:t>994</w:t>
            </w:r>
            <w:r w:rsidRPr="00567A8E">
              <w:rPr>
                <w:rFonts w:ascii="Arial" w:eastAsia="DengXian" w:hAnsi="Arial" w:cs="Arial"/>
                <w:sz w:val="20"/>
              </w:rPr>
              <w:t>-1.</w:t>
            </w:r>
            <w:r w:rsidRPr="00567A8E">
              <w:rPr>
                <w:rFonts w:ascii="Arial" w:eastAsia="DengXian" w:hAnsi="Arial" w:cs="Arial" w:hint="eastAsia"/>
                <w:sz w:val="20"/>
              </w:rPr>
              <w:t>226</w:t>
            </w:r>
            <w:r w:rsidRPr="00567A8E">
              <w:rPr>
                <w:rFonts w:ascii="Arial" w:eastAsia="DengXian" w:hAnsi="Arial" w:cs="Arial"/>
                <w:sz w:val="20"/>
              </w:rPr>
              <w:t>)</w:t>
            </w:r>
          </w:p>
        </w:tc>
        <w:tc>
          <w:tcPr>
            <w:tcW w:w="2977" w:type="dxa"/>
          </w:tcPr>
          <w:p w14:paraId="31B4A07B" w14:textId="77777777" w:rsidR="007E798F" w:rsidRPr="00567A8E" w:rsidRDefault="007E798F" w:rsidP="000C3DDE">
            <w:pPr>
              <w:widowControl/>
              <w:spacing w:line="360" w:lineRule="auto"/>
              <w:jc w:val="both"/>
              <w:rPr>
                <w:rFonts w:ascii="Arial" w:eastAsia="DengXian" w:hAnsi="Arial" w:cs="Arial"/>
                <w:sz w:val="20"/>
              </w:rPr>
            </w:pPr>
            <w:r w:rsidRPr="00567A8E">
              <w:rPr>
                <w:rFonts w:ascii="Arial" w:eastAsia="DengXian" w:hAnsi="Arial" w:cs="Arial"/>
                <w:sz w:val="20"/>
              </w:rPr>
              <w:t>1.</w:t>
            </w:r>
            <w:r w:rsidRPr="00567A8E">
              <w:rPr>
                <w:rFonts w:ascii="Arial" w:eastAsia="DengXian" w:hAnsi="Arial" w:cs="Arial" w:hint="eastAsia"/>
                <w:sz w:val="20"/>
              </w:rPr>
              <w:t>132</w:t>
            </w:r>
            <w:r w:rsidRPr="00567A8E">
              <w:rPr>
                <w:rFonts w:ascii="Arial" w:eastAsia="DengXian" w:hAnsi="Arial" w:cs="Arial"/>
                <w:sz w:val="20"/>
              </w:rPr>
              <w:t>(1.0</w:t>
            </w:r>
            <w:r w:rsidRPr="00567A8E">
              <w:rPr>
                <w:rFonts w:ascii="Arial" w:eastAsia="DengXian" w:hAnsi="Arial" w:cs="Arial" w:hint="eastAsia"/>
                <w:sz w:val="20"/>
              </w:rPr>
              <w:t>14</w:t>
            </w:r>
            <w:r w:rsidRPr="00567A8E">
              <w:rPr>
                <w:rFonts w:ascii="Arial" w:eastAsia="DengXian" w:hAnsi="Arial" w:cs="Arial"/>
                <w:sz w:val="20"/>
              </w:rPr>
              <w:t>-1.</w:t>
            </w:r>
            <w:r w:rsidRPr="00567A8E">
              <w:rPr>
                <w:rFonts w:ascii="Arial" w:eastAsia="DengXian" w:hAnsi="Arial" w:cs="Arial" w:hint="eastAsia"/>
                <w:sz w:val="20"/>
              </w:rPr>
              <w:t>263</w:t>
            </w:r>
            <w:r w:rsidRPr="00567A8E">
              <w:rPr>
                <w:rFonts w:ascii="Arial" w:eastAsia="DengXian" w:hAnsi="Arial" w:cs="Arial"/>
                <w:sz w:val="20"/>
              </w:rPr>
              <w:t>) *</w:t>
            </w:r>
          </w:p>
        </w:tc>
      </w:tr>
    </w:tbl>
    <w:p w14:paraId="5A1A1A1E" w14:textId="77777777" w:rsidR="007E798F" w:rsidRPr="00567A8E" w:rsidRDefault="007E798F" w:rsidP="007E798F">
      <w:pPr>
        <w:widowControl/>
        <w:spacing w:after="0" w:line="36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  <w:r w:rsidRPr="00567A8E">
        <w:rPr>
          <w:rFonts w:ascii="Arial" w:eastAsia="宋体" w:hAnsi="Arial" w:cs="Arial"/>
          <w:b/>
          <w:bCs/>
          <w:color w:val="000000"/>
          <w:kern w:val="0"/>
          <w:sz w:val="20"/>
          <w:szCs w:val="20"/>
          <w14:ligatures w14:val="none"/>
        </w:rPr>
        <w:t>N</w:t>
      </w:r>
      <w:r w:rsidRPr="00567A8E">
        <w:rPr>
          <w:rFonts w:ascii="Arial" w:eastAsia="宋体" w:hAnsi="Arial" w:cs="Arial" w:hint="eastAsia"/>
          <w:b/>
          <w:bCs/>
          <w:color w:val="000000"/>
          <w:kern w:val="0"/>
          <w:sz w:val="20"/>
          <w:szCs w:val="20"/>
          <w14:ligatures w14:val="none"/>
        </w:rPr>
        <w:t>otes</w:t>
      </w:r>
      <w:r>
        <w:rPr>
          <w:rFonts w:ascii="Arial" w:eastAsia="宋体" w:hAnsi="Arial" w:cs="Arial"/>
          <w:color w:val="000000"/>
          <w:kern w:val="0"/>
          <w:sz w:val="20"/>
          <w:szCs w:val="20"/>
          <w14:ligatures w14:val="none"/>
        </w:rPr>
        <w:t xml:space="preserve">: </w:t>
      </w:r>
      <w:r w:rsidRPr="00567A8E">
        <w:rPr>
          <w:rFonts w:ascii="Arial" w:eastAsia="DengXian" w:hAnsi="Arial" w:cs="Arial"/>
          <w:kern w:val="0"/>
          <w:sz w:val="20"/>
          <w:szCs w:val="20"/>
          <w14:ligatures w14:val="none"/>
        </w:rPr>
        <w:t>Sensitivity analysis A: non-TDF-based</w:t>
      </w:r>
      <w:r w:rsidRPr="00567A8E">
        <w:rPr>
          <w:rFonts w:ascii="Arial" w:eastAsia="DengXian" w:hAnsi="Arial" w:cs="Arial" w:hint="eastAsia"/>
          <w:kern w:val="0"/>
          <w:sz w:val="20"/>
          <w:szCs w:val="20"/>
          <w14:ligatures w14:val="none"/>
        </w:rPr>
        <w:t xml:space="preserve"> </w:t>
      </w:r>
      <w:r w:rsidRPr="00567A8E">
        <w:rPr>
          <w:rFonts w:ascii="Arial" w:eastAsia="DengXian" w:hAnsi="Arial" w:cs="Arial"/>
          <w:kern w:val="0"/>
          <w:sz w:val="20"/>
          <w:szCs w:val="20"/>
          <w14:ligatures w14:val="none"/>
        </w:rPr>
        <w:t>(n=</w:t>
      </w:r>
      <w:r w:rsidRPr="00567A8E">
        <w:rPr>
          <w:rFonts w:ascii="Arial" w:eastAsia="DengXian" w:hAnsi="Arial" w:cs="Arial" w:hint="eastAsia"/>
          <w:kern w:val="0"/>
          <w:sz w:val="20"/>
          <w:szCs w:val="20"/>
          <w14:ligatures w14:val="none"/>
        </w:rPr>
        <w:t>574</w:t>
      </w:r>
      <w:r w:rsidRPr="00567A8E">
        <w:rPr>
          <w:rFonts w:ascii="Arial" w:eastAsia="DengXian" w:hAnsi="Arial" w:cs="Arial"/>
          <w:kern w:val="0"/>
          <w:sz w:val="20"/>
          <w:szCs w:val="20"/>
          <w14:ligatures w14:val="none"/>
        </w:rPr>
        <w:t>). Sensitivity analysis B: TDF-based (n=</w:t>
      </w:r>
      <w:r w:rsidRPr="00567A8E">
        <w:rPr>
          <w:rFonts w:ascii="Arial" w:eastAsia="DengXian" w:hAnsi="Arial" w:cs="Arial" w:hint="eastAsia"/>
          <w:kern w:val="0"/>
          <w:sz w:val="20"/>
          <w:szCs w:val="20"/>
          <w14:ligatures w14:val="none"/>
        </w:rPr>
        <w:t>274</w:t>
      </w:r>
      <w:r w:rsidRPr="00567A8E">
        <w:rPr>
          <w:rFonts w:ascii="Arial" w:eastAsia="DengXian" w:hAnsi="Arial" w:cs="Arial"/>
          <w:kern w:val="0"/>
          <w:sz w:val="20"/>
          <w:szCs w:val="20"/>
          <w14:ligatures w14:val="none"/>
        </w:rPr>
        <w:t xml:space="preserve">). No LLV (all viral loads &lt;50 copies/mL or undetectable after 6 months of ART); LLV 51-200 (two consecutive viral loads between 51-200 copies/mL); LLV 201-500 (two consecutive viral loads between 201-500 copies/mL). *: p &lt; 0.05. </w:t>
      </w:r>
    </w:p>
    <w:p w14:paraId="3668E81C" w14:textId="77777777" w:rsidR="007E798F" w:rsidRPr="00567A8E" w:rsidRDefault="007E798F" w:rsidP="007E798F">
      <w:pPr>
        <w:widowControl/>
        <w:spacing w:after="0" w:line="480" w:lineRule="auto"/>
        <w:jc w:val="both"/>
        <w:rPr>
          <w:rFonts w:ascii="Arial" w:eastAsia="DengXian" w:hAnsi="Arial" w:cs="Arial"/>
          <w:kern w:val="0"/>
          <w:sz w:val="20"/>
          <w:szCs w:val="20"/>
          <w14:ligatures w14:val="none"/>
        </w:rPr>
      </w:pPr>
    </w:p>
    <w:p w14:paraId="1ED0778D" w14:textId="77777777" w:rsidR="007E798F" w:rsidRDefault="007E798F"/>
    <w:p w14:paraId="2CD6E9EA" w14:textId="77777777" w:rsidR="00057B19" w:rsidRDefault="00057B19"/>
    <w:p w14:paraId="4AE00E5D" w14:textId="77777777" w:rsidR="00057B19" w:rsidRDefault="00057B19"/>
    <w:p w14:paraId="11AF490E" w14:textId="77777777" w:rsidR="00057B19" w:rsidRDefault="00057B19"/>
    <w:p w14:paraId="63220090" w14:textId="77777777" w:rsidR="00057B19" w:rsidRDefault="00057B19"/>
    <w:p w14:paraId="04246E20" w14:textId="77777777" w:rsidR="00057B19" w:rsidRDefault="00057B19"/>
    <w:p w14:paraId="42A5C624" w14:textId="77777777" w:rsidR="00057B19" w:rsidRDefault="00057B19"/>
    <w:p w14:paraId="17AE614C" w14:textId="77777777" w:rsidR="00057B19" w:rsidRDefault="00057B19"/>
    <w:p w14:paraId="3A09A9F1" w14:textId="77777777" w:rsidR="00057B19" w:rsidRDefault="00057B19"/>
    <w:p w14:paraId="0A21030E" w14:textId="77777777" w:rsidR="00057B19" w:rsidRDefault="00057B19"/>
    <w:p w14:paraId="34D83B5C" w14:textId="77777777" w:rsidR="00057B19" w:rsidRDefault="00057B19"/>
    <w:p w14:paraId="0EA1A223" w14:textId="77777777" w:rsidR="00057B19" w:rsidRDefault="00057B19"/>
    <w:p w14:paraId="48AE54FE" w14:textId="77777777" w:rsidR="00057B19" w:rsidRDefault="00057B19"/>
    <w:p w14:paraId="7B7DE839" w14:textId="77777777" w:rsidR="00057B19" w:rsidRDefault="00057B19"/>
    <w:p w14:paraId="249C9DAC" w14:textId="77777777" w:rsidR="00057B19" w:rsidRDefault="00057B19"/>
    <w:p w14:paraId="32EA678B" w14:textId="77777777" w:rsidR="00057B19" w:rsidRDefault="00057B19"/>
    <w:p w14:paraId="58341EEC" w14:textId="77777777" w:rsidR="00057B19" w:rsidRDefault="00057B19"/>
    <w:p w14:paraId="52B341F9" w14:textId="60F0A1FA" w:rsidR="00057B19" w:rsidRDefault="00057B19">
      <w:r>
        <w:rPr>
          <w:rFonts w:ascii="Arial" w:eastAsia="DengXian" w:hAnsi="Arial" w:cs="Arial"/>
          <w:noProof/>
          <w:sz w:val="20"/>
        </w:rPr>
        <w:lastRenderedPageBreak/>
        <w:drawing>
          <wp:anchor distT="0" distB="0" distL="114300" distR="114300" simplePos="0" relativeHeight="251659264" behindDoc="0" locked="0" layoutInCell="1" allowOverlap="1" wp14:anchorId="3021DEA2" wp14:editId="78474CC1">
            <wp:simplePos x="0" y="0"/>
            <wp:positionH relativeFrom="column">
              <wp:posOffset>-187960</wp:posOffset>
            </wp:positionH>
            <wp:positionV relativeFrom="paragraph">
              <wp:posOffset>246744</wp:posOffset>
            </wp:positionV>
            <wp:extent cx="5912485" cy="3621405"/>
            <wp:effectExtent l="0" t="0" r="5715" b="0"/>
            <wp:wrapTopAndBottom/>
            <wp:docPr id="6271777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77705" name="图片 62717770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2485" cy="3621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108B84" w14:textId="5CAC817E" w:rsidR="00057B19" w:rsidRDefault="00057B19">
      <w:r w:rsidRPr="00567A8E">
        <w:rPr>
          <w:rFonts w:ascii="Arial" w:eastAsia="DengXian" w:hAnsi="Arial" w:cs="Arial"/>
          <w:b/>
          <w:bCs/>
          <w:sz w:val="20"/>
        </w:rPr>
        <w:t>Figure S1</w:t>
      </w:r>
      <w:r>
        <w:rPr>
          <w:rFonts w:ascii="Arial" w:eastAsia="DengXian" w:hAnsi="Arial" w:cs="Arial"/>
          <w:b/>
          <w:bCs/>
          <w:sz w:val="20"/>
        </w:rPr>
        <w:t>.</w:t>
      </w:r>
      <w:r w:rsidRPr="00567A8E">
        <w:rPr>
          <w:rFonts w:ascii="Arial" w:eastAsia="DengXian" w:hAnsi="Arial" w:cs="Arial"/>
          <w:sz w:val="20"/>
        </w:rPr>
        <w:t xml:space="preserve"> Longitudinal comparison of HbA1c levels across viremia categories over seven time points. No LLV (all viral loads &lt;50 copies/mL or undetectable after 6 months of ART); LLV 51-200 (two consecutive viral loads between 51-200 copies/mL); LLV 201-500 (two consecutive viral loads between 201-500 copies/mL). ***: p &lt; 0.001.</w:t>
      </w:r>
      <w:r w:rsidRPr="00567A8E">
        <w:rPr>
          <w:rFonts w:ascii="Arial" w:eastAsia="DengXian" w:hAnsi="Arial" w:cs="Arial"/>
          <w:sz w:val="20"/>
        </w:rPr>
        <w:tab/>
      </w:r>
    </w:p>
    <w:sectPr w:rsidR="00057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8F"/>
    <w:rsid w:val="000003CD"/>
    <w:rsid w:val="00001C4B"/>
    <w:rsid w:val="0002558B"/>
    <w:rsid w:val="00040C00"/>
    <w:rsid w:val="00041373"/>
    <w:rsid w:val="00053A6B"/>
    <w:rsid w:val="000567F6"/>
    <w:rsid w:val="00057B19"/>
    <w:rsid w:val="00075E23"/>
    <w:rsid w:val="0008626F"/>
    <w:rsid w:val="00092A3F"/>
    <w:rsid w:val="0009432C"/>
    <w:rsid w:val="000954DC"/>
    <w:rsid w:val="000A0822"/>
    <w:rsid w:val="000A1457"/>
    <w:rsid w:val="000A6B69"/>
    <w:rsid w:val="000B60C3"/>
    <w:rsid w:val="000D073B"/>
    <w:rsid w:val="000D0F91"/>
    <w:rsid w:val="000D2DFF"/>
    <w:rsid w:val="000E68F6"/>
    <w:rsid w:val="000E6FDF"/>
    <w:rsid w:val="000F01BF"/>
    <w:rsid w:val="000F4ACF"/>
    <w:rsid w:val="00103CC2"/>
    <w:rsid w:val="00103CC8"/>
    <w:rsid w:val="0012450E"/>
    <w:rsid w:val="001320E3"/>
    <w:rsid w:val="00133E12"/>
    <w:rsid w:val="001446FF"/>
    <w:rsid w:val="00151BD8"/>
    <w:rsid w:val="0016433F"/>
    <w:rsid w:val="00172224"/>
    <w:rsid w:val="00180897"/>
    <w:rsid w:val="001861D0"/>
    <w:rsid w:val="00186630"/>
    <w:rsid w:val="0019339E"/>
    <w:rsid w:val="001B1237"/>
    <w:rsid w:val="001B1DF1"/>
    <w:rsid w:val="001C5EF4"/>
    <w:rsid w:val="001D5161"/>
    <w:rsid w:val="001D5977"/>
    <w:rsid w:val="001E410E"/>
    <w:rsid w:val="001F0462"/>
    <w:rsid w:val="001F5368"/>
    <w:rsid w:val="001F703E"/>
    <w:rsid w:val="001F7D65"/>
    <w:rsid w:val="002035C8"/>
    <w:rsid w:val="0021254F"/>
    <w:rsid w:val="00220F84"/>
    <w:rsid w:val="002225B0"/>
    <w:rsid w:val="002257AB"/>
    <w:rsid w:val="002308DF"/>
    <w:rsid w:val="00232C26"/>
    <w:rsid w:val="0023738E"/>
    <w:rsid w:val="00243885"/>
    <w:rsid w:val="002561C8"/>
    <w:rsid w:val="00261993"/>
    <w:rsid w:val="002641DD"/>
    <w:rsid w:val="00264BA3"/>
    <w:rsid w:val="00264F64"/>
    <w:rsid w:val="00266A92"/>
    <w:rsid w:val="00270180"/>
    <w:rsid w:val="00273644"/>
    <w:rsid w:val="0027429E"/>
    <w:rsid w:val="0028081D"/>
    <w:rsid w:val="00293D70"/>
    <w:rsid w:val="002A1927"/>
    <w:rsid w:val="002A42D8"/>
    <w:rsid w:val="002B216E"/>
    <w:rsid w:val="002B21D3"/>
    <w:rsid w:val="002B602A"/>
    <w:rsid w:val="002D3317"/>
    <w:rsid w:val="002E215F"/>
    <w:rsid w:val="002E2BBF"/>
    <w:rsid w:val="002E7EBA"/>
    <w:rsid w:val="002F2584"/>
    <w:rsid w:val="0031214B"/>
    <w:rsid w:val="00320F2A"/>
    <w:rsid w:val="003211BD"/>
    <w:rsid w:val="0032342D"/>
    <w:rsid w:val="00327AEA"/>
    <w:rsid w:val="0033599C"/>
    <w:rsid w:val="00352D61"/>
    <w:rsid w:val="0036213D"/>
    <w:rsid w:val="00362C6F"/>
    <w:rsid w:val="00365A45"/>
    <w:rsid w:val="00367831"/>
    <w:rsid w:val="003711A6"/>
    <w:rsid w:val="00371C63"/>
    <w:rsid w:val="00372470"/>
    <w:rsid w:val="00375DAB"/>
    <w:rsid w:val="00381777"/>
    <w:rsid w:val="003953A2"/>
    <w:rsid w:val="00395477"/>
    <w:rsid w:val="0039603F"/>
    <w:rsid w:val="003A0262"/>
    <w:rsid w:val="003A0B2B"/>
    <w:rsid w:val="003A1862"/>
    <w:rsid w:val="003A2E50"/>
    <w:rsid w:val="003A7315"/>
    <w:rsid w:val="003A79B4"/>
    <w:rsid w:val="003A7A79"/>
    <w:rsid w:val="003B3AC0"/>
    <w:rsid w:val="003C4BF1"/>
    <w:rsid w:val="003D5177"/>
    <w:rsid w:val="003E56D3"/>
    <w:rsid w:val="003F1FEA"/>
    <w:rsid w:val="00405437"/>
    <w:rsid w:val="00406510"/>
    <w:rsid w:val="00410D39"/>
    <w:rsid w:val="004130EC"/>
    <w:rsid w:val="00413663"/>
    <w:rsid w:val="00422AB6"/>
    <w:rsid w:val="0042549E"/>
    <w:rsid w:val="004309B1"/>
    <w:rsid w:val="00433A04"/>
    <w:rsid w:val="0043528C"/>
    <w:rsid w:val="004355F5"/>
    <w:rsid w:val="00443E53"/>
    <w:rsid w:val="0045344E"/>
    <w:rsid w:val="004557D3"/>
    <w:rsid w:val="00455CD7"/>
    <w:rsid w:val="004629B4"/>
    <w:rsid w:val="004629E4"/>
    <w:rsid w:val="004902E7"/>
    <w:rsid w:val="004A4B00"/>
    <w:rsid w:val="004A51E1"/>
    <w:rsid w:val="004B0306"/>
    <w:rsid w:val="004B2203"/>
    <w:rsid w:val="004D4E16"/>
    <w:rsid w:val="004D6A45"/>
    <w:rsid w:val="004D6A6E"/>
    <w:rsid w:val="004E05D9"/>
    <w:rsid w:val="004E0C59"/>
    <w:rsid w:val="004E7650"/>
    <w:rsid w:val="004E76D6"/>
    <w:rsid w:val="004F0EE2"/>
    <w:rsid w:val="004F3372"/>
    <w:rsid w:val="004F3D65"/>
    <w:rsid w:val="004F54A0"/>
    <w:rsid w:val="005113D0"/>
    <w:rsid w:val="005151B3"/>
    <w:rsid w:val="00530E80"/>
    <w:rsid w:val="005362B5"/>
    <w:rsid w:val="00560D31"/>
    <w:rsid w:val="005717B3"/>
    <w:rsid w:val="00572910"/>
    <w:rsid w:val="00581C91"/>
    <w:rsid w:val="00584E87"/>
    <w:rsid w:val="005867D5"/>
    <w:rsid w:val="005872A3"/>
    <w:rsid w:val="00590478"/>
    <w:rsid w:val="005921C4"/>
    <w:rsid w:val="00592DCD"/>
    <w:rsid w:val="00595CE2"/>
    <w:rsid w:val="00596737"/>
    <w:rsid w:val="005A049F"/>
    <w:rsid w:val="005A4AF6"/>
    <w:rsid w:val="005A5F88"/>
    <w:rsid w:val="005A718C"/>
    <w:rsid w:val="005B3C1D"/>
    <w:rsid w:val="005C5A3B"/>
    <w:rsid w:val="005D151D"/>
    <w:rsid w:val="005D7BEE"/>
    <w:rsid w:val="005D7EFB"/>
    <w:rsid w:val="005D7F09"/>
    <w:rsid w:val="005E1A86"/>
    <w:rsid w:val="005F24C9"/>
    <w:rsid w:val="005F260D"/>
    <w:rsid w:val="006116F4"/>
    <w:rsid w:val="00612D13"/>
    <w:rsid w:val="00620364"/>
    <w:rsid w:val="00625791"/>
    <w:rsid w:val="00626AA6"/>
    <w:rsid w:val="00631266"/>
    <w:rsid w:val="0063223B"/>
    <w:rsid w:val="00633D36"/>
    <w:rsid w:val="00637EA4"/>
    <w:rsid w:val="00642A2E"/>
    <w:rsid w:val="006604C5"/>
    <w:rsid w:val="0066135C"/>
    <w:rsid w:val="00671E74"/>
    <w:rsid w:val="00684EAD"/>
    <w:rsid w:val="006872DE"/>
    <w:rsid w:val="00693124"/>
    <w:rsid w:val="00694883"/>
    <w:rsid w:val="006970E0"/>
    <w:rsid w:val="006A2C40"/>
    <w:rsid w:val="006A34F5"/>
    <w:rsid w:val="006B718F"/>
    <w:rsid w:val="006C5A84"/>
    <w:rsid w:val="006C5E3E"/>
    <w:rsid w:val="006C6FE4"/>
    <w:rsid w:val="006C7559"/>
    <w:rsid w:val="006D0D62"/>
    <w:rsid w:val="006D4C62"/>
    <w:rsid w:val="006D7E26"/>
    <w:rsid w:val="006F0D19"/>
    <w:rsid w:val="006F2B6A"/>
    <w:rsid w:val="006F412A"/>
    <w:rsid w:val="007011CA"/>
    <w:rsid w:val="007149D9"/>
    <w:rsid w:val="00721C8A"/>
    <w:rsid w:val="0072659C"/>
    <w:rsid w:val="007270CB"/>
    <w:rsid w:val="00734836"/>
    <w:rsid w:val="007356B1"/>
    <w:rsid w:val="0073698B"/>
    <w:rsid w:val="00741B07"/>
    <w:rsid w:val="00750F59"/>
    <w:rsid w:val="00756038"/>
    <w:rsid w:val="00767A13"/>
    <w:rsid w:val="00777F01"/>
    <w:rsid w:val="007806D3"/>
    <w:rsid w:val="00783245"/>
    <w:rsid w:val="007904C2"/>
    <w:rsid w:val="007904F8"/>
    <w:rsid w:val="00795A15"/>
    <w:rsid w:val="0079688F"/>
    <w:rsid w:val="007A0E8E"/>
    <w:rsid w:val="007A2FBF"/>
    <w:rsid w:val="007A3A86"/>
    <w:rsid w:val="007A5499"/>
    <w:rsid w:val="007B397D"/>
    <w:rsid w:val="007C30E5"/>
    <w:rsid w:val="007D42B8"/>
    <w:rsid w:val="007D48B4"/>
    <w:rsid w:val="007D76AB"/>
    <w:rsid w:val="007D7F96"/>
    <w:rsid w:val="007E1BF2"/>
    <w:rsid w:val="007E3B65"/>
    <w:rsid w:val="007E798F"/>
    <w:rsid w:val="007F3A65"/>
    <w:rsid w:val="00806263"/>
    <w:rsid w:val="00806A98"/>
    <w:rsid w:val="00810461"/>
    <w:rsid w:val="008312FB"/>
    <w:rsid w:val="008319E0"/>
    <w:rsid w:val="008335E3"/>
    <w:rsid w:val="00833EEB"/>
    <w:rsid w:val="00845E92"/>
    <w:rsid w:val="00846F61"/>
    <w:rsid w:val="0085161E"/>
    <w:rsid w:val="00854343"/>
    <w:rsid w:val="00856234"/>
    <w:rsid w:val="00856A74"/>
    <w:rsid w:val="00856AA2"/>
    <w:rsid w:val="008617FB"/>
    <w:rsid w:val="008619F7"/>
    <w:rsid w:val="00862C87"/>
    <w:rsid w:val="008712BF"/>
    <w:rsid w:val="00880103"/>
    <w:rsid w:val="00880B2D"/>
    <w:rsid w:val="00881673"/>
    <w:rsid w:val="00881773"/>
    <w:rsid w:val="00882B9D"/>
    <w:rsid w:val="008938CB"/>
    <w:rsid w:val="00895F5E"/>
    <w:rsid w:val="008A2973"/>
    <w:rsid w:val="008C115F"/>
    <w:rsid w:val="008C23F6"/>
    <w:rsid w:val="008C416C"/>
    <w:rsid w:val="008C6BB7"/>
    <w:rsid w:val="008D0E4B"/>
    <w:rsid w:val="008D1F3B"/>
    <w:rsid w:val="008D296D"/>
    <w:rsid w:val="008D5382"/>
    <w:rsid w:val="008D62B6"/>
    <w:rsid w:val="008D7C71"/>
    <w:rsid w:val="008E7F91"/>
    <w:rsid w:val="008F04F2"/>
    <w:rsid w:val="008F0E84"/>
    <w:rsid w:val="008F3BBD"/>
    <w:rsid w:val="009042ED"/>
    <w:rsid w:val="0090474F"/>
    <w:rsid w:val="009130A4"/>
    <w:rsid w:val="00915FCB"/>
    <w:rsid w:val="0092129D"/>
    <w:rsid w:val="00932596"/>
    <w:rsid w:val="009354F5"/>
    <w:rsid w:val="00940D0A"/>
    <w:rsid w:val="00941047"/>
    <w:rsid w:val="00942820"/>
    <w:rsid w:val="009451BE"/>
    <w:rsid w:val="00956C7C"/>
    <w:rsid w:val="00970CBC"/>
    <w:rsid w:val="009747CB"/>
    <w:rsid w:val="00975AAD"/>
    <w:rsid w:val="00976077"/>
    <w:rsid w:val="00991123"/>
    <w:rsid w:val="00992344"/>
    <w:rsid w:val="00992412"/>
    <w:rsid w:val="00992D77"/>
    <w:rsid w:val="0099469E"/>
    <w:rsid w:val="009A0C67"/>
    <w:rsid w:val="009A5666"/>
    <w:rsid w:val="009A5DE4"/>
    <w:rsid w:val="009B05AB"/>
    <w:rsid w:val="009B15CE"/>
    <w:rsid w:val="009B4706"/>
    <w:rsid w:val="009C23C0"/>
    <w:rsid w:val="009D3E00"/>
    <w:rsid w:val="009E5F39"/>
    <w:rsid w:val="009F2325"/>
    <w:rsid w:val="009F28C1"/>
    <w:rsid w:val="009F2B57"/>
    <w:rsid w:val="009F3D14"/>
    <w:rsid w:val="009F7CF3"/>
    <w:rsid w:val="00A017EE"/>
    <w:rsid w:val="00A13972"/>
    <w:rsid w:val="00A15A86"/>
    <w:rsid w:val="00A259C7"/>
    <w:rsid w:val="00A32D21"/>
    <w:rsid w:val="00A519A6"/>
    <w:rsid w:val="00A523F7"/>
    <w:rsid w:val="00A52988"/>
    <w:rsid w:val="00A61737"/>
    <w:rsid w:val="00A63C0F"/>
    <w:rsid w:val="00A73D4E"/>
    <w:rsid w:val="00A743B0"/>
    <w:rsid w:val="00A76D96"/>
    <w:rsid w:val="00A81FA6"/>
    <w:rsid w:val="00A876FC"/>
    <w:rsid w:val="00A879BA"/>
    <w:rsid w:val="00A96686"/>
    <w:rsid w:val="00A97151"/>
    <w:rsid w:val="00AA7E2B"/>
    <w:rsid w:val="00AB0509"/>
    <w:rsid w:val="00AB0ACF"/>
    <w:rsid w:val="00AC0C7D"/>
    <w:rsid w:val="00AC1A26"/>
    <w:rsid w:val="00AC5AC2"/>
    <w:rsid w:val="00AD2179"/>
    <w:rsid w:val="00AD2864"/>
    <w:rsid w:val="00AD48A3"/>
    <w:rsid w:val="00AE1309"/>
    <w:rsid w:val="00AE19C0"/>
    <w:rsid w:val="00AE239E"/>
    <w:rsid w:val="00AE2EBB"/>
    <w:rsid w:val="00AE662A"/>
    <w:rsid w:val="00AE6C4F"/>
    <w:rsid w:val="00AE7859"/>
    <w:rsid w:val="00AF0122"/>
    <w:rsid w:val="00AF3EEA"/>
    <w:rsid w:val="00AF5826"/>
    <w:rsid w:val="00B05D20"/>
    <w:rsid w:val="00B131E6"/>
    <w:rsid w:val="00B141AD"/>
    <w:rsid w:val="00B1488D"/>
    <w:rsid w:val="00B16A20"/>
    <w:rsid w:val="00B2386B"/>
    <w:rsid w:val="00B24E48"/>
    <w:rsid w:val="00B26917"/>
    <w:rsid w:val="00B3044B"/>
    <w:rsid w:val="00B31E92"/>
    <w:rsid w:val="00B44016"/>
    <w:rsid w:val="00B44165"/>
    <w:rsid w:val="00B447A7"/>
    <w:rsid w:val="00B62F77"/>
    <w:rsid w:val="00B76007"/>
    <w:rsid w:val="00B76AF1"/>
    <w:rsid w:val="00B81F34"/>
    <w:rsid w:val="00B83A3D"/>
    <w:rsid w:val="00B86D0B"/>
    <w:rsid w:val="00BA3985"/>
    <w:rsid w:val="00BA7FC4"/>
    <w:rsid w:val="00BB0AD4"/>
    <w:rsid w:val="00BB3A94"/>
    <w:rsid w:val="00BB712D"/>
    <w:rsid w:val="00BB7483"/>
    <w:rsid w:val="00BC5CA8"/>
    <w:rsid w:val="00BD019E"/>
    <w:rsid w:val="00BD378B"/>
    <w:rsid w:val="00BD4AF5"/>
    <w:rsid w:val="00BD7021"/>
    <w:rsid w:val="00BE68B3"/>
    <w:rsid w:val="00BF09CA"/>
    <w:rsid w:val="00BF09FF"/>
    <w:rsid w:val="00C00A97"/>
    <w:rsid w:val="00C020A7"/>
    <w:rsid w:val="00C051A3"/>
    <w:rsid w:val="00C06743"/>
    <w:rsid w:val="00C12317"/>
    <w:rsid w:val="00C13F18"/>
    <w:rsid w:val="00C13FE9"/>
    <w:rsid w:val="00C140AE"/>
    <w:rsid w:val="00C16EB3"/>
    <w:rsid w:val="00C178FB"/>
    <w:rsid w:val="00C24015"/>
    <w:rsid w:val="00C27A94"/>
    <w:rsid w:val="00C30E56"/>
    <w:rsid w:val="00C50C95"/>
    <w:rsid w:val="00C54BA9"/>
    <w:rsid w:val="00C54F6E"/>
    <w:rsid w:val="00C7425C"/>
    <w:rsid w:val="00C82CC6"/>
    <w:rsid w:val="00C924DB"/>
    <w:rsid w:val="00C93236"/>
    <w:rsid w:val="00C97061"/>
    <w:rsid w:val="00CA1D8E"/>
    <w:rsid w:val="00CB57D1"/>
    <w:rsid w:val="00CC2E6E"/>
    <w:rsid w:val="00CD4E0E"/>
    <w:rsid w:val="00CD76BD"/>
    <w:rsid w:val="00CE0193"/>
    <w:rsid w:val="00CE4672"/>
    <w:rsid w:val="00CE61DA"/>
    <w:rsid w:val="00CE7871"/>
    <w:rsid w:val="00CE7E2D"/>
    <w:rsid w:val="00CF3E2F"/>
    <w:rsid w:val="00CF60C2"/>
    <w:rsid w:val="00D00A7D"/>
    <w:rsid w:val="00D011D3"/>
    <w:rsid w:val="00D054D7"/>
    <w:rsid w:val="00D13CF3"/>
    <w:rsid w:val="00D142DB"/>
    <w:rsid w:val="00D24827"/>
    <w:rsid w:val="00D32D72"/>
    <w:rsid w:val="00D562E0"/>
    <w:rsid w:val="00D60D0F"/>
    <w:rsid w:val="00D62167"/>
    <w:rsid w:val="00D640AA"/>
    <w:rsid w:val="00D66F43"/>
    <w:rsid w:val="00D718DB"/>
    <w:rsid w:val="00D7199F"/>
    <w:rsid w:val="00D74434"/>
    <w:rsid w:val="00D764CA"/>
    <w:rsid w:val="00D917D2"/>
    <w:rsid w:val="00D9227B"/>
    <w:rsid w:val="00D948E4"/>
    <w:rsid w:val="00D96840"/>
    <w:rsid w:val="00DA50F9"/>
    <w:rsid w:val="00DA77B2"/>
    <w:rsid w:val="00DB1BB8"/>
    <w:rsid w:val="00DB30BC"/>
    <w:rsid w:val="00DB3790"/>
    <w:rsid w:val="00DC03AF"/>
    <w:rsid w:val="00DC1300"/>
    <w:rsid w:val="00DC3278"/>
    <w:rsid w:val="00DC4383"/>
    <w:rsid w:val="00DC46D7"/>
    <w:rsid w:val="00DD298D"/>
    <w:rsid w:val="00DE5A07"/>
    <w:rsid w:val="00DF18FD"/>
    <w:rsid w:val="00DF4FF7"/>
    <w:rsid w:val="00DF7663"/>
    <w:rsid w:val="00E0202E"/>
    <w:rsid w:val="00E167BF"/>
    <w:rsid w:val="00E21EEC"/>
    <w:rsid w:val="00E248B3"/>
    <w:rsid w:val="00E3075E"/>
    <w:rsid w:val="00E33A49"/>
    <w:rsid w:val="00E34B2B"/>
    <w:rsid w:val="00E46DB0"/>
    <w:rsid w:val="00E5083C"/>
    <w:rsid w:val="00E57302"/>
    <w:rsid w:val="00E619AE"/>
    <w:rsid w:val="00E65F4C"/>
    <w:rsid w:val="00E70FC6"/>
    <w:rsid w:val="00E71DC5"/>
    <w:rsid w:val="00E83BD6"/>
    <w:rsid w:val="00E86023"/>
    <w:rsid w:val="00E92826"/>
    <w:rsid w:val="00E9481A"/>
    <w:rsid w:val="00E9673A"/>
    <w:rsid w:val="00EA0012"/>
    <w:rsid w:val="00EB5620"/>
    <w:rsid w:val="00EC5242"/>
    <w:rsid w:val="00ED0EA9"/>
    <w:rsid w:val="00ED2130"/>
    <w:rsid w:val="00ED4E1E"/>
    <w:rsid w:val="00ED6E57"/>
    <w:rsid w:val="00ED7096"/>
    <w:rsid w:val="00EF67D0"/>
    <w:rsid w:val="00EF799E"/>
    <w:rsid w:val="00F024FC"/>
    <w:rsid w:val="00F10590"/>
    <w:rsid w:val="00F10BF4"/>
    <w:rsid w:val="00F2054B"/>
    <w:rsid w:val="00F23E35"/>
    <w:rsid w:val="00F30C03"/>
    <w:rsid w:val="00F3124B"/>
    <w:rsid w:val="00F367FF"/>
    <w:rsid w:val="00F40C9C"/>
    <w:rsid w:val="00F52A6A"/>
    <w:rsid w:val="00F64CED"/>
    <w:rsid w:val="00F728BE"/>
    <w:rsid w:val="00F75318"/>
    <w:rsid w:val="00F81A89"/>
    <w:rsid w:val="00F95A9A"/>
    <w:rsid w:val="00FA379B"/>
    <w:rsid w:val="00FA4DFA"/>
    <w:rsid w:val="00FA4E29"/>
    <w:rsid w:val="00FA6238"/>
    <w:rsid w:val="00FB3E21"/>
    <w:rsid w:val="00FB538A"/>
    <w:rsid w:val="00FC0425"/>
    <w:rsid w:val="00FE2209"/>
    <w:rsid w:val="00FE5B02"/>
    <w:rsid w:val="00FF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EC9304"/>
  <w15:chartTrackingRefBased/>
  <w15:docId w15:val="{412DAA4E-787B-2C4A-BD5F-D36305D3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98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8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8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8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98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98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98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98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98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98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798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7E798F"/>
    <w:pPr>
      <w:spacing w:after="0" w:line="240" w:lineRule="auto"/>
    </w:pPr>
    <w:rPr>
      <w:rFonts w:ascii="Times New Roman" w:eastAsia="宋体" w:hAnsi="Times New Roman" w:cs="Times New Roman"/>
      <w:kern w:val="0"/>
      <w:sz w:val="21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552</Words>
  <Characters>3148</Characters>
  <Application>Microsoft Office Word</Application>
  <DocSecurity>0</DocSecurity>
  <Lines>26</Lines>
  <Paragraphs>7</Paragraphs>
  <ScaleCrop>false</ScaleCrop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the</dc:creator>
  <cp:keywords/>
  <dc:description/>
  <cp:lastModifiedBy>king the</cp:lastModifiedBy>
  <cp:revision>2</cp:revision>
  <dcterms:created xsi:type="dcterms:W3CDTF">2025-09-25T14:15:00Z</dcterms:created>
  <dcterms:modified xsi:type="dcterms:W3CDTF">2025-09-25T14:18:00Z</dcterms:modified>
</cp:coreProperties>
</file>