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B103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1. Assessment for depressive symptoms</w:t>
      </w:r>
    </w:p>
    <w:p w14:paraId="661267F3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 xml:space="preserve">This study uses the 9-item Patient Health Questionnaire (PHQ-9) to assess the severity of patients' depressive symptoms. The PHQ-9 consists of 9 items that assess the frequency of certain symptoms experienced by patients in the past two weeks. The score ranges from 0 to 27, with higher scores indicating greater severity. A recommended binary threshold for the presence of depressive symptoms is a PHQ-9 score of 10 or higher, with a sensitivity of 88% and specificity of 88% for screening severe depressive symptoms. </w:t>
      </w:r>
    </w:p>
    <w:p w14:paraId="6B2AC764" w14:textId="1EA50F72" w:rsidR="00B046A1" w:rsidRDefault="00000000">
      <w:pPr>
        <w:pStyle w:val="NormalWeb"/>
        <w:widowControl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 xml:space="preserve"> </w:t>
      </w:r>
      <w:r w:rsidR="00525A65">
        <w:rPr>
          <w:rFonts w:ascii="Times New Roman" w:hAnsi="Times New Roman"/>
          <w:kern w:val="2"/>
        </w:rPr>
        <w:t>C</w:t>
      </w:r>
      <w:r>
        <w:rPr>
          <w:rFonts w:ascii="Times New Roman" w:hAnsi="Times New Roman" w:hint="eastAsia"/>
          <w:kern w:val="2"/>
        </w:rPr>
        <w:t>alculate the weights</w:t>
      </w:r>
    </w:p>
    <w:p w14:paraId="633039AB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Due to the complex sampling design of NHANES, sample weights, clustering, and stratification are incorporated into all analyses to analyze the NHANES data. Through the NHANES database analysis guide (2005-2008), the following formula was used for calculating the weights: WTMEC4YR = 1/2*WTMEC2YR. In addition, the primary sampling units (PSU) are identified by the variable representing masked variance pseudo-PSU (SDMVPSU), and the strata from which the PSUs are selected are identified by the variable indicating masked variance pseudo-stratum (SDMVSTRA).</w:t>
      </w:r>
    </w:p>
    <w:p w14:paraId="4C213627" w14:textId="7E3B3179" w:rsidR="00B046A1" w:rsidRDefault="00525A65">
      <w:pPr>
        <w:pStyle w:val="NormalWeb"/>
        <w:widowControl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D</w:t>
      </w:r>
      <w:r>
        <w:rPr>
          <w:rFonts w:ascii="Times New Roman" w:hAnsi="Times New Roman" w:hint="eastAsia"/>
          <w:kern w:val="2"/>
        </w:rPr>
        <w:t>etailed LOD handling</w:t>
      </w:r>
    </w:p>
    <w:p w14:paraId="312758A0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 xml:space="preserve">The detection limits were constant for all of the analytes in the data set. Two variables are provided for each of these analytes. The variable name ending in </w:t>
      </w:r>
      <w:r>
        <w:rPr>
          <w:rFonts w:ascii="Times New Roman" w:hAnsi="Times New Roman" w:hint="eastAsia"/>
          <w:kern w:val="2"/>
        </w:rPr>
        <w:t>“</w:t>
      </w:r>
      <w:r>
        <w:rPr>
          <w:rFonts w:ascii="Times New Roman" w:hAnsi="Times New Roman" w:hint="eastAsia"/>
          <w:kern w:val="2"/>
        </w:rPr>
        <w:t>1LC</w:t>
      </w:r>
      <w:r>
        <w:rPr>
          <w:rFonts w:ascii="Times New Roman" w:hAnsi="Times New Roman" w:hint="eastAsia"/>
          <w:kern w:val="2"/>
        </w:rPr>
        <w:t>”</w:t>
      </w:r>
      <w:r>
        <w:rPr>
          <w:rFonts w:ascii="Times New Roman" w:hAnsi="Times New Roman" w:hint="eastAsia"/>
          <w:kern w:val="2"/>
        </w:rPr>
        <w:t xml:space="preserve"> (ex., URDNA1LC) indicates whether the result was below the limit of detection: the value </w:t>
      </w:r>
      <w:r>
        <w:rPr>
          <w:rFonts w:ascii="Times New Roman" w:hAnsi="Times New Roman" w:hint="eastAsia"/>
          <w:kern w:val="2"/>
        </w:rPr>
        <w:t>“</w:t>
      </w:r>
      <w:r>
        <w:rPr>
          <w:rFonts w:ascii="Times New Roman" w:hAnsi="Times New Roman" w:hint="eastAsia"/>
          <w:kern w:val="2"/>
        </w:rPr>
        <w:t>0</w:t>
      </w:r>
      <w:r>
        <w:rPr>
          <w:rFonts w:ascii="Times New Roman" w:hAnsi="Times New Roman" w:hint="eastAsia"/>
          <w:kern w:val="2"/>
        </w:rPr>
        <w:t>”</w:t>
      </w:r>
      <w:r>
        <w:rPr>
          <w:rFonts w:ascii="Times New Roman" w:hAnsi="Times New Roman" w:hint="eastAsia"/>
          <w:kern w:val="2"/>
        </w:rPr>
        <w:t xml:space="preserve"> means that the result was at or above the limit of detection, </w:t>
      </w:r>
      <w:r>
        <w:rPr>
          <w:rFonts w:ascii="Times New Roman" w:hAnsi="Times New Roman" w:hint="eastAsia"/>
          <w:kern w:val="2"/>
        </w:rPr>
        <w:t>“</w:t>
      </w:r>
      <w:r>
        <w:rPr>
          <w:rFonts w:ascii="Times New Roman" w:hAnsi="Times New Roman" w:hint="eastAsia"/>
          <w:kern w:val="2"/>
        </w:rPr>
        <w:t>1</w:t>
      </w:r>
      <w:r>
        <w:rPr>
          <w:rFonts w:ascii="Times New Roman" w:hAnsi="Times New Roman" w:hint="eastAsia"/>
          <w:kern w:val="2"/>
        </w:rPr>
        <w:t>”</w:t>
      </w:r>
      <w:r>
        <w:rPr>
          <w:rFonts w:ascii="Times New Roman" w:hAnsi="Times New Roman" w:hint="eastAsia"/>
          <w:kern w:val="2"/>
        </w:rPr>
        <w:t xml:space="preserve"> indicates that the result was below the limit of detection. For analytes with analytic results below the </w:t>
      </w:r>
      <w:r>
        <w:rPr>
          <w:rFonts w:ascii="Times New Roman" w:hAnsi="Times New Roman" w:hint="eastAsia"/>
          <w:kern w:val="2"/>
        </w:rPr>
        <w:lastRenderedPageBreak/>
        <w:t>lower limit of detection (ex., URDNA1LC=1), an imputed fill value was placed in the analyte results field. This value is the lower limit of detection divided by the square root of 2 (LLOD/sqrt). The other variable prefixed UR1 (ex., UR1NASI) provides the analytic result for that analyte. As the detection methods varied across cycles, the LOD changed accordingly, from 2005</w:t>
      </w:r>
      <w:r>
        <w:rPr>
          <w:rFonts w:ascii="Times New Roman" w:hAnsi="Times New Roman" w:hint="eastAsia"/>
          <w:kern w:val="2"/>
        </w:rPr>
        <w:t>–</w:t>
      </w:r>
      <w:r>
        <w:rPr>
          <w:rFonts w:ascii="Times New Roman" w:hAnsi="Times New Roman" w:hint="eastAsia"/>
          <w:kern w:val="2"/>
        </w:rPr>
        <w:t>2006 onward, the LOD for enterolactone has been 0.1 ng/mL.</w:t>
      </w:r>
    </w:p>
    <w:p w14:paraId="4D7FBF87" w14:textId="77777777" w:rsidR="00B046A1" w:rsidRDefault="00000000">
      <w:pPr>
        <w:pStyle w:val="NormalWeb"/>
        <w:widowControl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Description of Laboratory Methodology</w:t>
      </w:r>
    </w:p>
    <w:p w14:paraId="38E369DF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 xml:space="preserve">The test principle utilizes high performance liquid chromatography-atmospheric pressure photoionization-tandem mass spectrometry (HPLC-APPI-MS/MS) for the quantitative detection of genistein, daidzein, equol, O-desmethylangolensin, enterodiol, and enterolactone. Human urine samples are processed using enzymatic deconjugation of the glucuronidated phytoestrogens followed by size-exclusion filtration. Phytoestrogens are then separated from other urine components by reversed phase HPLC, detected by APPI-MS/MS, and quantified by isotope dilution. Assay precision is improved by incorporating carbon-13 labeled internal standards for each of the analytes, as well as a 4-methylumbelliferyl glucuronide and 4-methylumbelliferyl sulfate standards to monitor deconjugation efficiency. This selective method allows for rapid detection of phytoestrogens in human urine with limits of detection in the low parts per billion (ng/mL) range. In 2003-2004 high performance liquid chromatography electrospry ionization mass spectrometric (LC-ESI-MS/MS) detection (Rybak, M. E. et al., 2008) was utilized and in 2005-2006 high performance liquid chromatography-atmospheric pressure photoionization-tandem mass spectrometry (LC-ESI-MS/MS) </w:t>
      </w:r>
      <w:r>
        <w:rPr>
          <w:rFonts w:ascii="Times New Roman" w:hAnsi="Times New Roman" w:hint="eastAsia"/>
          <w:kern w:val="2"/>
        </w:rPr>
        <w:lastRenderedPageBreak/>
        <w:t>was utilized. Crossover studies comparing samples analyzed by LC-ESI-MS/MS and LC-APPI-MS/MS demonstrated high correlation coefficients (r&gt;0.99) and regression slopes approximately equal to 1 and intercepts close to 0.</w:t>
      </w:r>
    </w:p>
    <w:p w14:paraId="076162F6" w14:textId="74035EFB" w:rsidR="00B046A1" w:rsidRDefault="00525A65">
      <w:pPr>
        <w:pStyle w:val="NormalWeb"/>
        <w:widowControl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Variable codes </w:t>
      </w:r>
    </w:p>
    <w:p w14:paraId="3E1E2DC4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URXETL – Enterolactone concentration (ng</w:t>
      </w:r>
      <w:r>
        <w:rPr>
          <w:rFonts w:ascii="Times New Roman" w:hAnsi="Times New Roman" w:hint="eastAsia"/>
          <w:kern w:val="2"/>
        </w:rPr>
        <w:t>/</w:t>
      </w:r>
      <w:r>
        <w:rPr>
          <w:rFonts w:ascii="Times New Roman" w:hAnsi="Times New Roman"/>
          <w:kern w:val="2"/>
        </w:rPr>
        <w:t xml:space="preserve"> mL)</w:t>
      </w:r>
      <w:r>
        <w:rPr>
          <w:rFonts w:ascii="Times New Roman" w:hAnsi="Times New Roman"/>
          <w:kern w:val="2"/>
        </w:rPr>
        <w:br/>
        <w:t>URDETLLC – Detection flag (0 = detected</w:t>
      </w:r>
      <w:r>
        <w:rPr>
          <w:rFonts w:ascii="Times New Roman" w:hAnsi="Times New Roman" w:hint="eastAsia"/>
          <w:kern w:val="2"/>
        </w:rPr>
        <w:t xml:space="preserve">, </w:t>
      </w:r>
      <w:r>
        <w:rPr>
          <w:rFonts w:ascii="Times New Roman" w:hAnsi="Times New Roman"/>
          <w:kern w:val="2"/>
        </w:rPr>
        <w:t>1 = &lt; LOD)</w:t>
      </w:r>
      <w:r>
        <w:rPr>
          <w:rFonts w:ascii="Times New Roman" w:hAnsi="Times New Roman"/>
          <w:kern w:val="2"/>
        </w:rPr>
        <w:br/>
        <w:t>URXUCR – Urinary creatinine (mg</w:t>
      </w:r>
      <w:r>
        <w:rPr>
          <w:rFonts w:ascii="Times New Roman" w:hAnsi="Times New Roman" w:hint="eastAsia"/>
          <w:kern w:val="2"/>
        </w:rPr>
        <w:t>/</w:t>
      </w:r>
      <w:r>
        <w:rPr>
          <w:rFonts w:ascii="Times New Roman" w:hAnsi="Times New Roman"/>
          <w:kern w:val="2"/>
        </w:rPr>
        <w:t xml:space="preserve"> dL) for creatinine correction</w:t>
      </w:r>
      <w:r>
        <w:rPr>
          <w:rFonts w:ascii="Times New Roman" w:hAnsi="Times New Roman"/>
          <w:kern w:val="2"/>
        </w:rPr>
        <w:br/>
        <w:t>SEQN – Unique participant ID for merging with demographic/exam data</w:t>
      </w:r>
    </w:p>
    <w:p w14:paraId="26CE8D19" w14:textId="77777777" w:rsidR="00B046A1" w:rsidRDefault="00000000">
      <w:pPr>
        <w:pStyle w:val="NormalWeb"/>
        <w:widowControl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 xml:space="preserve">Laboratory Weights (mandatory for unbiased population estimates)     </w:t>
      </w:r>
    </w:p>
    <w:p w14:paraId="5D07CA34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1999-2002: WTSPH2YR (1/3 MEC subsample)</w:t>
      </w:r>
    </w:p>
    <w:p w14:paraId="0EE509BB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2003-2010 &amp; 2013-2016: WTSB2YR (subsample B)</w:t>
      </w:r>
    </w:p>
    <w:p w14:paraId="03B30070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2011-2012: WTSA2YR (subsample A)</w:t>
      </w:r>
    </w:p>
    <w:p w14:paraId="05247054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When combining cycles, rescale weights (divide by number of cycles) and use SDMVPSU + SDMVSTRA as survey design variables per CDC analytic guidelines.</w:t>
      </w:r>
    </w:p>
    <w:p w14:paraId="61F5FD5D" w14:textId="77777777" w:rsidR="00B046A1" w:rsidRDefault="00000000">
      <w:pPr>
        <w:pStyle w:val="NormalWeb"/>
        <w:widowControl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D</w:t>
      </w:r>
      <w:r>
        <w:rPr>
          <w:rFonts w:ascii="Times New Roman" w:hAnsi="Times New Roman"/>
          <w:kern w:val="2"/>
        </w:rPr>
        <w:t>istribution summaries</w:t>
      </w:r>
      <w:r>
        <w:rPr>
          <w:rFonts w:ascii="Times New Roman" w:hAnsi="Times New Roman" w:hint="eastAsia"/>
          <w:kern w:val="2"/>
        </w:rPr>
        <w:t xml:space="preserve"> and</w:t>
      </w:r>
      <w:r>
        <w:rPr>
          <w:rFonts w:ascii="Times New Roman" w:hAnsi="Times New Roman"/>
          <w:kern w:val="2"/>
        </w:rPr>
        <w:t xml:space="preserve"> key percentiles</w:t>
      </w:r>
      <w:r>
        <w:rPr>
          <w:rFonts w:ascii="Times New Roman" w:hAnsi="Times New Roman" w:hint="eastAsia"/>
          <w:kern w:val="2"/>
        </w:rPr>
        <w:t xml:space="preserve"> of </w:t>
      </w:r>
      <w:r>
        <w:rPr>
          <w:rFonts w:ascii="Times New Roman" w:hAnsi="Times New Roman" w:hint="eastAsia"/>
        </w:rPr>
        <w:t xml:space="preserve">urinary </w:t>
      </w:r>
      <w:r>
        <w:rPr>
          <w:rFonts w:ascii="Times New Roman" w:hAnsi="Times New Roman" w:hint="eastAsia"/>
          <w:color w:val="1C1D1E"/>
          <w:shd w:val="clear" w:color="auto" w:fill="FFFFFF"/>
        </w:rPr>
        <w:t>enterolactone</w:t>
      </w:r>
    </w:p>
    <w:p w14:paraId="3505B120" w14:textId="405FADBB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Geometric mean: 741.6 ng/ mL</w:t>
      </w:r>
    </w:p>
    <w:p w14:paraId="3668F862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Creatinine-adjusted: 631.417 ng /mg</w:t>
      </w:r>
    </w:p>
    <w:p w14:paraId="740DA6AF" w14:textId="3198C42A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Percentiles (ng /mL)</w:t>
      </w:r>
    </w:p>
    <w:p w14:paraId="4AC074AB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25th=82.7ng/ mL, Creatinine-adjusted: 73.276 ng /mg</w:t>
      </w:r>
      <w:r>
        <w:rPr>
          <w:rFonts w:ascii="Times New Roman" w:hAnsi="Times New Roman" w:hint="eastAsia"/>
          <w:kern w:val="2"/>
        </w:rPr>
        <w:br/>
        <w:t>50th (median) = 321ng/ mL, Creatinine-adjusted: 272.441ng /mg</w:t>
      </w:r>
    </w:p>
    <w:p w14:paraId="5448AFF1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75th=827ng/ mL, Creatinine-adjusted: 685.714ng/ mL</w:t>
      </w:r>
    </w:p>
    <w:p w14:paraId="03929901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Max recorded: 35 000 ng/ mL, Creatinine-adjusted:26315.789ng/ mL</w:t>
      </w:r>
    </w:p>
    <w:p w14:paraId="2A0476C8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lastRenderedPageBreak/>
        <w:t>Minimum  record :0.1ng/ mL,  Creatinine-adjusted:0.094ng/ mL</w:t>
      </w:r>
    </w:p>
    <w:p w14:paraId="084DB213" w14:textId="77777777" w:rsidR="00B046A1" w:rsidRDefault="00000000">
      <w:pPr>
        <w:pStyle w:val="NormalWeb"/>
        <w:widowControl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MET-min/week calculation</w:t>
      </w:r>
    </w:p>
    <w:p w14:paraId="27B52718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In the NHANES questionnaire, respondents report the number of days per month and the minutes per session for each activity (e.g., walking, cycling, moderate or vigorous work, running).</w:t>
      </w:r>
      <w:r>
        <w:rPr>
          <w:rFonts w:ascii="Times New Roman" w:hAnsi="Times New Roman" w:hint="eastAsia"/>
          <w:kern w:val="2"/>
        </w:rPr>
        <w:t xml:space="preserve"> </w:t>
      </w:r>
      <w:r>
        <w:rPr>
          <w:rFonts w:ascii="Times New Roman" w:hAnsi="Times New Roman"/>
          <w:kern w:val="2"/>
        </w:rPr>
        <w:t>Monthly minutes × MET → divided by 30 × 7 = MET-min/week.</w:t>
      </w:r>
    </w:p>
    <w:p w14:paraId="6BA9934A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Vigorous work/vigorous leisure = 8 MET</w:t>
      </w:r>
    </w:p>
    <w:p w14:paraId="63847A56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Moderate work/moderate leisure/transport cycling = 4 MET</w:t>
      </w:r>
      <w:r>
        <w:rPr>
          <w:rFonts w:ascii="Times New Roman" w:hAnsi="Times New Roman"/>
          <w:kern w:val="2"/>
        </w:rPr>
        <w:br/>
        <w:t>Walking = 3.3 MET</w:t>
      </w:r>
    </w:p>
    <w:p w14:paraId="6C562A34" w14:textId="2705264A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9.</w:t>
      </w:r>
      <w:r>
        <w:rPr>
          <w:rFonts w:ascii="Times New Roman" w:hAnsi="Times New Roman"/>
          <w:kern w:val="2"/>
        </w:rPr>
        <w:t xml:space="preserve"> </w:t>
      </w:r>
      <w:r w:rsidR="00525A65">
        <w:rPr>
          <w:rFonts w:ascii="Times New Roman" w:hAnsi="Times New Roman"/>
          <w:kern w:val="2"/>
        </w:rPr>
        <w:t>K</w:t>
      </w:r>
      <w:r>
        <w:rPr>
          <w:rFonts w:ascii="Times New Roman" w:hAnsi="Times New Roman"/>
          <w:kern w:val="2"/>
        </w:rPr>
        <w:t>ey percentiles</w:t>
      </w:r>
      <w:r>
        <w:rPr>
          <w:rFonts w:ascii="Times New Roman" w:hAnsi="Times New Roman" w:hint="eastAsia"/>
          <w:kern w:val="2"/>
        </w:rPr>
        <w:t xml:space="preserve"> of </w:t>
      </w:r>
      <w:r>
        <w:rPr>
          <w:rFonts w:ascii="Times New Roman" w:hAnsi="Times New Roman" w:hint="eastAsia"/>
        </w:rPr>
        <w:t xml:space="preserve">urinary </w:t>
      </w:r>
      <w:r>
        <w:rPr>
          <w:rFonts w:ascii="Times New Roman" w:hAnsi="Times New Roman" w:hint="eastAsia"/>
          <w:color w:val="1C1D1E"/>
          <w:shd w:val="clear" w:color="auto" w:fill="FFFFFF"/>
        </w:rPr>
        <w:t>enterolactone</w:t>
      </w:r>
    </w:p>
    <w:p w14:paraId="409DFB7C" w14:textId="4CAA41F2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Befor</w:t>
      </w:r>
      <w:r w:rsidR="00525A65">
        <w:rPr>
          <w:rFonts w:ascii="Times New Roman" w:hAnsi="Times New Roman"/>
          <w:kern w:val="2"/>
        </w:rPr>
        <w:t>e</w:t>
      </w:r>
      <w:r>
        <w:rPr>
          <w:rFonts w:ascii="Times New Roman" w:hAnsi="Times New Roman" w:hint="eastAsia"/>
          <w:kern w:val="2"/>
        </w:rPr>
        <w:t xml:space="preserve"> log transformation:</w:t>
      </w:r>
    </w:p>
    <w:p w14:paraId="07C5A1C9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 xml:space="preserve">25th=82.7ng/ mL, </w:t>
      </w:r>
    </w:p>
    <w:p w14:paraId="43DC5869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50th (median) = 321ng/ mL,</w:t>
      </w:r>
    </w:p>
    <w:p w14:paraId="77389D6A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75th=827ng/ mL</w:t>
      </w:r>
    </w:p>
    <w:p w14:paraId="51FBF394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Max recorded: 35 000 ng/ mL</w:t>
      </w:r>
    </w:p>
    <w:p w14:paraId="49BC4936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Minimum  record :0.1ng/ mL,</w:t>
      </w:r>
    </w:p>
    <w:p w14:paraId="57516B4A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noProof/>
          <w:kern w:val="2"/>
        </w:rPr>
        <w:lastRenderedPageBreak/>
        <w:drawing>
          <wp:inline distT="0" distB="0" distL="114300" distR="114300" wp14:anchorId="1A02BB4D" wp14:editId="75D82B3F">
            <wp:extent cx="5269230" cy="4491355"/>
            <wp:effectExtent l="0" t="0" r="7620" b="4445"/>
            <wp:docPr id="3" name="图片 3" descr="Density.hist.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nsity.hist.plo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DEB71" w14:textId="65646AE9" w:rsidR="00B046A1" w:rsidRDefault="00525A65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Figure S1. Histogram of urinary enterolactone concentrations before log-transformation</w:t>
      </w:r>
    </w:p>
    <w:p w14:paraId="048E4E08" w14:textId="5FB2FB7C" w:rsidR="00B046A1" w:rsidRDefault="00525A65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A</w:t>
      </w:r>
      <w:r>
        <w:rPr>
          <w:rFonts w:ascii="Times New Roman" w:hAnsi="Times New Roman" w:hint="eastAsia"/>
          <w:kern w:val="2"/>
        </w:rPr>
        <w:t>fter log transformation:</w:t>
      </w:r>
    </w:p>
    <w:p w14:paraId="625445AC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25th=2.660</w:t>
      </w:r>
    </w:p>
    <w:p w14:paraId="5601BD3C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50th (median) =3.701,</w:t>
      </w:r>
    </w:p>
    <w:p w14:paraId="1BC59A44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75th=4.673</w:t>
      </w:r>
    </w:p>
    <w:p w14:paraId="06BBD2A9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Max recorded: 8.852</w:t>
      </w:r>
    </w:p>
    <w:p w14:paraId="6E8D5A75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 w:hint="eastAsia"/>
          <w:kern w:val="2"/>
        </w:rPr>
        <w:t>Minimum  record :-3.507</w:t>
      </w:r>
    </w:p>
    <w:p w14:paraId="3FD43C21" w14:textId="77777777" w:rsidR="00B046A1" w:rsidRDefault="00000000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noProof/>
          <w:kern w:val="2"/>
        </w:rPr>
        <w:lastRenderedPageBreak/>
        <w:drawing>
          <wp:inline distT="0" distB="0" distL="114300" distR="114300" wp14:anchorId="01000B86" wp14:editId="79C6BC10">
            <wp:extent cx="5269230" cy="4491355"/>
            <wp:effectExtent l="0" t="0" r="7620" b="4445"/>
            <wp:docPr id="2" name="图片 2" descr="Density.hist.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nsity.hist.plo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A11E" w14:textId="281BD773" w:rsidR="00B046A1" w:rsidRDefault="00525A65">
      <w:pPr>
        <w:pStyle w:val="NormalWeb"/>
        <w:widowControl/>
        <w:spacing w:before="0" w:beforeAutospacing="0" w:after="0" w:afterAutospacing="0" w:line="480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 xml:space="preserve">Figure S2. Histogram of urinary enterolactone concentrations </w:t>
      </w:r>
      <w:r>
        <w:rPr>
          <w:rFonts w:ascii="Times New Roman" w:hAnsi="Times New Roman" w:hint="eastAsia"/>
          <w:kern w:val="2"/>
        </w:rPr>
        <w:t>after</w:t>
      </w:r>
      <w:r>
        <w:rPr>
          <w:rFonts w:ascii="Times New Roman" w:hAnsi="Times New Roman"/>
          <w:kern w:val="2"/>
        </w:rPr>
        <w:t xml:space="preserve"> log-transformation</w:t>
      </w:r>
    </w:p>
    <w:p w14:paraId="2818E1A7" w14:textId="77777777" w:rsidR="00B046A1" w:rsidRDefault="00B046A1"/>
    <w:p w14:paraId="5D9590C5" w14:textId="77777777" w:rsidR="00B046A1" w:rsidRDefault="00B046A1"/>
    <w:p w14:paraId="4DDFABE2" w14:textId="77777777" w:rsidR="00B046A1" w:rsidRDefault="00B046A1"/>
    <w:p w14:paraId="18D1E089" w14:textId="77777777" w:rsidR="00B046A1" w:rsidRDefault="00B046A1"/>
    <w:p w14:paraId="469F9CAB" w14:textId="77777777" w:rsidR="00B046A1" w:rsidRDefault="00B046A1"/>
    <w:p w14:paraId="744A2F19" w14:textId="77777777" w:rsidR="00B046A1" w:rsidRDefault="00B046A1"/>
    <w:p w14:paraId="5CFDD043" w14:textId="77777777" w:rsidR="00B046A1" w:rsidRDefault="00B046A1"/>
    <w:p w14:paraId="102B6FB0" w14:textId="77777777" w:rsidR="00B046A1" w:rsidRDefault="00B046A1"/>
    <w:p w14:paraId="6D686224" w14:textId="77777777" w:rsidR="00B046A1" w:rsidRDefault="00B046A1"/>
    <w:p w14:paraId="5889E98D" w14:textId="77777777" w:rsidR="00B046A1" w:rsidRDefault="00B046A1"/>
    <w:p w14:paraId="3DD1A468" w14:textId="77777777" w:rsidR="00B046A1" w:rsidRDefault="00B046A1"/>
    <w:p w14:paraId="2E9D0FFC" w14:textId="77777777" w:rsidR="00B046A1" w:rsidRDefault="00B046A1"/>
    <w:p w14:paraId="5A7B0718" w14:textId="77777777" w:rsidR="00B046A1" w:rsidRDefault="00B046A1"/>
    <w:p w14:paraId="3CCC07AC" w14:textId="77777777" w:rsidR="00B046A1" w:rsidRDefault="00B046A1"/>
    <w:p w14:paraId="7A4F3729" w14:textId="77777777" w:rsidR="00B046A1" w:rsidRDefault="00B046A1"/>
    <w:p w14:paraId="4C040C64" w14:textId="77777777" w:rsidR="00B046A1" w:rsidRDefault="00B046A1"/>
    <w:p w14:paraId="525C32C4" w14:textId="77777777" w:rsidR="00B046A1" w:rsidRDefault="00B046A1"/>
    <w:p w14:paraId="36146C42" w14:textId="77777777" w:rsidR="00B046A1" w:rsidRDefault="00B046A1">
      <w:pPr>
        <w:spacing w:line="480" w:lineRule="auto"/>
        <w:rPr>
          <w:rFonts w:ascii="Times New Roman" w:hAnsi="Times New Roman"/>
          <w:sz w:val="24"/>
        </w:rPr>
      </w:pPr>
    </w:p>
    <w:p w14:paraId="4889FEC3" w14:textId="2D7E8B39" w:rsidR="00B046A1" w:rsidRDefault="00000000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Table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S1 </w:t>
      </w:r>
      <w:r>
        <w:rPr>
          <w:rFonts w:ascii="Times New Roman" w:hAnsi="Times New Roman"/>
          <w:sz w:val="24"/>
        </w:rPr>
        <w:t>Associations between</w:t>
      </w:r>
      <w:r>
        <w:rPr>
          <w:rFonts w:ascii="Times New Roman" w:hAnsi="Times New Roman" w:hint="eastAsia"/>
          <w:sz w:val="24"/>
        </w:rPr>
        <w:t xml:space="preserve"> urinary </w:t>
      </w:r>
      <w:r>
        <w:rPr>
          <w:rFonts w:ascii="Times New Roman" w:hAnsi="Times New Roman" w:hint="eastAsia"/>
          <w:color w:val="1C1D1E"/>
          <w:sz w:val="24"/>
          <w:shd w:val="clear" w:color="auto" w:fill="FFFFFF"/>
        </w:rPr>
        <w:t xml:space="preserve">enterolactone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 w:hint="eastAsia"/>
          <w:sz w:val="24"/>
        </w:rPr>
        <w:t>sleep quality</w:t>
      </w:r>
      <w:r>
        <w:rPr>
          <w:rFonts w:ascii="Times New Roman" w:hAnsi="Times New Roman"/>
          <w:sz w:val="24"/>
        </w:rPr>
        <w:t xml:space="preserve"> in the multiple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regression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model.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735"/>
        <w:gridCol w:w="1791"/>
        <w:gridCol w:w="1772"/>
        <w:gridCol w:w="1826"/>
      </w:tblGrid>
      <w:tr w:rsidR="00B046A1" w:rsidRPr="00443169" w14:paraId="7081180D" w14:textId="77777777">
        <w:tc>
          <w:tcPr>
            <w:tcW w:w="87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FF500F" w14:textId="7588E842" w:rsidR="00B046A1" w:rsidRPr="00443169" w:rsidRDefault="00525A65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Enterolactone</w:t>
            </w:r>
          </w:p>
        </w:tc>
        <w:tc>
          <w:tcPr>
            <w:tcW w:w="100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AF4BC2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Non-adjusted Model</w:t>
            </w: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8FA1224" w14:textId="77777777" w:rsidR="00B046A1" w:rsidRPr="00443169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Model 1</w:t>
            </w:r>
          </w:p>
        </w:tc>
        <w:tc>
          <w:tcPr>
            <w:tcW w:w="10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C96BF8D" w14:textId="77777777" w:rsidR="00B046A1" w:rsidRPr="00443169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Model 2</w:t>
            </w:r>
          </w:p>
        </w:tc>
        <w:tc>
          <w:tcPr>
            <w:tcW w:w="10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3F6135" w14:textId="77777777" w:rsidR="00B046A1" w:rsidRPr="00443169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Model 3</w:t>
            </w:r>
          </w:p>
        </w:tc>
      </w:tr>
      <w:tr w:rsidR="00B046A1" w:rsidRPr="00443169" w14:paraId="625B218C" w14:textId="77777777">
        <w:trPr>
          <w:trHeight w:val="944"/>
        </w:trPr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38496D9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9BBA81" w14:textId="491D13D3" w:rsidR="00B046A1" w:rsidRPr="00443169" w:rsidRDefault="00525A65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Enterolactone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14EBF21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072DC8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0.9 (0.84~0.97)</w:t>
            </w:r>
          </w:p>
          <w:p w14:paraId="1F740E80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25D0ADC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67662E8" w14:textId="26F8D243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0.91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(0.85~0.99)</w:t>
            </w:r>
          </w:p>
          <w:p w14:paraId="06BD0E9D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DE65695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89458CA" w14:textId="32A70C76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0.92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(0.85~0.99)</w:t>
            </w:r>
          </w:p>
          <w:p w14:paraId="5E1EFBDF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5B18695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684E389" w14:textId="4D95E694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0.92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(0.8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4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~0.9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9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319DDB5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443169" w14:paraId="32B8C38F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C1A470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P-value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3E6F9FC" w14:textId="79CD41DF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0.01</w:t>
            </w:r>
          </w:p>
          <w:p w14:paraId="1F1104FA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51CDB63" w14:textId="5265053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0.019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F388BE" w14:textId="0885FCE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0.023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A5EE6F" w14:textId="1743EF4E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0.027</w:t>
            </w:r>
          </w:p>
        </w:tc>
      </w:tr>
      <w:tr w:rsidR="00B046A1" w:rsidRPr="00443169" w14:paraId="1986D4F7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33175F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Subgroups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1480DC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A060BF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AC5DA5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91701C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443169" w14:paraId="4E4AC7F9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A4C5B2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Quartile 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411FD3" w14:textId="4804ABA5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1.00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6E932D" w14:textId="7639B001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1.00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112807" w14:textId="1E22191E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1.00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393FA1" w14:textId="1D2A460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1.00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</w:tr>
      <w:tr w:rsidR="00B046A1" w:rsidRPr="00443169" w14:paraId="473B2B97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E6760C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4B74FE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Quartile 2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AD3E475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F0081C" w14:textId="56015B9C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0.66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(0.47~0.91)</w:t>
            </w:r>
          </w:p>
          <w:p w14:paraId="7C740F6E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80F982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F09E28" w14:textId="0D24635D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0.68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(0.49~0.95)</w:t>
            </w:r>
          </w:p>
          <w:p w14:paraId="42F04BA2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7925D4C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511DF1C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0.69 (0.5~0.97)</w:t>
            </w:r>
          </w:p>
          <w:p w14:paraId="79A91F58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245B91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5D9B965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0.73 (0.52~1.02)</w:t>
            </w:r>
          </w:p>
          <w:p w14:paraId="1CAA2ADD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443169" w14:paraId="58228BAF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9C29135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Quartile 3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BC1768" w14:textId="07A13E19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0.6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2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(0.44~0.85)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310EC4" w14:textId="4FD7E7C6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0.64 (0.46~0.89)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7697FF" w14:textId="294B51CA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0.63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(0.45~0.89)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C8A93F" w14:textId="498D8A59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0.65 (0.46~0.92)</w:t>
            </w:r>
          </w:p>
          <w:p w14:paraId="621198DF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443169" w14:paraId="2F853529" w14:textId="77777777" w:rsidTr="00443169"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2316C64" w14:textId="77777777" w:rsidR="00B046A1" w:rsidRPr="00443169" w:rsidRDefault="00000000" w:rsidP="00443169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P-trend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E3D624C" w14:textId="64FC9604" w:rsidR="00B046A1" w:rsidRPr="00443169" w:rsidRDefault="00000000" w:rsidP="00443169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0.004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AB9D55F" w14:textId="491406A5" w:rsidR="00B046A1" w:rsidRPr="00443169" w:rsidRDefault="00000000" w:rsidP="00443169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0.009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980A90C" w14:textId="204FD710" w:rsidR="00B046A1" w:rsidRPr="00443169" w:rsidRDefault="00000000" w:rsidP="00443169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0.008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889F4E9" w14:textId="31FA429A" w:rsidR="00B046A1" w:rsidRPr="00443169" w:rsidRDefault="00000000" w:rsidP="00443169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0.016</w:t>
            </w:r>
          </w:p>
        </w:tc>
      </w:tr>
    </w:tbl>
    <w:p w14:paraId="2455274F" w14:textId="77777777" w:rsidR="00B046A1" w:rsidRDefault="00B046A1">
      <w:pPr>
        <w:rPr>
          <w:rFonts w:ascii="Times New Roman" w:hAnsi="Times New Roman"/>
          <w:sz w:val="24"/>
        </w:rPr>
      </w:pPr>
    </w:p>
    <w:p w14:paraId="71D1CB20" w14:textId="3FE52554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1</w:t>
      </w:r>
      <w:r>
        <w:rPr>
          <w:rFonts w:ascii="Times New Roman" w:hAnsi="Times New Roman"/>
          <w:sz w:val="24"/>
        </w:rPr>
        <w:t>：</w:t>
      </w:r>
      <w:r w:rsidR="00525A6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ge, sex, family PI</w:t>
      </w:r>
      <w:r>
        <w:rPr>
          <w:rFonts w:ascii="Times New Roman" w:hAnsi="Times New Roman" w:hint="eastAsia"/>
          <w:sz w:val="24"/>
        </w:rPr>
        <w:t>R</w:t>
      </w:r>
      <w:r>
        <w:rPr>
          <w:rFonts w:ascii="Times New Roman" w:hAnsi="Times New Roman"/>
          <w:sz w:val="24"/>
        </w:rPr>
        <w:t>, race and ethnicity, educational level</w:t>
      </w:r>
    </w:p>
    <w:p w14:paraId="186A8B21" w14:textId="2DF0BDB0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2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1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smoking status, alcohol drinking status, physical activity, energy intake, BMI</w:t>
      </w:r>
    </w:p>
    <w:p w14:paraId="4A68383F" w14:textId="179F49CF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3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2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hypertension, diabetes, </w:t>
      </w:r>
      <w:r>
        <w:rPr>
          <w:rFonts w:ascii="Times New Roman" w:hAnsi="Times New Roman" w:hint="eastAsia"/>
          <w:sz w:val="24"/>
        </w:rPr>
        <w:t>depression, Sleep Apnea</w:t>
      </w:r>
    </w:p>
    <w:p w14:paraId="1B4298C3" w14:textId="140FE84D" w:rsidR="0087178D" w:rsidRDefault="0087178D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CA6A84A" w14:textId="449933CD" w:rsidR="00B046A1" w:rsidRDefault="00000000">
      <w:pPr>
        <w:widowControl/>
        <w:spacing w:line="360" w:lineRule="auto"/>
        <w:textAlignment w:val="center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hint="eastAsia"/>
          <w:sz w:val="24"/>
        </w:rPr>
        <w:lastRenderedPageBreak/>
        <w:t>Table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S2. Th</w:t>
      </w:r>
      <w:r>
        <w:rPr>
          <w:rFonts w:ascii="Times New Roman" w:hAnsi="Times New Roman"/>
          <w:sz w:val="24"/>
        </w:rPr>
        <w:t>reshold effect analysis of</w:t>
      </w:r>
      <w:r>
        <w:rPr>
          <w:rFonts w:ascii="Times New Roman" w:hAnsi="Times New Roman" w:hint="eastAsia"/>
          <w:sz w:val="24"/>
        </w:rPr>
        <w:t xml:space="preserve"> urinary </w:t>
      </w:r>
      <w:r>
        <w:rPr>
          <w:rFonts w:ascii="Times New Roman" w:hAnsi="Times New Roman" w:hint="eastAsia"/>
          <w:color w:val="1C1D1E"/>
          <w:sz w:val="24"/>
          <w:shd w:val="clear" w:color="auto" w:fill="FFFFFF"/>
        </w:rPr>
        <w:t xml:space="preserve">enterolactone </w:t>
      </w:r>
      <w:r>
        <w:rPr>
          <w:rFonts w:ascii="Times New Roman" w:hAnsi="Times New Roman"/>
          <w:sz w:val="24"/>
        </w:rPr>
        <w:t xml:space="preserve">on </w:t>
      </w:r>
      <w:r>
        <w:rPr>
          <w:rFonts w:ascii="Times New Roman" w:hAnsi="Times New Roman" w:hint="eastAsia"/>
          <w:color w:val="1C1D1E"/>
          <w:sz w:val="24"/>
          <w:shd w:val="clear" w:color="auto" w:fill="FFFFFF"/>
        </w:rPr>
        <w:t>sleep quality</w:t>
      </w:r>
    </w:p>
    <w:p w14:paraId="6092FE44" w14:textId="77777777" w:rsidR="00B046A1" w:rsidRDefault="00B046A1">
      <w:pPr>
        <w:widowControl/>
        <w:textAlignment w:val="center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311"/>
        <w:gridCol w:w="2100"/>
        <w:gridCol w:w="2060"/>
      </w:tblGrid>
      <w:tr w:rsidR="00B046A1" w14:paraId="7AD12A2C" w14:textId="77777777" w:rsidTr="00443169"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C070A" w14:textId="77777777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Threshold of </w:t>
            </w:r>
            <w:r>
              <w:rPr>
                <w:rFonts w:ascii="Times New Roman" w:hAnsi="Times New Roman" w:hint="eastAsia"/>
                <w:color w:val="1C1D1E"/>
                <w:sz w:val="24"/>
                <w:shd w:val="clear" w:color="auto" w:fill="FFFFFF"/>
              </w:rPr>
              <w:t>enterolactone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6CE39" w14:textId="3FC2E9FD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OR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2250A" w14:textId="77777777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95% CI</w:t>
            </w:r>
          </w:p>
        </w:tc>
        <w:tc>
          <w:tcPr>
            <w:tcW w:w="20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3E3A6" w14:textId="77777777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P value</w:t>
            </w:r>
          </w:p>
        </w:tc>
      </w:tr>
      <w:tr w:rsidR="00B046A1" w14:paraId="7E78117F" w14:textId="77777777" w:rsidTr="00443169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4BD624" w14:textId="77777777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＜</w:t>
            </w:r>
            <w:r>
              <w:rPr>
                <w:rFonts w:ascii="Times New Roman" w:hAnsi="Times New Roman" w:hint="eastAsia"/>
                <w:sz w:val="24"/>
              </w:rPr>
              <w:t>2.336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0D656" w14:textId="14E3A031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69A22A" w14:textId="3A8B8114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(0.293~1.67)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7EEDDC" w14:textId="77777777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0.421</w:t>
            </w:r>
          </w:p>
        </w:tc>
      </w:tr>
      <w:tr w:rsidR="00B046A1" w14:paraId="671F4C83" w14:textId="77777777" w:rsidTr="00443169"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4429A6" w14:textId="77777777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≥</w:t>
            </w:r>
            <w:r>
              <w:rPr>
                <w:rFonts w:ascii="Times New Roman" w:hAnsi="Times New Roman" w:hint="eastAsia"/>
                <w:sz w:val="24"/>
              </w:rPr>
              <w:t>2.336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C7021C" w14:textId="7B853158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A8C88E" w14:textId="77777777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(0.811~0.993)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22EE5D" w14:textId="77777777" w:rsidR="00B046A1" w:rsidRDefault="00000000" w:rsidP="004431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0.0365</w:t>
            </w:r>
          </w:p>
        </w:tc>
      </w:tr>
    </w:tbl>
    <w:p w14:paraId="36C7188E" w14:textId="5EB7DD70" w:rsidR="00B046A1" w:rsidRPr="00443169" w:rsidRDefault="00443169">
      <w:pPr>
        <w:rPr>
          <w:rFonts w:ascii="Times New Roman" w:hAnsi="Times New Roman"/>
        </w:rPr>
      </w:pPr>
      <w:r w:rsidRPr="00443169">
        <w:rPr>
          <w:rFonts w:ascii="Times New Roman" w:hAnsi="Times New Roman"/>
        </w:rPr>
        <w:t>Notes: OR – Odds Ratio; 95% CI – 95% Confidence Interval</w:t>
      </w:r>
    </w:p>
    <w:p w14:paraId="0F05C6B2" w14:textId="77777777" w:rsidR="00B046A1" w:rsidRDefault="00B046A1"/>
    <w:p w14:paraId="6DAC50BF" w14:textId="77777777" w:rsidR="0087178D" w:rsidRDefault="0087178D">
      <w:pPr>
        <w:spacing w:line="480" w:lineRule="auto"/>
        <w:rPr>
          <w:rFonts w:ascii="Times New Roman" w:hAnsi="Times New Roman"/>
          <w:sz w:val="24"/>
        </w:rPr>
      </w:pPr>
    </w:p>
    <w:p w14:paraId="27EC9FFD" w14:textId="77777777" w:rsidR="0087178D" w:rsidRDefault="0087178D">
      <w:pPr>
        <w:spacing w:line="480" w:lineRule="auto"/>
        <w:rPr>
          <w:rFonts w:ascii="Times New Roman" w:hAnsi="Times New Roman"/>
          <w:sz w:val="24"/>
        </w:rPr>
      </w:pPr>
    </w:p>
    <w:p w14:paraId="2B742214" w14:textId="77777777" w:rsidR="0087178D" w:rsidRDefault="0087178D">
      <w:pPr>
        <w:spacing w:line="480" w:lineRule="auto"/>
        <w:rPr>
          <w:rFonts w:ascii="Times New Roman" w:hAnsi="Times New Roman"/>
          <w:sz w:val="24"/>
        </w:rPr>
      </w:pPr>
    </w:p>
    <w:p w14:paraId="6BA45C99" w14:textId="070F4586" w:rsidR="00B046A1" w:rsidRDefault="0087178D" w:rsidP="0087178D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000000">
        <w:rPr>
          <w:rFonts w:ascii="Times New Roman" w:hAnsi="Times New Roman"/>
          <w:sz w:val="24"/>
        </w:rPr>
        <w:lastRenderedPageBreak/>
        <w:t>Table</w:t>
      </w:r>
      <w:r w:rsidR="00525A65">
        <w:rPr>
          <w:rFonts w:ascii="Times New Roman" w:hAnsi="Times New Roman"/>
          <w:sz w:val="24"/>
        </w:rPr>
        <w:t xml:space="preserve"> </w:t>
      </w:r>
      <w:r w:rsidR="00000000">
        <w:rPr>
          <w:rFonts w:ascii="Times New Roman" w:hAnsi="Times New Roman" w:hint="eastAsia"/>
          <w:sz w:val="24"/>
        </w:rPr>
        <w:t>S3</w:t>
      </w:r>
      <w:r w:rsidR="00443169">
        <w:rPr>
          <w:rFonts w:ascii="Times New Roman" w:hAnsi="Times New Roman"/>
          <w:sz w:val="24"/>
        </w:rPr>
        <w:t>.</w:t>
      </w:r>
      <w:r w:rsidR="00000000">
        <w:rPr>
          <w:rFonts w:ascii="Times New Roman" w:hAnsi="Times New Roman" w:hint="eastAsia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Associations between</w:t>
      </w:r>
      <w:r w:rsidR="00000000">
        <w:rPr>
          <w:rFonts w:ascii="Times New Roman" w:hAnsi="Times New Roman" w:hint="eastAsia"/>
          <w:sz w:val="24"/>
        </w:rPr>
        <w:t xml:space="preserve"> urinary </w:t>
      </w:r>
      <w:r w:rsidR="00000000">
        <w:rPr>
          <w:rFonts w:ascii="Times New Roman" w:hAnsi="Times New Roman" w:hint="eastAsia"/>
          <w:color w:val="1C1D1E"/>
          <w:sz w:val="24"/>
          <w:shd w:val="clear" w:color="auto" w:fill="FFFFFF"/>
        </w:rPr>
        <w:t xml:space="preserve">enterolactone </w:t>
      </w:r>
      <w:r w:rsidR="00000000">
        <w:rPr>
          <w:rFonts w:ascii="Times New Roman" w:hAnsi="Times New Roman"/>
          <w:sz w:val="24"/>
        </w:rPr>
        <w:t xml:space="preserve">and </w:t>
      </w:r>
      <w:r w:rsidR="00000000">
        <w:rPr>
          <w:rFonts w:ascii="Times New Roman" w:hAnsi="Times New Roman" w:hint="eastAsia"/>
          <w:sz w:val="24"/>
        </w:rPr>
        <w:t>sleep quality</w:t>
      </w:r>
      <w:r w:rsidR="00000000">
        <w:rPr>
          <w:rFonts w:ascii="Times New Roman" w:hAnsi="Times New Roman"/>
          <w:sz w:val="24"/>
        </w:rPr>
        <w:t xml:space="preserve"> in the multiple</w:t>
      </w:r>
      <w:r w:rsidR="00525A65">
        <w:rPr>
          <w:rFonts w:ascii="Times New Roman" w:hAnsi="Times New Roman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regression</w:t>
      </w:r>
      <w:r w:rsidR="00000000">
        <w:rPr>
          <w:rFonts w:ascii="Times New Roman" w:hAnsi="Times New Roman" w:hint="eastAsia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model.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735"/>
        <w:gridCol w:w="1791"/>
        <w:gridCol w:w="1772"/>
        <w:gridCol w:w="1826"/>
      </w:tblGrid>
      <w:tr w:rsidR="00B046A1" w:rsidRPr="00443169" w14:paraId="48559EF1" w14:textId="77777777">
        <w:tc>
          <w:tcPr>
            <w:tcW w:w="87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8153CB" w14:textId="0C2BAEE3" w:rsidR="00B046A1" w:rsidRPr="00443169" w:rsidRDefault="00525A65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Enterolactone</w:t>
            </w:r>
          </w:p>
        </w:tc>
        <w:tc>
          <w:tcPr>
            <w:tcW w:w="100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B78501D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Non-adjusted Model</w:t>
            </w: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1A6394E" w14:textId="77777777" w:rsidR="00B046A1" w:rsidRPr="00443169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Model 1</w:t>
            </w:r>
          </w:p>
        </w:tc>
        <w:tc>
          <w:tcPr>
            <w:tcW w:w="10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0F15E32" w14:textId="77777777" w:rsidR="00B046A1" w:rsidRPr="00443169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Model 2</w:t>
            </w:r>
          </w:p>
        </w:tc>
        <w:tc>
          <w:tcPr>
            <w:tcW w:w="10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6B77D7B" w14:textId="77777777" w:rsidR="00B046A1" w:rsidRPr="00443169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Model 3</w:t>
            </w:r>
          </w:p>
        </w:tc>
      </w:tr>
      <w:tr w:rsidR="00B046A1" w:rsidRPr="00443169" w14:paraId="57005634" w14:textId="77777777">
        <w:trPr>
          <w:trHeight w:val="944"/>
        </w:trPr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7BF536D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F04834" w14:textId="09D2F994" w:rsidR="00B046A1" w:rsidRPr="00443169" w:rsidRDefault="00525A65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Enterolactone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A0EB0EF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0A68396" w14:textId="22C40242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0.96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(0.93~0.98)</w:t>
            </w:r>
          </w:p>
          <w:p w14:paraId="4F12E543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2F21807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909278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0.97 (0.95~0.99)</w:t>
            </w:r>
          </w:p>
          <w:p w14:paraId="114FDBD7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FB17D34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1D1347" w14:textId="549754C0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0.98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(0.95~0.99)</w:t>
            </w:r>
          </w:p>
          <w:p w14:paraId="51794709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A6FF9C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A8C743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0.98 (0.94~0.99)</w:t>
            </w:r>
          </w:p>
          <w:p w14:paraId="36F102AC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443169" w14:paraId="706066C0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96FF0E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P-value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472C2B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0.004</w:t>
            </w:r>
          </w:p>
          <w:p w14:paraId="147627FE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F90C71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0.02</w:t>
            </w:r>
          </w:p>
          <w:p w14:paraId="295F3BBF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C5008A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0.024</w:t>
            </w:r>
          </w:p>
          <w:p w14:paraId="7FB2A1E5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59227E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0.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028</w:t>
            </w:r>
          </w:p>
          <w:p w14:paraId="708D1B62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443169" w14:paraId="57B535F6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52C02C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Subgroups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A32B88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C9C830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11B3B9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A28BBB1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443169" w14:paraId="4F4CCEDD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E41534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Quartile 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0E48E1" w14:textId="67682E45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1.00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0EA32C" w14:textId="65A0DDC1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1.00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196BB1B" w14:textId="5909BCE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1.00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94D8C5" w14:textId="06CF47FF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1.00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</w:tr>
      <w:tr w:rsidR="00B046A1" w:rsidRPr="00443169" w14:paraId="3AD10430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A8D132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76E4DFE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Quartile 2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B2F984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1B1AB0" w14:textId="001C1F21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0.81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(0.71~0.92)</w:t>
            </w:r>
          </w:p>
          <w:p w14:paraId="48DBB4B1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AFD394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54901D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0.87 (0.76~0.93)</w:t>
            </w:r>
          </w:p>
          <w:p w14:paraId="5229569E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ECBA13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AB3A1B" w14:textId="51E2D9ED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0.86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(0.71~0.93)</w:t>
            </w:r>
          </w:p>
          <w:p w14:paraId="4DE0D10F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C10F94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D7F8685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0.85 (0.7~0.94)</w:t>
            </w:r>
          </w:p>
          <w:p w14:paraId="6058696A" w14:textId="77777777" w:rsidR="00B046A1" w:rsidRPr="00443169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443169" w14:paraId="6C7689F3" w14:textId="77777777"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68187E9" w14:textId="77777777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/>
                <w:sz w:val="22"/>
                <w:szCs w:val="22"/>
              </w:rPr>
              <w:t>Quartile 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044BAD" w14:textId="49A95484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0.83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(0.74~0.95)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068334" w14:textId="62C0DD3A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0.92 (0.8~0.95)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ED041F" w14:textId="59FC933C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0.92</w:t>
            </w:r>
            <w:r w:rsidR="004431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3169">
              <w:rPr>
                <w:rFonts w:ascii="Times New Roman" w:hAnsi="Times New Roman" w:hint="eastAsia"/>
                <w:sz w:val="22"/>
                <w:szCs w:val="22"/>
              </w:rPr>
              <w:t>(0.75~0.95)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A4E1C8" w14:textId="73F004FF" w:rsidR="00B046A1" w:rsidRPr="00443169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443169">
              <w:rPr>
                <w:rFonts w:ascii="Times New Roman" w:hAnsi="Times New Roman" w:hint="eastAsia"/>
                <w:sz w:val="22"/>
                <w:szCs w:val="22"/>
              </w:rPr>
              <w:t>0.93 (0.76~0.96)</w:t>
            </w:r>
          </w:p>
        </w:tc>
      </w:tr>
    </w:tbl>
    <w:p w14:paraId="1A971662" w14:textId="77777777" w:rsidR="00B046A1" w:rsidRDefault="00B046A1">
      <w:pPr>
        <w:rPr>
          <w:rFonts w:ascii="Times New Roman" w:hAnsi="Times New Roman"/>
          <w:sz w:val="24"/>
        </w:rPr>
      </w:pPr>
    </w:p>
    <w:p w14:paraId="31425EAE" w14:textId="07AA71BC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1</w:t>
      </w:r>
      <w:r>
        <w:rPr>
          <w:rFonts w:ascii="Times New Roman" w:hAnsi="Times New Roman"/>
          <w:sz w:val="24"/>
        </w:rPr>
        <w:t>：</w:t>
      </w:r>
      <w:r w:rsidR="00525A6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ge, sex, family PI</w:t>
      </w:r>
      <w:r>
        <w:rPr>
          <w:rFonts w:ascii="Times New Roman" w:hAnsi="Times New Roman" w:hint="eastAsia"/>
          <w:sz w:val="24"/>
        </w:rPr>
        <w:t>R</w:t>
      </w:r>
      <w:r>
        <w:rPr>
          <w:rFonts w:ascii="Times New Roman" w:hAnsi="Times New Roman"/>
          <w:sz w:val="24"/>
        </w:rPr>
        <w:t>, race and ethnicity, educational level</w:t>
      </w:r>
    </w:p>
    <w:p w14:paraId="5A371213" w14:textId="32AB019F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2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1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smoking status, alcohol drinking status, physical activity, energy intake, BMI</w:t>
      </w:r>
    </w:p>
    <w:p w14:paraId="0DBD4D14" w14:textId="2E201EE6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3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2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hypertension, diabetes</w:t>
      </w:r>
    </w:p>
    <w:p w14:paraId="3E8F21C9" w14:textId="02BBACA9" w:rsidR="0087178D" w:rsidRDefault="0087178D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D17E437" w14:textId="41B10164" w:rsidR="00B046A1" w:rsidRDefault="00000000">
      <w:pPr>
        <w:widowControl/>
        <w:spacing w:line="360" w:lineRule="auto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Table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S</w:t>
      </w:r>
      <w:r w:rsidR="0062439F">
        <w:rPr>
          <w:rFonts w:ascii="Times New Roman" w:hAnsi="Times New Roman"/>
          <w:sz w:val="24"/>
        </w:rPr>
        <w:t>4</w:t>
      </w:r>
      <w:r w:rsidR="00525A65"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Associations between </w:t>
      </w:r>
      <w:r>
        <w:rPr>
          <w:rFonts w:ascii="Times New Roman" w:hAnsi="Times New Roman" w:hint="eastAsia"/>
          <w:sz w:val="24"/>
        </w:rPr>
        <w:t xml:space="preserve">urinary </w:t>
      </w:r>
      <w:r>
        <w:rPr>
          <w:rFonts w:ascii="Times New Roman" w:hAnsi="Times New Roman" w:hint="eastAsia"/>
          <w:color w:val="1C1D1E"/>
          <w:sz w:val="24"/>
          <w:shd w:val="clear" w:color="auto" w:fill="FFFFFF"/>
        </w:rPr>
        <w:t xml:space="preserve">enterolactone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 w:hint="eastAsia"/>
          <w:sz w:val="24"/>
        </w:rPr>
        <w:t>sleep quality</w:t>
      </w:r>
      <w:r>
        <w:rPr>
          <w:rFonts w:ascii="Times New Roman" w:hAnsi="Times New Roman"/>
          <w:sz w:val="24"/>
        </w:rPr>
        <w:t xml:space="preserve"> in the Weighted</w:t>
      </w:r>
      <w:r>
        <w:rPr>
          <w:rFonts w:ascii="Times New Roman" w:hAnsi="Times New Roman" w:hint="eastAsia"/>
          <w:sz w:val="24"/>
        </w:rPr>
        <w:t xml:space="preserve"> multivariable logistic regression</w:t>
      </w:r>
      <w:r>
        <w:rPr>
          <w:rFonts w:ascii="Times New Roman" w:hAnsi="Times New Roman"/>
          <w:sz w:val="24"/>
        </w:rPr>
        <w:t xml:space="preserve"> model.</w:t>
      </w:r>
    </w:p>
    <w:p w14:paraId="189B00F4" w14:textId="77777777" w:rsidR="00B046A1" w:rsidRDefault="00B046A1">
      <w:pPr>
        <w:widowControl/>
        <w:spacing w:line="360" w:lineRule="auto"/>
        <w:textAlignment w:val="center"/>
        <w:rPr>
          <w:rFonts w:ascii="Times New Roman" w:hAnsi="Times New Roman"/>
          <w:sz w:val="24"/>
        </w:rPr>
      </w:pP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735"/>
        <w:gridCol w:w="1791"/>
        <w:gridCol w:w="1772"/>
        <w:gridCol w:w="1826"/>
      </w:tblGrid>
      <w:tr w:rsidR="00B046A1" w:rsidRPr="0062439F" w14:paraId="2BEA9E4B" w14:textId="77777777">
        <w:tc>
          <w:tcPr>
            <w:tcW w:w="87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804492" w14:textId="01885A18" w:rsidR="00B046A1" w:rsidRPr="0062439F" w:rsidRDefault="00525A65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Enterolactone</w:t>
            </w:r>
          </w:p>
        </w:tc>
        <w:tc>
          <w:tcPr>
            <w:tcW w:w="100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CD343CC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Non-adjusted Model</w:t>
            </w: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FDCA9C6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1</w:t>
            </w:r>
          </w:p>
        </w:tc>
        <w:tc>
          <w:tcPr>
            <w:tcW w:w="10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F69E166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2</w:t>
            </w:r>
          </w:p>
        </w:tc>
        <w:tc>
          <w:tcPr>
            <w:tcW w:w="10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BF90967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3</w:t>
            </w:r>
          </w:p>
        </w:tc>
      </w:tr>
      <w:tr w:rsidR="00B046A1" w:rsidRPr="0062439F" w14:paraId="10412CBD" w14:textId="77777777">
        <w:trPr>
          <w:trHeight w:val="944"/>
        </w:trPr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2C76FF9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1F7D4C" w14:textId="5EA642E6" w:rsidR="00B046A1" w:rsidRPr="0062439F" w:rsidRDefault="00525A65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Enterolactone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B169E49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F32DBE" w14:textId="536A5FDB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0.91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(0.84, 0.99)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82EC45D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53004D1" w14:textId="6FF19425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 xml:space="preserve">0.9 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>(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0.84, 0.99)</w:t>
            </w:r>
          </w:p>
          <w:p w14:paraId="5E35A861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B898501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C04330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0.91 (0.83, 0.99)</w:t>
            </w:r>
          </w:p>
          <w:p w14:paraId="6BDE81BE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2245939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7FBBA5" w14:textId="582B301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0.91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(0.83, 1.00)</w:t>
            </w:r>
          </w:p>
          <w:p w14:paraId="5A4E7DE9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62439F" w14:paraId="7B8B52A4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59AC54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P-value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C1B7CF" w14:textId="386EBB0C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0.036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7B12D8C" w14:textId="0B0A9A72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0.025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BE57DA" w14:textId="30D3CE26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0.039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9A4A9D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0.043</w:t>
            </w:r>
          </w:p>
          <w:p w14:paraId="622D365C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62439F" w14:paraId="45548A4E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EE5B02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Subgroups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263844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4948B0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768CC8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303D6D0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62439F" w14:paraId="7F7F1DE3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4ABAA3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Quartile 1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E6EA0F" w14:textId="741ADDDD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1.00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AE4266" w14:textId="45BE6743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1.00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136340C" w14:textId="348C5879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1.00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77786E7" w14:textId="072AD95A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1.00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/>
                <w:sz w:val="22"/>
                <w:szCs w:val="22"/>
              </w:rPr>
              <w:t>(Ref.)</w:t>
            </w:r>
          </w:p>
        </w:tc>
      </w:tr>
      <w:tr w:rsidR="00B046A1" w:rsidRPr="0062439F" w14:paraId="0F3BA93F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AA82BA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65FDC1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Quartile 2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C482F9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E1443A" w14:textId="11E0F870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0.80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(0.52, 1.24)</w:t>
            </w:r>
          </w:p>
          <w:p w14:paraId="030340A3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ED35F58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FD7A4D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0.81 (0.52, 1.27)</w:t>
            </w:r>
          </w:p>
          <w:p w14:paraId="0049C9D2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D03BDB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4950DBD" w14:textId="7EA790A3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0.83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(0.53, 1.32)</w:t>
            </w:r>
          </w:p>
          <w:p w14:paraId="553CD0F8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29949C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36E854" w14:textId="7D64C701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084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(0.52, 1.35)</w:t>
            </w:r>
          </w:p>
          <w:p w14:paraId="347BDF8B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62439F" w14:paraId="46B9CD71" w14:textId="77777777"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149B34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Quartile 3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70799F" w14:textId="1E337311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0.59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(0.42, 0.82)</w:t>
            </w:r>
          </w:p>
          <w:p w14:paraId="68F6792A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1B787B" w14:textId="36D216D6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 xml:space="preserve">0.60 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>(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0.44, 0.82)</w:t>
            </w:r>
          </w:p>
          <w:p w14:paraId="4BE9C972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C8CFC3" w14:textId="34C2EA68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0.59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(0.42, 0.83)</w:t>
            </w:r>
          </w:p>
          <w:p w14:paraId="1DD76873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8CE629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0.60 (0.42, 0.84)</w:t>
            </w:r>
          </w:p>
          <w:p w14:paraId="7A666EE9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62439F" w14:paraId="7B85B2CC" w14:textId="77777777">
        <w:tc>
          <w:tcPr>
            <w:tcW w:w="87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6702A93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P-trend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598C923" w14:textId="2FD0EAF1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4036A320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0.003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46337240" w14:textId="7CD1E48E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0.005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2A7D43C" w14:textId="20F532CA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0.006</w:t>
            </w:r>
          </w:p>
        </w:tc>
      </w:tr>
    </w:tbl>
    <w:p w14:paraId="5329345F" w14:textId="77777777" w:rsidR="00B046A1" w:rsidRDefault="00B046A1">
      <w:pPr>
        <w:rPr>
          <w:rFonts w:ascii="Times New Roman" w:hAnsi="Times New Roman"/>
          <w:sz w:val="24"/>
        </w:rPr>
      </w:pPr>
    </w:p>
    <w:p w14:paraId="6ECAFF71" w14:textId="1A7E4486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1</w:t>
      </w:r>
      <w:r>
        <w:rPr>
          <w:rFonts w:ascii="Times New Roman" w:hAnsi="Times New Roman"/>
          <w:sz w:val="24"/>
        </w:rPr>
        <w:t>：</w:t>
      </w:r>
      <w:r w:rsidR="00525A6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ge, sex, family PI</w:t>
      </w:r>
      <w:r>
        <w:rPr>
          <w:rFonts w:ascii="Times New Roman" w:hAnsi="Times New Roman" w:hint="eastAsia"/>
          <w:sz w:val="24"/>
        </w:rPr>
        <w:t>R</w:t>
      </w:r>
      <w:r>
        <w:rPr>
          <w:rFonts w:ascii="Times New Roman" w:hAnsi="Times New Roman"/>
          <w:sz w:val="24"/>
        </w:rPr>
        <w:t>, race and ethnicity, educational level</w:t>
      </w:r>
    </w:p>
    <w:p w14:paraId="7CB69792" w14:textId="173362FD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2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1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smoking status, alcohol drinking status, physical activity, energy intake, BMI</w:t>
      </w:r>
    </w:p>
    <w:p w14:paraId="7B203CFF" w14:textId="6191C21E" w:rsidR="00B046A1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3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2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hypertension, diabetes</w:t>
      </w:r>
    </w:p>
    <w:p w14:paraId="30F4B7AC" w14:textId="37370E83" w:rsidR="0087178D" w:rsidRDefault="0087178D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ED0F55B" w14:textId="2474D3F9" w:rsidR="00B046A1" w:rsidRDefault="00000000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Table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S</w:t>
      </w:r>
      <w:r w:rsidR="0062439F">
        <w:rPr>
          <w:rFonts w:ascii="Times New Roman" w:hAnsi="Times New Roman"/>
          <w:sz w:val="24"/>
        </w:rPr>
        <w:t>5</w:t>
      </w:r>
      <w:r w:rsidR="00525A65"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Associations between</w:t>
      </w:r>
      <w:r>
        <w:rPr>
          <w:rFonts w:ascii="Times New Roman" w:hAnsi="Times New Roman" w:hint="eastAsia"/>
          <w:sz w:val="24"/>
        </w:rPr>
        <w:t xml:space="preserve"> urinary </w:t>
      </w:r>
      <w:r>
        <w:rPr>
          <w:rFonts w:ascii="Times New Roman" w:hAnsi="Times New Roman" w:hint="eastAsia"/>
          <w:color w:val="1C1D1E"/>
          <w:sz w:val="24"/>
          <w:shd w:val="clear" w:color="auto" w:fill="FFFFFF"/>
        </w:rPr>
        <w:t xml:space="preserve">enterolactone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 w:hint="eastAsia"/>
          <w:sz w:val="24"/>
        </w:rPr>
        <w:t>sleep quality</w:t>
      </w:r>
      <w:r>
        <w:rPr>
          <w:rFonts w:ascii="Times New Roman" w:hAnsi="Times New Roman"/>
          <w:sz w:val="24"/>
        </w:rPr>
        <w:t xml:space="preserve"> in the multiple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regression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model.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96"/>
        <w:gridCol w:w="1791"/>
        <w:gridCol w:w="1772"/>
        <w:gridCol w:w="1826"/>
      </w:tblGrid>
      <w:tr w:rsidR="00B046A1" w:rsidRPr="0062439F" w14:paraId="0C0D2659" w14:textId="77777777" w:rsidTr="0062439F">
        <w:tc>
          <w:tcPr>
            <w:tcW w:w="90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615B21" w14:textId="7254442E" w:rsidR="00B046A1" w:rsidRPr="0062439F" w:rsidRDefault="00525A65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Enterolactone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F1EE3C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Non-adjusted Model</w:t>
            </w:r>
          </w:p>
        </w:tc>
        <w:tc>
          <w:tcPr>
            <w:tcW w:w="103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4D4731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1</w:t>
            </w:r>
          </w:p>
        </w:tc>
        <w:tc>
          <w:tcPr>
            <w:tcW w:w="10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B10303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2</w:t>
            </w:r>
          </w:p>
        </w:tc>
        <w:tc>
          <w:tcPr>
            <w:tcW w:w="10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6CD4643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3</w:t>
            </w:r>
          </w:p>
        </w:tc>
      </w:tr>
      <w:tr w:rsidR="00B046A1" w:rsidRPr="0062439F" w14:paraId="0BF2B9FF" w14:textId="77777777" w:rsidTr="0062439F">
        <w:trPr>
          <w:trHeight w:val="944"/>
        </w:trPr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F84EC09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9600EF4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Enterolactone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*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52A7FE1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59FED52" w14:textId="07318AC9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0.82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(0.71~0.95)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3605461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7723A0" w14:textId="12A5E6A3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0.84 (0.72~0.97)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09E8305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7092B66" w14:textId="018DB5BD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0.84</w:t>
            </w:r>
            <w:r w:rsidR="0062439F" w:rsidRP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(0.72~0.98)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5D2B4EF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BA4B97" w14:textId="3481C1D1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0.84 (0.72~0.98)</w:t>
            </w:r>
          </w:p>
        </w:tc>
      </w:tr>
      <w:tr w:rsidR="00B046A1" w:rsidRPr="0062439F" w14:paraId="1F529DAA" w14:textId="77777777" w:rsidTr="0062439F">
        <w:tc>
          <w:tcPr>
            <w:tcW w:w="9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9686B32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P-value</w:t>
            </w:r>
          </w:p>
        </w:tc>
        <w:tc>
          <w:tcPr>
            <w:tcW w:w="98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4E811B73" w14:textId="2A93F20C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0.007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E8EA2A6" w14:textId="12A29C7B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0.019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970C075" w14:textId="08B98813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0.023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DDD56AB" w14:textId="50A5E43B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0.027</w:t>
            </w:r>
          </w:p>
        </w:tc>
      </w:tr>
    </w:tbl>
    <w:p w14:paraId="3F77376F" w14:textId="77777777" w:rsidR="00B046A1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*:per doubling of exposure</w:t>
      </w:r>
    </w:p>
    <w:p w14:paraId="5B966B66" w14:textId="716971B6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1</w:t>
      </w:r>
      <w:r>
        <w:rPr>
          <w:rFonts w:ascii="Times New Roman" w:hAnsi="Times New Roman"/>
          <w:sz w:val="24"/>
        </w:rPr>
        <w:t>：</w:t>
      </w:r>
      <w:r w:rsidR="00525A6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ge, sex, family PI</w:t>
      </w:r>
      <w:r>
        <w:rPr>
          <w:rFonts w:ascii="Times New Roman" w:hAnsi="Times New Roman" w:hint="eastAsia"/>
          <w:sz w:val="24"/>
        </w:rPr>
        <w:t>R</w:t>
      </w:r>
      <w:r>
        <w:rPr>
          <w:rFonts w:ascii="Times New Roman" w:hAnsi="Times New Roman"/>
          <w:sz w:val="24"/>
        </w:rPr>
        <w:t>, race and ethnicity, educational level</w:t>
      </w:r>
    </w:p>
    <w:p w14:paraId="34A30C3C" w14:textId="25978B13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2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1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smoking status, alcohol drinking status, physical activity, energy intake, BMI</w:t>
      </w:r>
    </w:p>
    <w:p w14:paraId="6E192E04" w14:textId="5AA58894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3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2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hypertension, diabetes</w:t>
      </w:r>
    </w:p>
    <w:p w14:paraId="57072F96" w14:textId="38298CBD" w:rsidR="0087178D" w:rsidRDefault="0087178D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9B96921" w14:textId="552F0BA7" w:rsidR="00B046A1" w:rsidRDefault="00000000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Table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S</w:t>
      </w:r>
      <w:r w:rsidR="0062439F">
        <w:rPr>
          <w:rFonts w:ascii="Times New Roman" w:hAnsi="Times New Roman"/>
          <w:sz w:val="24"/>
        </w:rPr>
        <w:t>6</w:t>
      </w:r>
      <w:r w:rsidR="00525A65"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Associations between</w:t>
      </w:r>
      <w:r>
        <w:rPr>
          <w:rFonts w:ascii="Times New Roman" w:hAnsi="Times New Roman" w:hint="eastAsia"/>
          <w:sz w:val="24"/>
        </w:rPr>
        <w:t xml:space="preserve"> urinary </w:t>
      </w:r>
      <w:r>
        <w:rPr>
          <w:rFonts w:ascii="Times New Roman" w:hAnsi="Times New Roman" w:hint="eastAsia"/>
          <w:color w:val="1C1D1E"/>
          <w:sz w:val="24"/>
          <w:shd w:val="clear" w:color="auto" w:fill="FFFFFF"/>
        </w:rPr>
        <w:t xml:space="preserve">enterolactone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 w:hint="eastAsia"/>
          <w:sz w:val="24"/>
        </w:rPr>
        <w:t>sleep quality</w:t>
      </w:r>
      <w:r>
        <w:rPr>
          <w:rFonts w:ascii="Times New Roman" w:hAnsi="Times New Roman"/>
          <w:sz w:val="24"/>
        </w:rPr>
        <w:t xml:space="preserve"> in the multiple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regression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model.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86"/>
        <w:gridCol w:w="1772"/>
        <w:gridCol w:w="1826"/>
      </w:tblGrid>
      <w:tr w:rsidR="00B046A1" w:rsidRPr="0062439F" w14:paraId="77FE3340" w14:textId="77777777" w:rsidTr="0062439F">
        <w:tc>
          <w:tcPr>
            <w:tcW w:w="90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902F672" w14:textId="72FB896A" w:rsidR="00B046A1" w:rsidRPr="0062439F" w:rsidRDefault="00525A65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Enterolactone</w:t>
            </w:r>
          </w:p>
        </w:tc>
        <w:tc>
          <w:tcPr>
            <w:tcW w:w="98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1B55CFD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Non-adjusted Model</w:t>
            </w:r>
          </w:p>
        </w:tc>
        <w:tc>
          <w:tcPr>
            <w:tcW w:w="103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5BD2D21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1</w:t>
            </w:r>
          </w:p>
        </w:tc>
        <w:tc>
          <w:tcPr>
            <w:tcW w:w="10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5790EF3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2</w:t>
            </w:r>
          </w:p>
        </w:tc>
        <w:tc>
          <w:tcPr>
            <w:tcW w:w="10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03F5073" w14:textId="77777777" w:rsidR="00B046A1" w:rsidRPr="0062439F" w:rsidRDefault="00000000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Model 3</w:t>
            </w:r>
          </w:p>
        </w:tc>
      </w:tr>
      <w:tr w:rsidR="00B046A1" w:rsidRPr="0062439F" w14:paraId="47841624" w14:textId="77777777" w:rsidTr="0062439F">
        <w:trPr>
          <w:trHeight w:val="944"/>
        </w:trPr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E011888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170408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Enterolactone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*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D026CA9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0F93B7" w14:textId="158280AA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0.93</w:t>
            </w:r>
            <w:r w:rsid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(0.88~0.98)</w:t>
            </w:r>
          </w:p>
          <w:p w14:paraId="2DA2CB4B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95DC0BB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CB7A085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0.93 (0.88~0.99)</w:t>
            </w:r>
          </w:p>
          <w:p w14:paraId="2B95FF4F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70503E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C32C7E" w14:textId="34A76961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0.94</w:t>
            </w:r>
            <w:r w:rsidR="00624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439F">
              <w:rPr>
                <w:rFonts w:ascii="Times New Roman" w:hAnsi="Times New Roman" w:hint="eastAsia"/>
                <w:sz w:val="22"/>
                <w:szCs w:val="22"/>
              </w:rPr>
              <w:t>(0.88~0.99)</w:t>
            </w:r>
          </w:p>
          <w:p w14:paraId="018ED30A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F42E45F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400421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0.94 (0.89~0.99)</w:t>
            </w:r>
          </w:p>
          <w:p w14:paraId="46EB2F58" w14:textId="77777777" w:rsidR="00B046A1" w:rsidRPr="0062439F" w:rsidRDefault="00B046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6A1" w:rsidRPr="0062439F" w14:paraId="56A7360B" w14:textId="77777777" w:rsidTr="0062439F">
        <w:tc>
          <w:tcPr>
            <w:tcW w:w="9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8CA2E22" w14:textId="77777777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/>
                <w:sz w:val="22"/>
                <w:szCs w:val="22"/>
              </w:rPr>
              <w:t>P-value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0763AB7" w14:textId="70F54491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0.007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2763798" w14:textId="0C546B9F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0.019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971640F" w14:textId="1DB17513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0.023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888796D" w14:textId="3BE52A3A" w:rsidR="00B046A1" w:rsidRPr="0062439F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 w:rsidRPr="0062439F">
              <w:rPr>
                <w:rFonts w:ascii="Times New Roman" w:hAnsi="Times New Roman" w:hint="eastAsia"/>
                <w:sz w:val="22"/>
                <w:szCs w:val="22"/>
              </w:rPr>
              <w:t>0.027</w:t>
            </w:r>
          </w:p>
        </w:tc>
      </w:tr>
    </w:tbl>
    <w:p w14:paraId="67D12FF7" w14:textId="77777777" w:rsidR="00B046A1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*:per IQR increment</w:t>
      </w:r>
    </w:p>
    <w:p w14:paraId="5F2A0D1E" w14:textId="1B26427D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1</w:t>
      </w:r>
      <w:r>
        <w:rPr>
          <w:rFonts w:ascii="Times New Roman" w:hAnsi="Times New Roman"/>
          <w:sz w:val="24"/>
        </w:rPr>
        <w:t>：</w:t>
      </w:r>
      <w:r w:rsidR="00525A6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ge, sex, family PI</w:t>
      </w:r>
      <w:r>
        <w:rPr>
          <w:rFonts w:ascii="Times New Roman" w:hAnsi="Times New Roman" w:hint="eastAsia"/>
          <w:sz w:val="24"/>
        </w:rPr>
        <w:t>R</w:t>
      </w:r>
      <w:r>
        <w:rPr>
          <w:rFonts w:ascii="Times New Roman" w:hAnsi="Times New Roman"/>
          <w:sz w:val="24"/>
        </w:rPr>
        <w:t>, race and ethnicity, educational level</w:t>
      </w:r>
    </w:p>
    <w:p w14:paraId="6B46116F" w14:textId="6F440C07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2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1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smoking status, alcohol drinking status, physical activity, energy intake, BMI</w:t>
      </w:r>
    </w:p>
    <w:p w14:paraId="7A17D1D9" w14:textId="120A7C80" w:rsidR="00B046A1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 3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Model 2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 w:rsidR="00525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hypertension, diabetes</w:t>
      </w:r>
    </w:p>
    <w:p w14:paraId="7EDA5BDA" w14:textId="77777777" w:rsidR="00B046A1" w:rsidRDefault="00B046A1">
      <w:pPr>
        <w:rPr>
          <w:rFonts w:ascii="Times New Roman" w:hAnsi="Times New Roman"/>
          <w:sz w:val="24"/>
        </w:rPr>
      </w:pPr>
    </w:p>
    <w:sectPr w:rsidR="00B046A1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A9B6" w14:textId="77777777" w:rsidR="00B8619D" w:rsidRDefault="00B8619D" w:rsidP="00525A65">
      <w:r>
        <w:separator/>
      </w:r>
    </w:p>
  </w:endnote>
  <w:endnote w:type="continuationSeparator" w:id="0">
    <w:p w14:paraId="3403DA18" w14:textId="77777777" w:rsidR="00B8619D" w:rsidRDefault="00B8619D" w:rsidP="0052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93D3" w14:textId="31C62CF3" w:rsidR="00525A65" w:rsidRDefault="00525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B73148" wp14:editId="0BC9E8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8114591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CE40A" w14:textId="6D153197" w:rsidR="00525A65" w:rsidRPr="00525A65" w:rsidRDefault="00525A65" w:rsidP="00525A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5A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731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98CE40A" w14:textId="6D153197" w:rsidR="00525A65" w:rsidRPr="00525A65" w:rsidRDefault="00525A65" w:rsidP="00525A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5A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647D" w14:textId="13D5948F" w:rsidR="00525A65" w:rsidRDefault="00525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B0FBD5" wp14:editId="31BD90AF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7169997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78B5C" w14:textId="2A0A0318" w:rsidR="00525A65" w:rsidRPr="00525A65" w:rsidRDefault="00525A65" w:rsidP="00525A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5A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0FB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AD78B5C" w14:textId="2A0A0318" w:rsidR="00525A65" w:rsidRPr="00525A65" w:rsidRDefault="00525A65" w:rsidP="00525A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5A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3B06" w14:textId="486BF734" w:rsidR="00525A65" w:rsidRDefault="00525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F759F5" wp14:editId="0A97DC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379909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BF282" w14:textId="2E9355D8" w:rsidR="00525A65" w:rsidRPr="00525A65" w:rsidRDefault="00525A65" w:rsidP="00525A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5A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75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AFBF282" w14:textId="2E9355D8" w:rsidR="00525A65" w:rsidRPr="00525A65" w:rsidRDefault="00525A65" w:rsidP="00525A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5A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4073" w14:textId="77777777" w:rsidR="00B8619D" w:rsidRDefault="00B8619D" w:rsidP="00525A65">
      <w:r>
        <w:separator/>
      </w:r>
    </w:p>
  </w:footnote>
  <w:footnote w:type="continuationSeparator" w:id="0">
    <w:p w14:paraId="66B2A783" w14:textId="77777777" w:rsidR="00B8619D" w:rsidRDefault="00B8619D" w:rsidP="0052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32CE69"/>
    <w:multiLevelType w:val="singleLevel"/>
    <w:tmpl w:val="C232CE69"/>
    <w:lvl w:ilvl="0">
      <w:start w:val="2"/>
      <w:numFmt w:val="decimal"/>
      <w:suff w:val="space"/>
      <w:lvlText w:val="%1."/>
      <w:lvlJc w:val="left"/>
    </w:lvl>
  </w:abstractNum>
  <w:num w:numId="1" w16cid:durableId="121696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197A"/>
    <w:rsid w:val="00172A27"/>
    <w:rsid w:val="002E4F25"/>
    <w:rsid w:val="00443169"/>
    <w:rsid w:val="00525A65"/>
    <w:rsid w:val="0062439F"/>
    <w:rsid w:val="0087178D"/>
    <w:rsid w:val="00B046A1"/>
    <w:rsid w:val="00B8619D"/>
    <w:rsid w:val="00F53657"/>
    <w:rsid w:val="053C6DE1"/>
    <w:rsid w:val="15FD1B09"/>
    <w:rsid w:val="178A7F7B"/>
    <w:rsid w:val="18794B85"/>
    <w:rsid w:val="2BE94E19"/>
    <w:rsid w:val="308F1060"/>
    <w:rsid w:val="33E61880"/>
    <w:rsid w:val="420A4659"/>
    <w:rsid w:val="69B74F25"/>
    <w:rsid w:val="6C060976"/>
    <w:rsid w:val="76C70905"/>
    <w:rsid w:val="7BD80E19"/>
    <w:rsid w:val="7F1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D2EE8"/>
  <w15:docId w15:val="{6B5F8921-7B03-4BF6-BF3E-5A87D8E6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hAnsi="SimSu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hAnsi="SimSu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Dajime, Peter</cp:lastModifiedBy>
  <cp:revision>4</cp:revision>
  <dcterms:created xsi:type="dcterms:W3CDTF">2025-09-08T22:43:00Z</dcterms:created>
  <dcterms:modified xsi:type="dcterms:W3CDTF">2025-09-28T21:20:00Z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ZOTERO_PREF_1">
    <vt:lpwstr>&lt;data data-version="3" zotero-version="6.0.36"&gt;&lt;session id="3N0ewvTx"/&gt;&lt;style id="http://www.zotero.org/styles/american-medical-association" hasBibliography="1" bibliographyStyleHasBeenSet="0"/&gt;&lt;prefs&gt;&lt;pref name="fieldType" value="Field"/&gt;&lt;/prefs&gt;&lt;/data&gt;</vt:lpwstr>
  </property>
  <property fmtid="{D5CDD505-2E9C-101B-9397-08002B2CF9AE}" pid="4" name="KSOTemplateDocerSaveRecord">
    <vt:lpwstr>eyJoZGlkIjoiYzA1ZTAwOGIwZDE1YmNhYzM1YjdiZWYzZjZlNjlmZWEiLCJ1c2VySWQiOiIzMDY4MDQ2OTMifQ==</vt:lpwstr>
  </property>
  <property fmtid="{D5CDD505-2E9C-101B-9397-08002B2CF9AE}" pid="5" name="ICV">
    <vt:lpwstr>F4E9D5445677488DA60F5AD4944BD752_12</vt:lpwstr>
  </property>
  <property fmtid="{D5CDD505-2E9C-101B-9397-08002B2CF9AE}" pid="6" name="ClassificationContentMarkingFooterShapeIds">
    <vt:lpwstr>55b6003a,3485383b,4bcc9a07</vt:lpwstr>
  </property>
  <property fmtid="{D5CDD505-2E9C-101B-9397-08002B2CF9AE}" pid="7" name="ClassificationContentMarkingFooterFontProps">
    <vt:lpwstr>#0078d7,9,Rockwell</vt:lpwstr>
  </property>
  <property fmtid="{D5CDD505-2E9C-101B-9397-08002B2CF9AE}" pid="8" name="ClassificationContentMarkingFooterText">
    <vt:lpwstr>Information Classification: General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2025-09-08T22:43:40Z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cb48dcc2-1776-4f3b-affb-a31aa3090c81</vt:lpwstr>
  </property>
  <property fmtid="{D5CDD505-2E9C-101B-9397-08002B2CF9AE}" pid="15" name="MSIP_Label_2bbab825-a111-45e4-86a1-18cee0005896_ContentBits">
    <vt:lpwstr>2</vt:lpwstr>
  </property>
  <property fmtid="{D5CDD505-2E9C-101B-9397-08002B2CF9AE}" pid="16" name="MSIP_Label_2bbab825-a111-45e4-86a1-18cee0005896_Tag">
    <vt:lpwstr>10, 3, 0, 1</vt:lpwstr>
  </property>
</Properties>
</file>