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88421" w14:textId="15A1D620" w:rsidR="00737A11" w:rsidRPr="000850DA" w:rsidRDefault="008F218C" w:rsidP="008F218C">
      <w:pPr>
        <w:jc w:val="center"/>
        <w:rPr>
          <w:b/>
          <w:bCs/>
          <w:sz w:val="32"/>
          <w:szCs w:val="32"/>
        </w:rPr>
      </w:pPr>
      <w:r w:rsidRPr="000850DA">
        <w:rPr>
          <w:rFonts w:hint="eastAsia"/>
          <w:b/>
          <w:bCs/>
          <w:sz w:val="32"/>
          <w:szCs w:val="32"/>
        </w:rPr>
        <w:t>Supplementary Material</w:t>
      </w:r>
    </w:p>
    <w:p w14:paraId="58952CCA" w14:textId="77777777" w:rsidR="008435DE" w:rsidRPr="000850DA" w:rsidRDefault="008435DE" w:rsidP="008F218C">
      <w:pPr>
        <w:jc w:val="center"/>
        <w:rPr>
          <w:b/>
          <w:bCs/>
          <w:sz w:val="32"/>
          <w:szCs w:val="32"/>
        </w:rPr>
      </w:pPr>
    </w:p>
    <w:p w14:paraId="43A2A27D" w14:textId="7FF6AF79" w:rsidR="00AE7BE5" w:rsidRPr="000850DA" w:rsidRDefault="00AE7BE5" w:rsidP="00634A0D">
      <w:pPr>
        <w:spacing w:line="240" w:lineRule="auto"/>
        <w:rPr>
          <w:rFonts w:eastAsiaTheme="minorEastAsia" w:cs="Times New Roman"/>
          <w:b/>
          <w:bCs/>
        </w:rPr>
      </w:pPr>
      <w:proofErr w:type="spellStart"/>
      <w:r w:rsidRPr="000850DA">
        <w:rPr>
          <w:rFonts w:eastAsiaTheme="minorEastAsia" w:cs="Times New Roman"/>
          <w:b/>
          <w:bCs/>
        </w:rPr>
        <w:t>eTable</w:t>
      </w:r>
      <w:proofErr w:type="spellEnd"/>
      <w:r w:rsidRPr="000850DA">
        <w:rPr>
          <w:rFonts w:eastAsiaTheme="minorEastAsia" w:cs="Times New Roman"/>
          <w:b/>
          <w:bCs/>
        </w:rPr>
        <w:t xml:space="preserve"> 1</w:t>
      </w:r>
      <w:r w:rsidRPr="000850DA">
        <w:rPr>
          <w:rFonts w:cs="Times New Roman"/>
          <w:b/>
          <w:bCs/>
        </w:rPr>
        <w:t xml:space="preserve"> </w:t>
      </w:r>
      <w:r w:rsidRPr="000850DA">
        <w:rPr>
          <w:rFonts w:eastAsiaTheme="minorEastAsia" w:cs="Times New Roman"/>
        </w:rPr>
        <w:t>Clinical Characteristics of Pediatric Patients with Urine Samples</w:t>
      </w:r>
    </w:p>
    <w:tbl>
      <w:tblPr>
        <w:tblW w:w="5000" w:type="pct"/>
        <w:tblInd w:w="-284" w:type="dxa"/>
        <w:tblLook w:val="04A0" w:firstRow="1" w:lastRow="0" w:firstColumn="1" w:lastColumn="0" w:noHBand="0" w:noVBand="1"/>
      </w:tblPr>
      <w:tblGrid>
        <w:gridCol w:w="3304"/>
        <w:gridCol w:w="1970"/>
        <w:gridCol w:w="1969"/>
        <w:gridCol w:w="1057"/>
      </w:tblGrid>
      <w:tr w:rsidR="00110061" w:rsidRPr="000850DA" w14:paraId="5177F740" w14:textId="77777777" w:rsidTr="000055B3">
        <w:trPr>
          <w:trHeight w:val="468"/>
        </w:trPr>
        <w:tc>
          <w:tcPr>
            <w:tcW w:w="1990" w:type="pct"/>
            <w:tcBorders>
              <w:top w:val="single" w:sz="4" w:space="0" w:color="auto"/>
              <w:bottom w:val="single" w:sz="4" w:space="0" w:color="auto"/>
            </w:tcBorders>
            <w:tcMar>
              <w:top w:w="15" w:type="dxa"/>
              <w:left w:w="15" w:type="dxa"/>
              <w:bottom w:w="15" w:type="dxa"/>
              <w:right w:w="15" w:type="dxa"/>
            </w:tcMar>
            <w:vAlign w:val="center"/>
            <w:hideMark/>
          </w:tcPr>
          <w:p w14:paraId="3D6F836A" w14:textId="77777777" w:rsidR="00AE7BE5" w:rsidRPr="000850DA" w:rsidRDefault="00AE7BE5" w:rsidP="00110061">
            <w:pPr>
              <w:pStyle w:val="a3"/>
              <w:spacing w:line="240" w:lineRule="auto"/>
              <w:rPr>
                <w:rFonts w:ascii="Times New Roman" w:hAnsi="Times New Roman" w:cs="Times New Roman"/>
                <w:kern w:val="2"/>
              </w:rPr>
            </w:pPr>
            <w:r w:rsidRPr="000850DA">
              <w:rPr>
                <w:rFonts w:ascii="Times New Roman" w:hAnsi="Times New Roman" w:cs="Times New Roman"/>
                <w:kern w:val="2"/>
              </w:rPr>
              <w:t xml:space="preserve">Characteristics </w:t>
            </w:r>
          </w:p>
        </w:tc>
        <w:tc>
          <w:tcPr>
            <w:tcW w:w="1187" w:type="pct"/>
            <w:tcBorders>
              <w:top w:val="single" w:sz="4" w:space="0" w:color="auto"/>
              <w:bottom w:val="single" w:sz="4" w:space="0" w:color="auto"/>
            </w:tcBorders>
            <w:tcMar>
              <w:top w:w="15" w:type="dxa"/>
              <w:left w:w="15" w:type="dxa"/>
              <w:bottom w:w="15" w:type="dxa"/>
              <w:right w:w="15" w:type="dxa"/>
            </w:tcMar>
            <w:vAlign w:val="center"/>
            <w:hideMark/>
          </w:tcPr>
          <w:p w14:paraId="7A115478" w14:textId="77777777" w:rsidR="00AE7BE5" w:rsidRPr="000850DA" w:rsidRDefault="00AE7BE5" w:rsidP="00110061">
            <w:pPr>
              <w:spacing w:line="240" w:lineRule="auto"/>
              <w:jc w:val="left"/>
              <w:textAlignment w:val="center"/>
              <w:rPr>
                <w:rFonts w:cs="Times New Roman"/>
                <w:bCs/>
              </w:rPr>
            </w:pPr>
            <w:r w:rsidRPr="000850DA">
              <w:rPr>
                <w:rFonts w:cs="Times New Roman"/>
                <w:bCs/>
              </w:rPr>
              <w:t>Septic shock survivors</w:t>
            </w:r>
          </w:p>
        </w:tc>
        <w:tc>
          <w:tcPr>
            <w:tcW w:w="1186" w:type="pct"/>
            <w:tcBorders>
              <w:top w:val="single" w:sz="4" w:space="0" w:color="auto"/>
              <w:bottom w:val="single" w:sz="4" w:space="0" w:color="auto"/>
            </w:tcBorders>
            <w:tcMar>
              <w:top w:w="15" w:type="dxa"/>
              <w:left w:w="15" w:type="dxa"/>
              <w:bottom w:w="15" w:type="dxa"/>
              <w:right w:w="15" w:type="dxa"/>
            </w:tcMar>
            <w:vAlign w:val="center"/>
            <w:hideMark/>
          </w:tcPr>
          <w:p w14:paraId="05E26D11" w14:textId="77777777" w:rsidR="00AE7BE5" w:rsidRPr="000850DA" w:rsidRDefault="00AE7BE5" w:rsidP="00110061">
            <w:pPr>
              <w:spacing w:line="240" w:lineRule="auto"/>
              <w:jc w:val="left"/>
              <w:textAlignment w:val="center"/>
              <w:rPr>
                <w:rFonts w:cs="Times New Roman"/>
                <w:bCs/>
              </w:rPr>
            </w:pPr>
            <w:r w:rsidRPr="000850DA">
              <w:rPr>
                <w:rFonts w:cs="Times New Roman"/>
                <w:bCs/>
              </w:rPr>
              <w:t>Septic shock non-survivors</w:t>
            </w:r>
          </w:p>
        </w:tc>
        <w:tc>
          <w:tcPr>
            <w:tcW w:w="637" w:type="pct"/>
            <w:tcBorders>
              <w:top w:val="single" w:sz="4" w:space="0" w:color="auto"/>
              <w:bottom w:val="single" w:sz="4" w:space="0" w:color="auto"/>
            </w:tcBorders>
            <w:tcMar>
              <w:top w:w="15" w:type="dxa"/>
              <w:left w:w="15" w:type="dxa"/>
              <w:bottom w:w="15" w:type="dxa"/>
              <w:right w:w="15" w:type="dxa"/>
            </w:tcMar>
            <w:vAlign w:val="center"/>
            <w:hideMark/>
          </w:tcPr>
          <w:p w14:paraId="5A7EE730" w14:textId="456EFAF2" w:rsidR="00AE7BE5" w:rsidRPr="000850DA" w:rsidRDefault="00AE7BE5" w:rsidP="00634A0D">
            <w:pPr>
              <w:spacing w:line="240" w:lineRule="auto"/>
              <w:textAlignment w:val="center"/>
              <w:rPr>
                <w:rFonts w:cs="Times New Roman"/>
                <w:bCs/>
              </w:rPr>
            </w:pPr>
            <w:r w:rsidRPr="000850DA">
              <w:rPr>
                <w:rFonts w:eastAsiaTheme="minorEastAsia" w:cs="Times New Roman"/>
                <w:bCs/>
                <w:i/>
                <w:iCs/>
              </w:rPr>
              <w:t>p</w:t>
            </w:r>
            <w:r w:rsidRPr="000850DA">
              <w:rPr>
                <w:rFonts w:cs="Times New Roman"/>
                <w:bCs/>
              </w:rPr>
              <w:t xml:space="preserve"> value</w:t>
            </w:r>
          </w:p>
        </w:tc>
      </w:tr>
      <w:tr w:rsidR="00F14713" w:rsidRPr="000850DA" w14:paraId="7E2CF6D0" w14:textId="77777777" w:rsidTr="000055B3">
        <w:trPr>
          <w:trHeight w:val="289"/>
        </w:trPr>
        <w:tc>
          <w:tcPr>
            <w:tcW w:w="1990" w:type="pct"/>
            <w:tcBorders>
              <w:top w:val="single" w:sz="4" w:space="0" w:color="auto"/>
            </w:tcBorders>
            <w:shd w:val="clear" w:color="auto" w:fill="FFFFFF"/>
            <w:tcMar>
              <w:top w:w="15" w:type="dxa"/>
              <w:left w:w="15" w:type="dxa"/>
              <w:bottom w:w="15" w:type="dxa"/>
              <w:right w:w="15" w:type="dxa"/>
            </w:tcMar>
            <w:vAlign w:val="center"/>
            <w:hideMark/>
          </w:tcPr>
          <w:p w14:paraId="025531CA" w14:textId="77777777" w:rsidR="00AE7BE5" w:rsidRPr="000850DA" w:rsidRDefault="00AE7BE5" w:rsidP="00634A0D">
            <w:pPr>
              <w:pStyle w:val="a3"/>
              <w:spacing w:line="240" w:lineRule="auto"/>
              <w:jc w:val="both"/>
              <w:rPr>
                <w:rFonts w:ascii="Times New Roman" w:hAnsi="Times New Roman" w:cs="Times New Roman"/>
                <w:kern w:val="2"/>
              </w:rPr>
            </w:pPr>
            <w:r w:rsidRPr="000850DA">
              <w:rPr>
                <w:rFonts w:ascii="Times New Roman" w:hAnsi="Times New Roman" w:cs="Times New Roman"/>
                <w:kern w:val="2"/>
              </w:rPr>
              <w:t>Patients (n)</w:t>
            </w:r>
          </w:p>
        </w:tc>
        <w:tc>
          <w:tcPr>
            <w:tcW w:w="1187" w:type="pct"/>
            <w:tcBorders>
              <w:top w:val="single" w:sz="4" w:space="0" w:color="auto"/>
            </w:tcBorders>
            <w:shd w:val="clear" w:color="auto" w:fill="FFFFFF"/>
            <w:tcMar>
              <w:top w:w="15" w:type="dxa"/>
              <w:left w:w="15" w:type="dxa"/>
              <w:bottom w:w="15" w:type="dxa"/>
              <w:right w:w="15" w:type="dxa"/>
            </w:tcMar>
            <w:vAlign w:val="center"/>
            <w:hideMark/>
          </w:tcPr>
          <w:p w14:paraId="1963B634"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27</w:t>
            </w:r>
          </w:p>
        </w:tc>
        <w:tc>
          <w:tcPr>
            <w:tcW w:w="1186" w:type="pct"/>
            <w:tcBorders>
              <w:top w:val="single" w:sz="4" w:space="0" w:color="auto"/>
            </w:tcBorders>
            <w:shd w:val="clear" w:color="auto" w:fill="FFFFFF"/>
            <w:tcMar>
              <w:top w:w="15" w:type="dxa"/>
              <w:left w:w="15" w:type="dxa"/>
              <w:bottom w:w="15" w:type="dxa"/>
              <w:right w:w="15" w:type="dxa"/>
            </w:tcMar>
            <w:vAlign w:val="center"/>
            <w:hideMark/>
          </w:tcPr>
          <w:p w14:paraId="215195A1"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10</w:t>
            </w:r>
          </w:p>
        </w:tc>
        <w:tc>
          <w:tcPr>
            <w:tcW w:w="637" w:type="pct"/>
            <w:tcBorders>
              <w:top w:val="single" w:sz="4" w:space="0" w:color="auto"/>
            </w:tcBorders>
            <w:shd w:val="clear" w:color="auto" w:fill="FFFFFF"/>
            <w:tcMar>
              <w:top w:w="15" w:type="dxa"/>
              <w:left w:w="15" w:type="dxa"/>
              <w:bottom w:w="15" w:type="dxa"/>
              <w:right w:w="15" w:type="dxa"/>
            </w:tcMar>
            <w:vAlign w:val="center"/>
          </w:tcPr>
          <w:p w14:paraId="51E5F676" w14:textId="77777777" w:rsidR="00AE7BE5" w:rsidRPr="000850DA" w:rsidRDefault="00AE7BE5" w:rsidP="00634A0D">
            <w:pPr>
              <w:spacing w:line="240" w:lineRule="auto"/>
              <w:textAlignment w:val="center"/>
              <w:rPr>
                <w:rFonts w:cs="Times New Roman"/>
                <w:color w:val="000000"/>
              </w:rPr>
            </w:pPr>
          </w:p>
        </w:tc>
      </w:tr>
      <w:tr w:rsidR="00110061" w:rsidRPr="000850DA" w14:paraId="3B8EF7A9" w14:textId="77777777" w:rsidTr="000055B3">
        <w:trPr>
          <w:trHeight w:val="289"/>
        </w:trPr>
        <w:tc>
          <w:tcPr>
            <w:tcW w:w="1990" w:type="pct"/>
            <w:tcMar>
              <w:top w:w="15" w:type="dxa"/>
              <w:left w:w="15" w:type="dxa"/>
              <w:bottom w:w="15" w:type="dxa"/>
              <w:right w:w="15" w:type="dxa"/>
            </w:tcMar>
            <w:vAlign w:val="center"/>
            <w:hideMark/>
          </w:tcPr>
          <w:p w14:paraId="1E0583A0"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Male (n, %)</w:t>
            </w:r>
          </w:p>
        </w:tc>
        <w:tc>
          <w:tcPr>
            <w:tcW w:w="1187" w:type="pct"/>
            <w:tcMar>
              <w:top w:w="15" w:type="dxa"/>
              <w:left w:w="15" w:type="dxa"/>
              <w:bottom w:w="15" w:type="dxa"/>
              <w:right w:w="15" w:type="dxa"/>
            </w:tcMar>
            <w:vAlign w:val="center"/>
          </w:tcPr>
          <w:p w14:paraId="5497408E"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16 (59.3%)</w:t>
            </w:r>
          </w:p>
        </w:tc>
        <w:tc>
          <w:tcPr>
            <w:tcW w:w="1186" w:type="pct"/>
            <w:tcMar>
              <w:top w:w="15" w:type="dxa"/>
              <w:left w:w="15" w:type="dxa"/>
              <w:bottom w:w="15" w:type="dxa"/>
              <w:right w:w="15" w:type="dxa"/>
            </w:tcMar>
            <w:vAlign w:val="center"/>
          </w:tcPr>
          <w:p w14:paraId="4994609A"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5 (50.0%)</w:t>
            </w:r>
          </w:p>
        </w:tc>
        <w:tc>
          <w:tcPr>
            <w:tcW w:w="637" w:type="pct"/>
            <w:tcMar>
              <w:top w:w="15" w:type="dxa"/>
              <w:left w:w="15" w:type="dxa"/>
              <w:bottom w:w="15" w:type="dxa"/>
              <w:right w:w="15" w:type="dxa"/>
            </w:tcMar>
            <w:vAlign w:val="center"/>
          </w:tcPr>
          <w:p w14:paraId="5C4AC5B1"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0.614</w:t>
            </w:r>
          </w:p>
        </w:tc>
      </w:tr>
      <w:tr w:rsidR="00110061" w:rsidRPr="000850DA" w14:paraId="1F006032" w14:textId="77777777" w:rsidTr="000055B3">
        <w:trPr>
          <w:trHeight w:val="289"/>
        </w:trPr>
        <w:tc>
          <w:tcPr>
            <w:tcW w:w="1990" w:type="pct"/>
            <w:tcMar>
              <w:top w:w="15" w:type="dxa"/>
              <w:left w:w="15" w:type="dxa"/>
              <w:bottom w:w="15" w:type="dxa"/>
              <w:right w:w="15" w:type="dxa"/>
            </w:tcMar>
            <w:vAlign w:val="center"/>
            <w:hideMark/>
          </w:tcPr>
          <w:p w14:paraId="76BFD87F" w14:textId="70F879A1" w:rsidR="00AE7BE5" w:rsidRPr="000850DA" w:rsidRDefault="00AE7BE5" w:rsidP="00634A0D">
            <w:pPr>
              <w:spacing w:line="240" w:lineRule="auto"/>
              <w:textAlignment w:val="center"/>
              <w:rPr>
                <w:rFonts w:cs="Times New Roman"/>
                <w:color w:val="000000"/>
              </w:rPr>
            </w:pPr>
            <w:r w:rsidRPr="000850DA">
              <w:rPr>
                <w:rFonts w:cs="Times New Roman"/>
                <w:color w:val="000000"/>
              </w:rPr>
              <w:t>Age, years (</w:t>
            </w:r>
            <w:r w:rsidR="006D589D" w:rsidRPr="006D589D">
              <w:rPr>
                <w:rFonts w:cs="Times New Roman"/>
                <w:color w:val="000000"/>
              </w:rPr>
              <w:t>median</w:t>
            </w:r>
            <w:r w:rsidRPr="000850DA">
              <w:rPr>
                <w:rFonts w:cs="Times New Roman"/>
                <w:color w:val="000000"/>
              </w:rPr>
              <w:t>, IQR)</w:t>
            </w:r>
          </w:p>
        </w:tc>
        <w:tc>
          <w:tcPr>
            <w:tcW w:w="1187" w:type="pct"/>
            <w:tcMar>
              <w:top w:w="15" w:type="dxa"/>
              <w:left w:w="15" w:type="dxa"/>
              <w:bottom w:w="15" w:type="dxa"/>
              <w:right w:w="15" w:type="dxa"/>
            </w:tcMar>
            <w:vAlign w:val="center"/>
          </w:tcPr>
          <w:p w14:paraId="38E172A1" w14:textId="7E457347" w:rsidR="00AE7BE5" w:rsidRPr="000850DA" w:rsidRDefault="00AE7BE5" w:rsidP="00634A0D">
            <w:pPr>
              <w:spacing w:line="240" w:lineRule="auto"/>
              <w:rPr>
                <w:rFonts w:cs="Times New Roman"/>
                <w:color w:val="000000"/>
              </w:rPr>
            </w:pPr>
            <w:r w:rsidRPr="000850DA">
              <w:rPr>
                <w:rFonts w:cs="Times New Roman"/>
                <w:color w:val="000000"/>
              </w:rPr>
              <w:t>1.5 (0.3</w:t>
            </w:r>
            <w:r w:rsidR="00B51D45">
              <w:rPr>
                <w:rFonts w:cs="Times New Roman"/>
                <w:color w:val="000000"/>
              </w:rPr>
              <w:t>–</w:t>
            </w:r>
            <w:r w:rsidRPr="000850DA">
              <w:rPr>
                <w:rFonts w:cs="Times New Roman"/>
                <w:color w:val="000000"/>
              </w:rPr>
              <w:t>8.9)</w:t>
            </w:r>
          </w:p>
        </w:tc>
        <w:tc>
          <w:tcPr>
            <w:tcW w:w="1186" w:type="pct"/>
            <w:tcMar>
              <w:top w:w="15" w:type="dxa"/>
              <w:left w:w="15" w:type="dxa"/>
              <w:bottom w:w="15" w:type="dxa"/>
              <w:right w:w="15" w:type="dxa"/>
            </w:tcMar>
            <w:vAlign w:val="center"/>
          </w:tcPr>
          <w:p w14:paraId="3BF752F2" w14:textId="25626ABF" w:rsidR="00AE7BE5" w:rsidRPr="000850DA" w:rsidRDefault="00AE7BE5" w:rsidP="00634A0D">
            <w:pPr>
              <w:spacing w:line="240" w:lineRule="auto"/>
              <w:rPr>
                <w:rFonts w:cs="Times New Roman"/>
                <w:color w:val="000000"/>
              </w:rPr>
            </w:pPr>
            <w:r w:rsidRPr="000850DA">
              <w:rPr>
                <w:rFonts w:cs="Times New Roman"/>
                <w:color w:val="000000"/>
              </w:rPr>
              <w:t>4.4(1.4</w:t>
            </w:r>
            <w:r w:rsidR="00B51D45">
              <w:rPr>
                <w:rFonts w:cs="Times New Roman"/>
                <w:color w:val="000000"/>
              </w:rPr>
              <w:t>–</w:t>
            </w:r>
            <w:r w:rsidRPr="000850DA">
              <w:rPr>
                <w:rFonts w:cs="Times New Roman"/>
                <w:color w:val="000000"/>
              </w:rPr>
              <w:t>5.9)</w:t>
            </w:r>
          </w:p>
        </w:tc>
        <w:tc>
          <w:tcPr>
            <w:tcW w:w="637" w:type="pct"/>
            <w:tcMar>
              <w:top w:w="15" w:type="dxa"/>
              <w:left w:w="15" w:type="dxa"/>
              <w:bottom w:w="15" w:type="dxa"/>
              <w:right w:w="15" w:type="dxa"/>
            </w:tcMar>
            <w:vAlign w:val="center"/>
          </w:tcPr>
          <w:p w14:paraId="1A35DA32"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0.389</w:t>
            </w:r>
          </w:p>
        </w:tc>
      </w:tr>
      <w:tr w:rsidR="00110061" w:rsidRPr="000850DA" w14:paraId="2343082E" w14:textId="77777777" w:rsidTr="000055B3">
        <w:trPr>
          <w:trHeight w:val="289"/>
        </w:trPr>
        <w:tc>
          <w:tcPr>
            <w:tcW w:w="1990" w:type="pct"/>
            <w:tcMar>
              <w:top w:w="15" w:type="dxa"/>
              <w:left w:w="15" w:type="dxa"/>
              <w:bottom w:w="15" w:type="dxa"/>
              <w:right w:w="15" w:type="dxa"/>
            </w:tcMar>
            <w:vAlign w:val="center"/>
            <w:hideMark/>
          </w:tcPr>
          <w:p w14:paraId="6C772232" w14:textId="77777777" w:rsidR="00AE7BE5" w:rsidRPr="000850DA" w:rsidRDefault="00AE7BE5" w:rsidP="00634A0D">
            <w:pPr>
              <w:spacing w:line="240" w:lineRule="auto"/>
              <w:ind w:left="480" w:hangingChars="200" w:hanging="480"/>
              <w:textAlignment w:val="center"/>
              <w:rPr>
                <w:rFonts w:cs="Times New Roman"/>
                <w:color w:val="000000"/>
              </w:rPr>
            </w:pPr>
            <w:r w:rsidRPr="000850DA">
              <w:rPr>
                <w:rFonts w:cs="Times New Roman"/>
              </w:rPr>
              <w:t>Lactic acid</w:t>
            </w:r>
            <w:r w:rsidRPr="000850DA">
              <w:rPr>
                <w:rFonts w:cs="Times New Roman"/>
                <w:color w:val="000000"/>
              </w:rPr>
              <w:t xml:space="preserve"> (mmol/L)</w:t>
            </w:r>
          </w:p>
        </w:tc>
        <w:tc>
          <w:tcPr>
            <w:tcW w:w="1187" w:type="pct"/>
            <w:tcMar>
              <w:top w:w="15" w:type="dxa"/>
              <w:left w:w="15" w:type="dxa"/>
              <w:bottom w:w="15" w:type="dxa"/>
              <w:right w:w="15" w:type="dxa"/>
            </w:tcMar>
            <w:vAlign w:val="center"/>
          </w:tcPr>
          <w:p w14:paraId="3167D5AC" w14:textId="37E345EB" w:rsidR="00AE7BE5" w:rsidRPr="000850DA" w:rsidRDefault="00AE7BE5" w:rsidP="00634A0D">
            <w:pPr>
              <w:spacing w:line="240" w:lineRule="auto"/>
              <w:rPr>
                <w:rFonts w:cs="Times New Roman"/>
                <w:color w:val="000000"/>
              </w:rPr>
            </w:pPr>
            <w:r w:rsidRPr="000850DA">
              <w:rPr>
                <w:rFonts w:cs="Times New Roman"/>
                <w:color w:val="000000"/>
              </w:rPr>
              <w:t>2.0 (1.1</w:t>
            </w:r>
            <w:r w:rsidR="00B51D45">
              <w:rPr>
                <w:rFonts w:cs="Times New Roman"/>
                <w:color w:val="000000"/>
              </w:rPr>
              <w:t>–</w:t>
            </w:r>
            <w:r w:rsidRPr="000850DA">
              <w:rPr>
                <w:rFonts w:cs="Times New Roman"/>
                <w:color w:val="000000"/>
              </w:rPr>
              <w:t>4.5)</w:t>
            </w:r>
          </w:p>
        </w:tc>
        <w:tc>
          <w:tcPr>
            <w:tcW w:w="1186" w:type="pct"/>
            <w:tcMar>
              <w:top w:w="15" w:type="dxa"/>
              <w:left w:w="15" w:type="dxa"/>
              <w:bottom w:w="15" w:type="dxa"/>
              <w:right w:w="15" w:type="dxa"/>
            </w:tcMar>
            <w:vAlign w:val="center"/>
          </w:tcPr>
          <w:p w14:paraId="777CE48C" w14:textId="42FD941A" w:rsidR="00AE7BE5" w:rsidRPr="000850DA" w:rsidRDefault="00AE7BE5" w:rsidP="00634A0D">
            <w:pPr>
              <w:spacing w:line="240" w:lineRule="auto"/>
              <w:rPr>
                <w:rFonts w:cs="Times New Roman"/>
                <w:color w:val="000000"/>
              </w:rPr>
            </w:pPr>
            <w:r w:rsidRPr="000850DA">
              <w:rPr>
                <w:rFonts w:cs="Times New Roman"/>
                <w:color w:val="000000"/>
              </w:rPr>
              <w:t>2.6 (1.9</w:t>
            </w:r>
            <w:r w:rsidR="00B51D45">
              <w:rPr>
                <w:rFonts w:cs="Times New Roman"/>
                <w:color w:val="000000"/>
              </w:rPr>
              <w:t>–</w:t>
            </w:r>
            <w:r w:rsidRPr="000850DA">
              <w:rPr>
                <w:rFonts w:cs="Times New Roman"/>
                <w:color w:val="000000"/>
              </w:rPr>
              <w:t>5.6)</w:t>
            </w:r>
          </w:p>
        </w:tc>
        <w:tc>
          <w:tcPr>
            <w:tcW w:w="637" w:type="pct"/>
            <w:tcMar>
              <w:top w:w="15" w:type="dxa"/>
              <w:left w:w="15" w:type="dxa"/>
              <w:bottom w:w="15" w:type="dxa"/>
              <w:right w:w="15" w:type="dxa"/>
            </w:tcMar>
            <w:vAlign w:val="center"/>
          </w:tcPr>
          <w:p w14:paraId="0D58D07D"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0.191</w:t>
            </w:r>
          </w:p>
        </w:tc>
      </w:tr>
      <w:tr w:rsidR="00110061" w:rsidRPr="000850DA" w14:paraId="28631732" w14:textId="77777777" w:rsidTr="000055B3">
        <w:trPr>
          <w:trHeight w:val="289"/>
        </w:trPr>
        <w:tc>
          <w:tcPr>
            <w:tcW w:w="1990" w:type="pct"/>
            <w:tcMar>
              <w:top w:w="15" w:type="dxa"/>
              <w:left w:w="15" w:type="dxa"/>
              <w:bottom w:w="15" w:type="dxa"/>
              <w:right w:w="15" w:type="dxa"/>
            </w:tcMar>
            <w:vAlign w:val="center"/>
            <w:hideMark/>
          </w:tcPr>
          <w:p w14:paraId="5D9D8C19" w14:textId="36822FE6" w:rsidR="00AE7BE5" w:rsidRPr="000850DA" w:rsidRDefault="00AE7BE5" w:rsidP="00634A0D">
            <w:pPr>
              <w:spacing w:line="240" w:lineRule="auto"/>
              <w:ind w:left="480" w:hangingChars="200" w:hanging="480"/>
              <w:textAlignment w:val="center"/>
              <w:rPr>
                <w:rFonts w:cs="Times New Roman"/>
                <w:color w:val="000000"/>
              </w:rPr>
            </w:pPr>
            <w:r w:rsidRPr="000850DA">
              <w:rPr>
                <w:rFonts w:cs="Times New Roman"/>
                <w:color w:val="000000"/>
              </w:rPr>
              <w:t>PCT (ng/m</w:t>
            </w:r>
            <w:r w:rsidR="00D21660">
              <w:rPr>
                <w:rFonts w:cs="Times New Roman" w:hint="eastAsia"/>
                <w:color w:val="000000"/>
              </w:rPr>
              <w:t>L</w:t>
            </w:r>
            <w:r w:rsidRPr="000850DA">
              <w:rPr>
                <w:rFonts w:cs="Times New Roman"/>
                <w:color w:val="000000"/>
              </w:rPr>
              <w:t>)</w:t>
            </w:r>
          </w:p>
        </w:tc>
        <w:tc>
          <w:tcPr>
            <w:tcW w:w="1187" w:type="pct"/>
            <w:tcMar>
              <w:top w:w="15" w:type="dxa"/>
              <w:left w:w="15" w:type="dxa"/>
              <w:bottom w:w="15" w:type="dxa"/>
              <w:right w:w="15" w:type="dxa"/>
            </w:tcMar>
            <w:vAlign w:val="center"/>
          </w:tcPr>
          <w:p w14:paraId="00148E8D" w14:textId="77777777" w:rsidR="00AE7BE5" w:rsidRPr="000850DA" w:rsidRDefault="00AE7BE5" w:rsidP="00634A0D">
            <w:pPr>
              <w:spacing w:line="240" w:lineRule="auto"/>
              <w:rPr>
                <w:rFonts w:cs="Times New Roman"/>
                <w:color w:val="000000"/>
              </w:rPr>
            </w:pPr>
          </w:p>
        </w:tc>
        <w:tc>
          <w:tcPr>
            <w:tcW w:w="1186" w:type="pct"/>
            <w:tcMar>
              <w:top w:w="15" w:type="dxa"/>
              <w:left w:w="15" w:type="dxa"/>
              <w:bottom w:w="15" w:type="dxa"/>
              <w:right w:w="15" w:type="dxa"/>
            </w:tcMar>
            <w:vAlign w:val="center"/>
          </w:tcPr>
          <w:p w14:paraId="2FAD672E" w14:textId="77777777" w:rsidR="00AE7BE5" w:rsidRPr="000850DA" w:rsidRDefault="00AE7BE5" w:rsidP="00634A0D">
            <w:pPr>
              <w:spacing w:line="240" w:lineRule="auto"/>
              <w:rPr>
                <w:rFonts w:cs="Times New Roman"/>
                <w:color w:val="000000"/>
              </w:rPr>
            </w:pPr>
          </w:p>
        </w:tc>
        <w:tc>
          <w:tcPr>
            <w:tcW w:w="637" w:type="pct"/>
            <w:tcMar>
              <w:top w:w="15" w:type="dxa"/>
              <w:left w:w="15" w:type="dxa"/>
              <w:bottom w:w="15" w:type="dxa"/>
              <w:right w:w="15" w:type="dxa"/>
            </w:tcMar>
            <w:vAlign w:val="center"/>
          </w:tcPr>
          <w:p w14:paraId="2A5C0CC8" w14:textId="77777777" w:rsidR="00AE7BE5" w:rsidRPr="000850DA" w:rsidRDefault="00AE7BE5" w:rsidP="00634A0D">
            <w:pPr>
              <w:spacing w:line="240" w:lineRule="auto"/>
              <w:textAlignment w:val="center"/>
              <w:rPr>
                <w:rFonts w:cs="Times New Roman"/>
                <w:color w:val="000000"/>
              </w:rPr>
            </w:pPr>
          </w:p>
        </w:tc>
      </w:tr>
      <w:tr w:rsidR="00110061" w:rsidRPr="000850DA" w14:paraId="58F9B054" w14:textId="77777777" w:rsidTr="000055B3">
        <w:trPr>
          <w:trHeight w:val="289"/>
        </w:trPr>
        <w:tc>
          <w:tcPr>
            <w:tcW w:w="1990" w:type="pct"/>
            <w:tcMar>
              <w:top w:w="15" w:type="dxa"/>
              <w:left w:w="15" w:type="dxa"/>
              <w:bottom w:w="15" w:type="dxa"/>
              <w:right w:w="15" w:type="dxa"/>
            </w:tcMar>
            <w:vAlign w:val="center"/>
            <w:hideMark/>
          </w:tcPr>
          <w:p w14:paraId="7C7D9807" w14:textId="77777777" w:rsidR="00AE7BE5" w:rsidRPr="000850DA" w:rsidRDefault="00AE7BE5" w:rsidP="00634A0D">
            <w:pPr>
              <w:spacing w:line="240" w:lineRule="auto"/>
              <w:ind w:leftChars="100" w:left="480" w:hangingChars="100" w:hanging="240"/>
              <w:textAlignment w:val="center"/>
              <w:rPr>
                <w:rFonts w:cs="Times New Roman"/>
                <w:color w:val="000000"/>
              </w:rPr>
            </w:pPr>
            <w:r w:rsidRPr="000850DA">
              <w:rPr>
                <w:rFonts w:cs="Times New Roman"/>
                <w:color w:val="000000"/>
              </w:rPr>
              <w:t>&gt;100 (n, %)</w:t>
            </w:r>
          </w:p>
        </w:tc>
        <w:tc>
          <w:tcPr>
            <w:tcW w:w="1187" w:type="pct"/>
            <w:tcMar>
              <w:top w:w="15" w:type="dxa"/>
              <w:left w:w="15" w:type="dxa"/>
              <w:bottom w:w="15" w:type="dxa"/>
              <w:right w:w="15" w:type="dxa"/>
            </w:tcMar>
            <w:vAlign w:val="center"/>
          </w:tcPr>
          <w:p w14:paraId="793E2D97"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13 (48.2%)</w:t>
            </w:r>
          </w:p>
        </w:tc>
        <w:tc>
          <w:tcPr>
            <w:tcW w:w="1186" w:type="pct"/>
            <w:tcMar>
              <w:top w:w="15" w:type="dxa"/>
              <w:left w:w="15" w:type="dxa"/>
              <w:bottom w:w="15" w:type="dxa"/>
              <w:right w:w="15" w:type="dxa"/>
            </w:tcMar>
            <w:vAlign w:val="center"/>
          </w:tcPr>
          <w:p w14:paraId="6167ED2B"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4 (40.0%)</w:t>
            </w:r>
          </w:p>
        </w:tc>
        <w:tc>
          <w:tcPr>
            <w:tcW w:w="637" w:type="pct"/>
            <w:tcMar>
              <w:top w:w="15" w:type="dxa"/>
              <w:left w:w="15" w:type="dxa"/>
              <w:bottom w:w="15" w:type="dxa"/>
              <w:right w:w="15" w:type="dxa"/>
            </w:tcMar>
            <w:vAlign w:val="center"/>
          </w:tcPr>
          <w:p w14:paraId="6B027970"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0.658</w:t>
            </w:r>
          </w:p>
        </w:tc>
      </w:tr>
      <w:tr w:rsidR="00110061" w:rsidRPr="000850DA" w14:paraId="527D6589" w14:textId="77777777" w:rsidTr="000055B3">
        <w:trPr>
          <w:trHeight w:val="289"/>
        </w:trPr>
        <w:tc>
          <w:tcPr>
            <w:tcW w:w="1990" w:type="pct"/>
            <w:tcMar>
              <w:top w:w="15" w:type="dxa"/>
              <w:left w:w="15" w:type="dxa"/>
              <w:bottom w:w="15" w:type="dxa"/>
              <w:right w:w="15" w:type="dxa"/>
            </w:tcMar>
            <w:vAlign w:val="center"/>
            <w:hideMark/>
          </w:tcPr>
          <w:p w14:paraId="7DEE5D0E" w14:textId="773F1CC8" w:rsidR="00AE7BE5" w:rsidRPr="000850DA" w:rsidRDefault="00342D53" w:rsidP="00634A0D">
            <w:pPr>
              <w:spacing w:line="240" w:lineRule="auto"/>
              <w:ind w:leftChars="100" w:left="480" w:hangingChars="100" w:hanging="240"/>
              <w:textAlignment w:val="center"/>
              <w:rPr>
                <w:rFonts w:cs="Times New Roman"/>
                <w:color w:val="000000"/>
              </w:rPr>
            </w:pPr>
            <w:r w:rsidRPr="00342D53">
              <w:rPr>
                <w:rFonts w:cs="Times New Roman" w:hint="eastAsia"/>
                <w:color w:val="000000"/>
              </w:rPr>
              <w:t>≤</w:t>
            </w:r>
            <w:r w:rsidR="00AE7BE5" w:rsidRPr="000850DA">
              <w:rPr>
                <w:rFonts w:cs="Times New Roman"/>
                <w:color w:val="000000"/>
              </w:rPr>
              <w:t>100 (</w:t>
            </w:r>
            <w:r w:rsidR="006D589D" w:rsidRPr="006D589D">
              <w:rPr>
                <w:rFonts w:cs="Times New Roman"/>
                <w:color w:val="000000"/>
              </w:rPr>
              <w:t>median</w:t>
            </w:r>
            <w:r w:rsidR="00AE7BE5" w:rsidRPr="000850DA">
              <w:rPr>
                <w:rFonts w:cs="Times New Roman"/>
                <w:color w:val="000000"/>
              </w:rPr>
              <w:t>, IQR)</w:t>
            </w:r>
          </w:p>
        </w:tc>
        <w:tc>
          <w:tcPr>
            <w:tcW w:w="1187" w:type="pct"/>
            <w:tcMar>
              <w:top w:w="15" w:type="dxa"/>
              <w:left w:w="15" w:type="dxa"/>
              <w:bottom w:w="15" w:type="dxa"/>
              <w:right w:w="15" w:type="dxa"/>
            </w:tcMar>
            <w:vAlign w:val="center"/>
          </w:tcPr>
          <w:p w14:paraId="3C74DA6C" w14:textId="279F5C4C" w:rsidR="00AE7BE5" w:rsidRPr="000850DA" w:rsidRDefault="00AE7BE5" w:rsidP="00634A0D">
            <w:pPr>
              <w:spacing w:line="240" w:lineRule="auto"/>
              <w:rPr>
                <w:rFonts w:cs="Times New Roman"/>
                <w:color w:val="000000"/>
              </w:rPr>
            </w:pPr>
            <w:r w:rsidRPr="000850DA">
              <w:rPr>
                <w:rFonts w:cs="Times New Roman"/>
                <w:color w:val="000000"/>
              </w:rPr>
              <w:t>11.6 (1.7</w:t>
            </w:r>
            <w:r w:rsidR="00B51D45">
              <w:rPr>
                <w:rFonts w:cs="Times New Roman"/>
                <w:color w:val="000000"/>
              </w:rPr>
              <w:t>–</w:t>
            </w:r>
            <w:r w:rsidRPr="000850DA">
              <w:rPr>
                <w:rFonts w:cs="Times New Roman"/>
                <w:color w:val="000000"/>
              </w:rPr>
              <w:t>65.0)</w:t>
            </w:r>
          </w:p>
        </w:tc>
        <w:tc>
          <w:tcPr>
            <w:tcW w:w="1186" w:type="pct"/>
            <w:tcMar>
              <w:top w:w="15" w:type="dxa"/>
              <w:left w:w="15" w:type="dxa"/>
              <w:bottom w:w="15" w:type="dxa"/>
              <w:right w:w="15" w:type="dxa"/>
            </w:tcMar>
            <w:vAlign w:val="center"/>
          </w:tcPr>
          <w:p w14:paraId="69EC3048" w14:textId="70874F28" w:rsidR="00AE7BE5" w:rsidRPr="000850DA" w:rsidRDefault="00AE7BE5" w:rsidP="00634A0D">
            <w:pPr>
              <w:spacing w:line="240" w:lineRule="auto"/>
              <w:textAlignment w:val="center"/>
              <w:rPr>
                <w:rFonts w:cs="Times New Roman"/>
                <w:color w:val="000000"/>
              </w:rPr>
            </w:pPr>
            <w:r w:rsidRPr="000850DA">
              <w:rPr>
                <w:rFonts w:cs="Times New Roman"/>
                <w:color w:val="000000"/>
              </w:rPr>
              <w:t>7.9 (5.3</w:t>
            </w:r>
            <w:r w:rsidR="00B51D45">
              <w:rPr>
                <w:rFonts w:cs="Times New Roman"/>
                <w:color w:val="000000"/>
              </w:rPr>
              <w:t>–</w:t>
            </w:r>
            <w:r w:rsidRPr="000850DA">
              <w:rPr>
                <w:rFonts w:cs="Times New Roman"/>
                <w:color w:val="000000"/>
              </w:rPr>
              <w:t>30.7)</w:t>
            </w:r>
          </w:p>
        </w:tc>
        <w:tc>
          <w:tcPr>
            <w:tcW w:w="637" w:type="pct"/>
            <w:tcMar>
              <w:top w:w="15" w:type="dxa"/>
              <w:left w:w="15" w:type="dxa"/>
              <w:bottom w:w="15" w:type="dxa"/>
              <w:right w:w="15" w:type="dxa"/>
            </w:tcMar>
            <w:vAlign w:val="center"/>
          </w:tcPr>
          <w:p w14:paraId="25052C33"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1.000</w:t>
            </w:r>
          </w:p>
        </w:tc>
      </w:tr>
      <w:tr w:rsidR="00110061" w:rsidRPr="000850DA" w14:paraId="4C3A9E0A" w14:textId="77777777" w:rsidTr="000055B3">
        <w:trPr>
          <w:trHeight w:val="289"/>
        </w:trPr>
        <w:tc>
          <w:tcPr>
            <w:tcW w:w="1990" w:type="pct"/>
            <w:tcMar>
              <w:top w:w="15" w:type="dxa"/>
              <w:left w:w="15" w:type="dxa"/>
              <w:bottom w:w="15" w:type="dxa"/>
              <w:right w:w="15" w:type="dxa"/>
            </w:tcMar>
            <w:vAlign w:val="center"/>
            <w:hideMark/>
          </w:tcPr>
          <w:p w14:paraId="2FAD1DC6"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Underlying disease (n, %)</w:t>
            </w:r>
          </w:p>
        </w:tc>
        <w:tc>
          <w:tcPr>
            <w:tcW w:w="1187" w:type="pct"/>
            <w:tcMar>
              <w:top w:w="15" w:type="dxa"/>
              <w:left w:w="15" w:type="dxa"/>
              <w:bottom w:w="15" w:type="dxa"/>
              <w:right w:w="15" w:type="dxa"/>
            </w:tcMar>
            <w:vAlign w:val="center"/>
          </w:tcPr>
          <w:p w14:paraId="1F5C0914"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4 (14.8%)</w:t>
            </w:r>
          </w:p>
        </w:tc>
        <w:tc>
          <w:tcPr>
            <w:tcW w:w="1186" w:type="pct"/>
            <w:tcMar>
              <w:top w:w="15" w:type="dxa"/>
              <w:left w:w="15" w:type="dxa"/>
              <w:bottom w:w="15" w:type="dxa"/>
              <w:right w:w="15" w:type="dxa"/>
            </w:tcMar>
            <w:vAlign w:val="center"/>
          </w:tcPr>
          <w:p w14:paraId="28D4F712"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4 (40.0%)</w:t>
            </w:r>
          </w:p>
        </w:tc>
        <w:tc>
          <w:tcPr>
            <w:tcW w:w="637" w:type="pct"/>
            <w:tcMar>
              <w:top w:w="15" w:type="dxa"/>
              <w:left w:w="15" w:type="dxa"/>
              <w:bottom w:w="15" w:type="dxa"/>
              <w:right w:w="15" w:type="dxa"/>
            </w:tcMar>
            <w:vAlign w:val="center"/>
          </w:tcPr>
          <w:p w14:paraId="0D1726DD"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0.098</w:t>
            </w:r>
          </w:p>
        </w:tc>
      </w:tr>
      <w:tr w:rsidR="00110061" w:rsidRPr="000850DA" w14:paraId="71DBE176" w14:textId="77777777" w:rsidTr="000055B3">
        <w:trPr>
          <w:trHeight w:val="289"/>
        </w:trPr>
        <w:tc>
          <w:tcPr>
            <w:tcW w:w="1990" w:type="pct"/>
            <w:tcMar>
              <w:top w:w="15" w:type="dxa"/>
              <w:left w:w="15" w:type="dxa"/>
              <w:bottom w:w="15" w:type="dxa"/>
              <w:right w:w="15" w:type="dxa"/>
            </w:tcMar>
            <w:vAlign w:val="center"/>
            <w:hideMark/>
          </w:tcPr>
          <w:p w14:paraId="7FCDB07C" w14:textId="3233FC35" w:rsidR="00AE7BE5" w:rsidRPr="000850DA" w:rsidRDefault="00AE7BE5" w:rsidP="00634A0D">
            <w:pPr>
              <w:spacing w:line="240" w:lineRule="auto"/>
              <w:textAlignment w:val="center"/>
              <w:rPr>
                <w:rFonts w:cs="Times New Roman"/>
                <w:color w:val="000000"/>
              </w:rPr>
            </w:pPr>
            <w:r w:rsidRPr="000850DA">
              <w:rPr>
                <w:rFonts w:cs="Times New Roman"/>
                <w:color w:val="000000" w:themeColor="text1"/>
              </w:rPr>
              <w:t>PRISM III score (</w:t>
            </w:r>
            <w:r w:rsidR="006D589D" w:rsidRPr="006D589D">
              <w:rPr>
                <w:rFonts w:cs="Times New Roman"/>
                <w:color w:val="000000"/>
              </w:rPr>
              <w:t>median</w:t>
            </w:r>
            <w:r w:rsidRPr="000850DA">
              <w:rPr>
                <w:rFonts w:cs="Times New Roman"/>
                <w:color w:val="000000" w:themeColor="text1"/>
              </w:rPr>
              <w:t>, IQR)</w:t>
            </w:r>
          </w:p>
        </w:tc>
        <w:tc>
          <w:tcPr>
            <w:tcW w:w="1187" w:type="pct"/>
            <w:tcMar>
              <w:top w:w="15" w:type="dxa"/>
              <w:left w:w="15" w:type="dxa"/>
              <w:bottom w:w="15" w:type="dxa"/>
              <w:right w:w="15" w:type="dxa"/>
            </w:tcMar>
            <w:vAlign w:val="center"/>
          </w:tcPr>
          <w:p w14:paraId="10F8707F" w14:textId="7261D5E7" w:rsidR="00AE7BE5" w:rsidRPr="000850DA" w:rsidRDefault="00AE7BE5" w:rsidP="00634A0D">
            <w:pPr>
              <w:spacing w:line="240" w:lineRule="auto"/>
              <w:textAlignment w:val="center"/>
              <w:rPr>
                <w:rFonts w:cs="Times New Roman"/>
                <w:color w:val="000000"/>
              </w:rPr>
            </w:pPr>
            <w:r w:rsidRPr="000850DA">
              <w:rPr>
                <w:rFonts w:cs="Times New Roman"/>
                <w:color w:val="000000"/>
              </w:rPr>
              <w:t>3.0 (2.0</w:t>
            </w:r>
            <w:r w:rsidR="00B51D45">
              <w:rPr>
                <w:rFonts w:cs="Times New Roman"/>
                <w:color w:val="000000"/>
              </w:rPr>
              <w:t>–</w:t>
            </w:r>
            <w:r w:rsidRPr="000850DA">
              <w:rPr>
                <w:rFonts w:cs="Times New Roman"/>
                <w:color w:val="000000"/>
              </w:rPr>
              <w:t>3.5)</w:t>
            </w:r>
          </w:p>
        </w:tc>
        <w:tc>
          <w:tcPr>
            <w:tcW w:w="1186" w:type="pct"/>
            <w:tcMar>
              <w:top w:w="15" w:type="dxa"/>
              <w:left w:w="15" w:type="dxa"/>
              <w:bottom w:w="15" w:type="dxa"/>
              <w:right w:w="15" w:type="dxa"/>
            </w:tcMar>
            <w:vAlign w:val="center"/>
          </w:tcPr>
          <w:p w14:paraId="26007DE6" w14:textId="01FFAD22" w:rsidR="00AE7BE5" w:rsidRPr="000850DA" w:rsidRDefault="00AE7BE5" w:rsidP="00634A0D">
            <w:pPr>
              <w:spacing w:line="240" w:lineRule="auto"/>
              <w:textAlignment w:val="center"/>
              <w:rPr>
                <w:rFonts w:cs="Times New Roman"/>
                <w:color w:val="000000"/>
              </w:rPr>
            </w:pPr>
            <w:r w:rsidRPr="000850DA">
              <w:rPr>
                <w:rFonts w:cs="Times New Roman"/>
                <w:color w:val="000000"/>
              </w:rPr>
              <w:t>2.6 (1.5</w:t>
            </w:r>
            <w:r w:rsidR="00B51D45">
              <w:rPr>
                <w:rFonts w:cs="Times New Roman"/>
                <w:color w:val="000000"/>
              </w:rPr>
              <w:t>–</w:t>
            </w:r>
            <w:r w:rsidRPr="000850DA">
              <w:rPr>
                <w:rFonts w:cs="Times New Roman"/>
                <w:color w:val="000000"/>
              </w:rPr>
              <w:t>4.5)</w:t>
            </w:r>
          </w:p>
        </w:tc>
        <w:tc>
          <w:tcPr>
            <w:tcW w:w="637" w:type="pct"/>
            <w:tcMar>
              <w:top w:w="15" w:type="dxa"/>
              <w:left w:w="15" w:type="dxa"/>
              <w:bottom w:w="15" w:type="dxa"/>
              <w:right w:w="15" w:type="dxa"/>
            </w:tcMar>
            <w:vAlign w:val="center"/>
          </w:tcPr>
          <w:p w14:paraId="7BEA9826"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1.000</w:t>
            </w:r>
          </w:p>
        </w:tc>
      </w:tr>
      <w:tr w:rsidR="00110061" w:rsidRPr="000850DA" w14:paraId="218C6D19" w14:textId="77777777" w:rsidTr="000055B3">
        <w:trPr>
          <w:trHeight w:val="289"/>
        </w:trPr>
        <w:tc>
          <w:tcPr>
            <w:tcW w:w="1990" w:type="pct"/>
            <w:tcMar>
              <w:top w:w="15" w:type="dxa"/>
              <w:left w:w="15" w:type="dxa"/>
              <w:bottom w:w="15" w:type="dxa"/>
              <w:right w:w="15" w:type="dxa"/>
            </w:tcMar>
            <w:vAlign w:val="center"/>
            <w:hideMark/>
          </w:tcPr>
          <w:p w14:paraId="1B656F38" w14:textId="77777777" w:rsidR="00AE7BE5" w:rsidRPr="000850DA" w:rsidRDefault="00AE7BE5" w:rsidP="00634A0D">
            <w:pPr>
              <w:spacing w:line="240" w:lineRule="auto"/>
              <w:ind w:left="480" w:hangingChars="200" w:hanging="480"/>
              <w:textAlignment w:val="center"/>
              <w:rPr>
                <w:rFonts w:cs="Times New Roman"/>
                <w:color w:val="000000"/>
              </w:rPr>
            </w:pPr>
            <w:r w:rsidRPr="000850DA">
              <w:rPr>
                <w:rFonts w:cs="Times New Roman"/>
                <w:color w:val="000000"/>
              </w:rPr>
              <w:t>Organ dysfunction (n, %</w:t>
            </w:r>
            <w:r w:rsidRPr="000850DA">
              <w:rPr>
                <w:rFonts w:eastAsia="宋体" w:cs="Times New Roman"/>
                <w:color w:val="000000"/>
              </w:rPr>
              <w:t>）</w:t>
            </w:r>
          </w:p>
        </w:tc>
        <w:tc>
          <w:tcPr>
            <w:tcW w:w="1187" w:type="pct"/>
            <w:tcMar>
              <w:top w:w="15" w:type="dxa"/>
              <w:left w:w="15" w:type="dxa"/>
              <w:bottom w:w="15" w:type="dxa"/>
              <w:right w:w="15" w:type="dxa"/>
            </w:tcMar>
            <w:vAlign w:val="center"/>
          </w:tcPr>
          <w:p w14:paraId="1D687ADB" w14:textId="77777777" w:rsidR="00AE7BE5" w:rsidRPr="000850DA" w:rsidRDefault="00AE7BE5" w:rsidP="00634A0D">
            <w:pPr>
              <w:spacing w:line="240" w:lineRule="auto"/>
              <w:textAlignment w:val="center"/>
              <w:rPr>
                <w:rFonts w:cs="Times New Roman"/>
                <w:color w:val="000000"/>
              </w:rPr>
            </w:pPr>
          </w:p>
        </w:tc>
        <w:tc>
          <w:tcPr>
            <w:tcW w:w="1186" w:type="pct"/>
            <w:tcMar>
              <w:top w:w="15" w:type="dxa"/>
              <w:left w:w="15" w:type="dxa"/>
              <w:bottom w:w="15" w:type="dxa"/>
              <w:right w:w="15" w:type="dxa"/>
            </w:tcMar>
            <w:vAlign w:val="center"/>
          </w:tcPr>
          <w:p w14:paraId="4C3DF049" w14:textId="77777777" w:rsidR="00AE7BE5" w:rsidRPr="000850DA" w:rsidRDefault="00AE7BE5" w:rsidP="00634A0D">
            <w:pPr>
              <w:spacing w:line="240" w:lineRule="auto"/>
              <w:textAlignment w:val="center"/>
              <w:rPr>
                <w:rFonts w:cs="Times New Roman"/>
                <w:color w:val="000000"/>
              </w:rPr>
            </w:pPr>
          </w:p>
        </w:tc>
        <w:tc>
          <w:tcPr>
            <w:tcW w:w="637" w:type="pct"/>
            <w:tcMar>
              <w:top w:w="15" w:type="dxa"/>
              <w:left w:w="15" w:type="dxa"/>
              <w:bottom w:w="15" w:type="dxa"/>
              <w:right w:w="15" w:type="dxa"/>
            </w:tcMar>
            <w:vAlign w:val="center"/>
          </w:tcPr>
          <w:p w14:paraId="7F37FA5B" w14:textId="77777777" w:rsidR="00AE7BE5" w:rsidRPr="000850DA" w:rsidRDefault="00AE7BE5" w:rsidP="00634A0D">
            <w:pPr>
              <w:spacing w:line="240" w:lineRule="auto"/>
              <w:textAlignment w:val="center"/>
              <w:rPr>
                <w:rFonts w:cs="Times New Roman"/>
                <w:color w:val="000000"/>
              </w:rPr>
            </w:pPr>
          </w:p>
        </w:tc>
      </w:tr>
      <w:tr w:rsidR="00110061" w:rsidRPr="000850DA" w14:paraId="02C2E9F9" w14:textId="77777777" w:rsidTr="000055B3">
        <w:trPr>
          <w:trHeight w:val="289"/>
        </w:trPr>
        <w:tc>
          <w:tcPr>
            <w:tcW w:w="1990" w:type="pct"/>
            <w:tcMar>
              <w:top w:w="15" w:type="dxa"/>
              <w:left w:w="15" w:type="dxa"/>
              <w:bottom w:w="15" w:type="dxa"/>
              <w:right w:w="15" w:type="dxa"/>
            </w:tcMar>
            <w:hideMark/>
          </w:tcPr>
          <w:p w14:paraId="23420B43" w14:textId="77777777" w:rsidR="00AE7BE5" w:rsidRPr="000850DA" w:rsidRDefault="00AE7BE5" w:rsidP="00634A0D">
            <w:pPr>
              <w:spacing w:line="240" w:lineRule="auto"/>
              <w:ind w:firstLineChars="100" w:firstLine="240"/>
              <w:rPr>
                <w:rFonts w:cs="Times New Roman"/>
              </w:rPr>
            </w:pPr>
            <w:r w:rsidRPr="000850DA">
              <w:rPr>
                <w:rFonts w:cs="Times New Roman"/>
              </w:rPr>
              <w:t>Respiratory system</w:t>
            </w:r>
          </w:p>
        </w:tc>
        <w:tc>
          <w:tcPr>
            <w:tcW w:w="1187" w:type="pct"/>
            <w:tcMar>
              <w:top w:w="15" w:type="dxa"/>
              <w:left w:w="15" w:type="dxa"/>
              <w:bottom w:w="15" w:type="dxa"/>
              <w:right w:w="15" w:type="dxa"/>
            </w:tcMar>
            <w:vAlign w:val="center"/>
          </w:tcPr>
          <w:p w14:paraId="37B6BF24"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24 (88.9%)</w:t>
            </w:r>
          </w:p>
        </w:tc>
        <w:tc>
          <w:tcPr>
            <w:tcW w:w="1186" w:type="pct"/>
            <w:tcMar>
              <w:top w:w="15" w:type="dxa"/>
              <w:left w:w="15" w:type="dxa"/>
              <w:bottom w:w="15" w:type="dxa"/>
              <w:right w:w="15" w:type="dxa"/>
            </w:tcMar>
            <w:vAlign w:val="center"/>
          </w:tcPr>
          <w:p w14:paraId="78CF8B96"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10 (100.0%)</w:t>
            </w:r>
          </w:p>
        </w:tc>
        <w:tc>
          <w:tcPr>
            <w:tcW w:w="637" w:type="pct"/>
            <w:tcMar>
              <w:top w:w="15" w:type="dxa"/>
              <w:left w:w="15" w:type="dxa"/>
              <w:bottom w:w="15" w:type="dxa"/>
              <w:right w:w="15" w:type="dxa"/>
            </w:tcMar>
            <w:vAlign w:val="center"/>
          </w:tcPr>
          <w:p w14:paraId="4D2AEC95"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0.271</w:t>
            </w:r>
          </w:p>
        </w:tc>
      </w:tr>
      <w:tr w:rsidR="00110061" w:rsidRPr="000850DA" w14:paraId="3ED7CAD8" w14:textId="77777777" w:rsidTr="000055B3">
        <w:trPr>
          <w:trHeight w:val="289"/>
        </w:trPr>
        <w:tc>
          <w:tcPr>
            <w:tcW w:w="1990" w:type="pct"/>
            <w:tcMar>
              <w:top w:w="15" w:type="dxa"/>
              <w:left w:w="15" w:type="dxa"/>
              <w:bottom w:w="15" w:type="dxa"/>
              <w:right w:w="15" w:type="dxa"/>
            </w:tcMar>
            <w:hideMark/>
          </w:tcPr>
          <w:p w14:paraId="0A96A0C5" w14:textId="77777777" w:rsidR="00AE7BE5" w:rsidRPr="000850DA" w:rsidRDefault="00AE7BE5" w:rsidP="00634A0D">
            <w:pPr>
              <w:spacing w:line="240" w:lineRule="auto"/>
              <w:ind w:firstLineChars="100" w:firstLine="240"/>
              <w:rPr>
                <w:rFonts w:cs="Times New Roman"/>
                <w:color w:val="000000"/>
              </w:rPr>
            </w:pPr>
            <w:r w:rsidRPr="000850DA">
              <w:rPr>
                <w:rFonts w:cs="Times New Roman"/>
                <w:color w:val="000000"/>
              </w:rPr>
              <w:t>Cardiovascular system</w:t>
            </w:r>
          </w:p>
        </w:tc>
        <w:tc>
          <w:tcPr>
            <w:tcW w:w="1187" w:type="pct"/>
            <w:tcMar>
              <w:top w:w="15" w:type="dxa"/>
              <w:left w:w="15" w:type="dxa"/>
              <w:bottom w:w="15" w:type="dxa"/>
              <w:right w:w="15" w:type="dxa"/>
            </w:tcMar>
            <w:vAlign w:val="center"/>
          </w:tcPr>
          <w:p w14:paraId="4FA25898"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27 (100.0%)</w:t>
            </w:r>
          </w:p>
        </w:tc>
        <w:tc>
          <w:tcPr>
            <w:tcW w:w="1186" w:type="pct"/>
            <w:tcMar>
              <w:top w:w="15" w:type="dxa"/>
              <w:left w:w="15" w:type="dxa"/>
              <w:bottom w:w="15" w:type="dxa"/>
              <w:right w:w="15" w:type="dxa"/>
            </w:tcMar>
            <w:vAlign w:val="center"/>
          </w:tcPr>
          <w:p w14:paraId="222DA471"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10 (100.0%)</w:t>
            </w:r>
          </w:p>
        </w:tc>
        <w:tc>
          <w:tcPr>
            <w:tcW w:w="637" w:type="pct"/>
            <w:tcMar>
              <w:top w:w="15" w:type="dxa"/>
              <w:left w:w="15" w:type="dxa"/>
              <w:bottom w:w="15" w:type="dxa"/>
              <w:right w:w="15" w:type="dxa"/>
            </w:tcMar>
            <w:vAlign w:val="center"/>
          </w:tcPr>
          <w:p w14:paraId="4C0A3674"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N/A</w:t>
            </w:r>
          </w:p>
        </w:tc>
      </w:tr>
      <w:tr w:rsidR="00110061" w:rsidRPr="000850DA" w14:paraId="4074B52A" w14:textId="77777777" w:rsidTr="000055B3">
        <w:trPr>
          <w:trHeight w:val="289"/>
        </w:trPr>
        <w:tc>
          <w:tcPr>
            <w:tcW w:w="1990" w:type="pct"/>
            <w:tcMar>
              <w:top w:w="15" w:type="dxa"/>
              <w:left w:w="15" w:type="dxa"/>
              <w:bottom w:w="15" w:type="dxa"/>
              <w:right w:w="15" w:type="dxa"/>
            </w:tcMar>
            <w:hideMark/>
          </w:tcPr>
          <w:p w14:paraId="778D9DFA" w14:textId="77777777" w:rsidR="00AE7BE5" w:rsidRPr="000850DA" w:rsidRDefault="00AE7BE5" w:rsidP="00634A0D">
            <w:pPr>
              <w:spacing w:line="240" w:lineRule="auto"/>
              <w:ind w:firstLineChars="100" w:firstLine="240"/>
              <w:rPr>
                <w:rFonts w:cs="Times New Roman"/>
              </w:rPr>
            </w:pPr>
            <w:r w:rsidRPr="000850DA">
              <w:rPr>
                <w:rFonts w:cs="Times New Roman"/>
              </w:rPr>
              <w:t>Hematologic system</w:t>
            </w:r>
          </w:p>
        </w:tc>
        <w:tc>
          <w:tcPr>
            <w:tcW w:w="1187" w:type="pct"/>
            <w:tcMar>
              <w:top w:w="15" w:type="dxa"/>
              <w:left w:w="15" w:type="dxa"/>
              <w:bottom w:w="15" w:type="dxa"/>
              <w:right w:w="15" w:type="dxa"/>
            </w:tcMar>
            <w:vAlign w:val="center"/>
          </w:tcPr>
          <w:p w14:paraId="0EF2740A"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19 (70.4%)</w:t>
            </w:r>
          </w:p>
        </w:tc>
        <w:tc>
          <w:tcPr>
            <w:tcW w:w="1186" w:type="pct"/>
            <w:tcMar>
              <w:top w:w="15" w:type="dxa"/>
              <w:left w:w="15" w:type="dxa"/>
              <w:bottom w:w="15" w:type="dxa"/>
              <w:right w:w="15" w:type="dxa"/>
            </w:tcMar>
            <w:vAlign w:val="center"/>
          </w:tcPr>
          <w:p w14:paraId="065A4C9F"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7 (70.0%)</w:t>
            </w:r>
          </w:p>
        </w:tc>
        <w:tc>
          <w:tcPr>
            <w:tcW w:w="637" w:type="pct"/>
            <w:tcMar>
              <w:top w:w="15" w:type="dxa"/>
              <w:left w:w="15" w:type="dxa"/>
              <w:bottom w:w="15" w:type="dxa"/>
              <w:right w:w="15" w:type="dxa"/>
            </w:tcMar>
            <w:vAlign w:val="center"/>
          </w:tcPr>
          <w:p w14:paraId="513A30F3"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0.983</w:t>
            </w:r>
          </w:p>
        </w:tc>
      </w:tr>
      <w:tr w:rsidR="00110061" w:rsidRPr="000850DA" w14:paraId="3DA86578" w14:textId="77777777" w:rsidTr="000055B3">
        <w:trPr>
          <w:trHeight w:val="289"/>
        </w:trPr>
        <w:tc>
          <w:tcPr>
            <w:tcW w:w="1990" w:type="pct"/>
            <w:tcMar>
              <w:top w:w="15" w:type="dxa"/>
              <w:left w:w="15" w:type="dxa"/>
              <w:bottom w:w="15" w:type="dxa"/>
              <w:right w:w="15" w:type="dxa"/>
            </w:tcMar>
            <w:hideMark/>
          </w:tcPr>
          <w:p w14:paraId="5856F2C2" w14:textId="77777777" w:rsidR="00AE7BE5" w:rsidRPr="000850DA" w:rsidRDefault="00AE7BE5" w:rsidP="00634A0D">
            <w:pPr>
              <w:spacing w:line="240" w:lineRule="auto"/>
              <w:ind w:firstLineChars="100" w:firstLine="240"/>
              <w:rPr>
                <w:rFonts w:cs="Times New Roman"/>
                <w:color w:val="000000"/>
              </w:rPr>
            </w:pPr>
            <w:r w:rsidRPr="000850DA">
              <w:rPr>
                <w:rFonts w:cs="Times New Roman"/>
                <w:color w:val="000000"/>
              </w:rPr>
              <w:t>Neurologic system</w:t>
            </w:r>
          </w:p>
        </w:tc>
        <w:tc>
          <w:tcPr>
            <w:tcW w:w="1187" w:type="pct"/>
            <w:tcMar>
              <w:top w:w="15" w:type="dxa"/>
              <w:left w:w="15" w:type="dxa"/>
              <w:bottom w:w="15" w:type="dxa"/>
              <w:right w:w="15" w:type="dxa"/>
            </w:tcMar>
            <w:vAlign w:val="center"/>
          </w:tcPr>
          <w:p w14:paraId="1AABE8E7"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11 (40.7%)</w:t>
            </w:r>
          </w:p>
        </w:tc>
        <w:tc>
          <w:tcPr>
            <w:tcW w:w="1186" w:type="pct"/>
            <w:tcMar>
              <w:top w:w="15" w:type="dxa"/>
              <w:left w:w="15" w:type="dxa"/>
              <w:bottom w:w="15" w:type="dxa"/>
              <w:right w:w="15" w:type="dxa"/>
            </w:tcMar>
            <w:vAlign w:val="center"/>
          </w:tcPr>
          <w:p w14:paraId="50129306"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7 (70.0%)</w:t>
            </w:r>
          </w:p>
        </w:tc>
        <w:tc>
          <w:tcPr>
            <w:tcW w:w="637" w:type="pct"/>
            <w:tcMar>
              <w:top w:w="15" w:type="dxa"/>
              <w:left w:w="15" w:type="dxa"/>
              <w:bottom w:w="15" w:type="dxa"/>
              <w:right w:w="15" w:type="dxa"/>
            </w:tcMar>
            <w:vAlign w:val="center"/>
          </w:tcPr>
          <w:p w14:paraId="739F345A"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0.114</w:t>
            </w:r>
          </w:p>
        </w:tc>
      </w:tr>
      <w:tr w:rsidR="00110061" w:rsidRPr="000850DA" w14:paraId="1E406A66" w14:textId="77777777" w:rsidTr="000055B3">
        <w:trPr>
          <w:trHeight w:val="289"/>
        </w:trPr>
        <w:tc>
          <w:tcPr>
            <w:tcW w:w="1990" w:type="pct"/>
            <w:tcMar>
              <w:top w:w="15" w:type="dxa"/>
              <w:left w:w="15" w:type="dxa"/>
              <w:bottom w:w="15" w:type="dxa"/>
              <w:right w:w="15" w:type="dxa"/>
            </w:tcMar>
            <w:vAlign w:val="center"/>
            <w:hideMark/>
          </w:tcPr>
          <w:p w14:paraId="00498158" w14:textId="77777777" w:rsidR="00AE7BE5" w:rsidRPr="000850DA" w:rsidRDefault="00AE7BE5" w:rsidP="00634A0D">
            <w:pPr>
              <w:spacing w:line="240" w:lineRule="auto"/>
              <w:ind w:firstLineChars="100" w:firstLine="240"/>
              <w:textAlignment w:val="center"/>
              <w:rPr>
                <w:rFonts w:cs="Times New Roman"/>
                <w:color w:val="000000"/>
              </w:rPr>
            </w:pPr>
            <w:r w:rsidRPr="000850DA">
              <w:rPr>
                <w:rFonts w:cs="Times New Roman"/>
                <w:color w:val="000000"/>
              </w:rPr>
              <w:t>Hepatic system</w:t>
            </w:r>
          </w:p>
        </w:tc>
        <w:tc>
          <w:tcPr>
            <w:tcW w:w="1187" w:type="pct"/>
            <w:tcMar>
              <w:top w:w="15" w:type="dxa"/>
              <w:left w:w="15" w:type="dxa"/>
              <w:bottom w:w="15" w:type="dxa"/>
              <w:right w:w="15" w:type="dxa"/>
            </w:tcMar>
            <w:vAlign w:val="center"/>
          </w:tcPr>
          <w:p w14:paraId="1EF3AACB"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8 (29.6%)</w:t>
            </w:r>
          </w:p>
        </w:tc>
        <w:tc>
          <w:tcPr>
            <w:tcW w:w="1186" w:type="pct"/>
            <w:tcMar>
              <w:top w:w="15" w:type="dxa"/>
              <w:left w:w="15" w:type="dxa"/>
              <w:bottom w:w="15" w:type="dxa"/>
              <w:right w:w="15" w:type="dxa"/>
            </w:tcMar>
            <w:vAlign w:val="center"/>
          </w:tcPr>
          <w:p w14:paraId="04EBEC77"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6 (60.0%)</w:t>
            </w:r>
          </w:p>
        </w:tc>
        <w:tc>
          <w:tcPr>
            <w:tcW w:w="637" w:type="pct"/>
            <w:tcMar>
              <w:top w:w="15" w:type="dxa"/>
              <w:left w:w="15" w:type="dxa"/>
              <w:bottom w:w="15" w:type="dxa"/>
              <w:right w:w="15" w:type="dxa"/>
            </w:tcMar>
            <w:vAlign w:val="center"/>
          </w:tcPr>
          <w:p w14:paraId="69DB545D"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0.091</w:t>
            </w:r>
          </w:p>
        </w:tc>
      </w:tr>
      <w:tr w:rsidR="00110061" w:rsidRPr="000850DA" w14:paraId="1409AE35" w14:textId="77777777" w:rsidTr="000055B3">
        <w:trPr>
          <w:trHeight w:val="289"/>
        </w:trPr>
        <w:tc>
          <w:tcPr>
            <w:tcW w:w="1990" w:type="pct"/>
            <w:tcMar>
              <w:top w:w="15" w:type="dxa"/>
              <w:left w:w="15" w:type="dxa"/>
              <w:bottom w:w="15" w:type="dxa"/>
              <w:right w:w="15" w:type="dxa"/>
            </w:tcMar>
            <w:vAlign w:val="center"/>
            <w:hideMark/>
          </w:tcPr>
          <w:p w14:paraId="283E9323" w14:textId="77777777" w:rsidR="00AE7BE5" w:rsidRPr="000850DA" w:rsidRDefault="00AE7BE5" w:rsidP="00634A0D">
            <w:pPr>
              <w:spacing w:line="240" w:lineRule="auto"/>
              <w:ind w:firstLineChars="100" w:firstLine="240"/>
              <w:textAlignment w:val="center"/>
              <w:rPr>
                <w:rFonts w:cs="Times New Roman"/>
                <w:color w:val="000000"/>
              </w:rPr>
            </w:pPr>
            <w:r w:rsidRPr="000850DA">
              <w:rPr>
                <w:rFonts w:cs="Times New Roman"/>
                <w:color w:val="000000"/>
              </w:rPr>
              <w:t>Renal system</w:t>
            </w:r>
          </w:p>
        </w:tc>
        <w:tc>
          <w:tcPr>
            <w:tcW w:w="1187" w:type="pct"/>
            <w:tcMar>
              <w:top w:w="15" w:type="dxa"/>
              <w:left w:w="15" w:type="dxa"/>
              <w:bottom w:w="15" w:type="dxa"/>
              <w:right w:w="15" w:type="dxa"/>
            </w:tcMar>
            <w:vAlign w:val="center"/>
          </w:tcPr>
          <w:p w14:paraId="039F7584" w14:textId="77777777" w:rsidR="00AE7BE5" w:rsidRPr="000850DA" w:rsidRDefault="00AE7BE5" w:rsidP="00634A0D">
            <w:pPr>
              <w:spacing w:line="240" w:lineRule="auto"/>
              <w:textAlignment w:val="center"/>
              <w:rPr>
                <w:rFonts w:cs="Times New Roman"/>
              </w:rPr>
            </w:pPr>
            <w:r w:rsidRPr="000850DA">
              <w:rPr>
                <w:rFonts w:cs="Times New Roman"/>
              </w:rPr>
              <w:t>13 (48.2%)</w:t>
            </w:r>
          </w:p>
        </w:tc>
        <w:tc>
          <w:tcPr>
            <w:tcW w:w="1186" w:type="pct"/>
            <w:tcMar>
              <w:top w:w="15" w:type="dxa"/>
              <w:left w:w="15" w:type="dxa"/>
              <w:bottom w:w="15" w:type="dxa"/>
              <w:right w:w="15" w:type="dxa"/>
            </w:tcMar>
            <w:vAlign w:val="center"/>
          </w:tcPr>
          <w:p w14:paraId="176C0D97" w14:textId="77777777" w:rsidR="00AE7BE5" w:rsidRPr="000850DA" w:rsidRDefault="00AE7BE5" w:rsidP="00634A0D">
            <w:pPr>
              <w:spacing w:line="240" w:lineRule="auto"/>
              <w:textAlignment w:val="center"/>
              <w:rPr>
                <w:rFonts w:cs="Times New Roman"/>
              </w:rPr>
            </w:pPr>
            <w:r w:rsidRPr="000850DA">
              <w:rPr>
                <w:rFonts w:cs="Times New Roman"/>
              </w:rPr>
              <w:t>7</w:t>
            </w:r>
            <w:r w:rsidRPr="000850DA">
              <w:rPr>
                <w:rFonts w:cs="Times New Roman"/>
                <w:color w:val="000000"/>
              </w:rPr>
              <w:t xml:space="preserve"> (70.0%)</w:t>
            </w:r>
          </w:p>
        </w:tc>
        <w:tc>
          <w:tcPr>
            <w:tcW w:w="637" w:type="pct"/>
            <w:tcMar>
              <w:top w:w="15" w:type="dxa"/>
              <w:left w:w="15" w:type="dxa"/>
              <w:bottom w:w="15" w:type="dxa"/>
              <w:right w:w="15" w:type="dxa"/>
            </w:tcMar>
            <w:vAlign w:val="center"/>
          </w:tcPr>
          <w:p w14:paraId="27521C05"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0.236</w:t>
            </w:r>
          </w:p>
        </w:tc>
      </w:tr>
      <w:tr w:rsidR="00110061" w:rsidRPr="000850DA" w14:paraId="12B783D3" w14:textId="77777777" w:rsidTr="000055B3">
        <w:trPr>
          <w:trHeight w:val="289"/>
        </w:trPr>
        <w:tc>
          <w:tcPr>
            <w:tcW w:w="1990" w:type="pct"/>
            <w:tcMar>
              <w:top w:w="15" w:type="dxa"/>
              <w:left w:w="15" w:type="dxa"/>
              <w:bottom w:w="15" w:type="dxa"/>
              <w:right w:w="15" w:type="dxa"/>
            </w:tcMar>
            <w:vAlign w:val="center"/>
            <w:hideMark/>
          </w:tcPr>
          <w:p w14:paraId="526CD82E" w14:textId="77777777" w:rsidR="00AE7BE5" w:rsidRPr="000850DA" w:rsidRDefault="00AE7BE5" w:rsidP="00634A0D">
            <w:pPr>
              <w:spacing w:line="240" w:lineRule="auto"/>
              <w:ind w:left="480" w:hangingChars="200" w:hanging="480"/>
              <w:textAlignment w:val="center"/>
              <w:rPr>
                <w:rFonts w:cs="Times New Roman"/>
                <w:color w:val="000000"/>
              </w:rPr>
            </w:pPr>
            <w:r w:rsidRPr="000850DA">
              <w:rPr>
                <w:rFonts w:cs="Times New Roman"/>
                <w:color w:val="000000"/>
              </w:rPr>
              <w:t>Pathogenic bacteria (n, %)</w:t>
            </w:r>
          </w:p>
        </w:tc>
        <w:tc>
          <w:tcPr>
            <w:tcW w:w="1187" w:type="pct"/>
            <w:tcMar>
              <w:top w:w="15" w:type="dxa"/>
              <w:left w:w="15" w:type="dxa"/>
              <w:bottom w:w="15" w:type="dxa"/>
              <w:right w:w="15" w:type="dxa"/>
            </w:tcMar>
            <w:vAlign w:val="center"/>
          </w:tcPr>
          <w:p w14:paraId="34AE4E01" w14:textId="77777777" w:rsidR="00AE7BE5" w:rsidRPr="000850DA" w:rsidRDefault="00AE7BE5" w:rsidP="00634A0D">
            <w:pPr>
              <w:spacing w:line="240" w:lineRule="auto"/>
              <w:textAlignment w:val="center"/>
              <w:rPr>
                <w:rFonts w:cs="Times New Roman"/>
                <w:color w:val="000000"/>
              </w:rPr>
            </w:pPr>
          </w:p>
        </w:tc>
        <w:tc>
          <w:tcPr>
            <w:tcW w:w="1186" w:type="pct"/>
            <w:tcMar>
              <w:top w:w="15" w:type="dxa"/>
              <w:left w:w="15" w:type="dxa"/>
              <w:bottom w:w="15" w:type="dxa"/>
              <w:right w:w="15" w:type="dxa"/>
            </w:tcMar>
            <w:vAlign w:val="center"/>
          </w:tcPr>
          <w:p w14:paraId="1DF3486B" w14:textId="77777777" w:rsidR="00AE7BE5" w:rsidRPr="000850DA" w:rsidRDefault="00AE7BE5" w:rsidP="00634A0D">
            <w:pPr>
              <w:spacing w:line="240" w:lineRule="auto"/>
              <w:textAlignment w:val="center"/>
              <w:rPr>
                <w:rFonts w:cs="Times New Roman"/>
                <w:color w:val="000000"/>
              </w:rPr>
            </w:pPr>
          </w:p>
        </w:tc>
        <w:tc>
          <w:tcPr>
            <w:tcW w:w="637" w:type="pct"/>
            <w:tcMar>
              <w:top w:w="15" w:type="dxa"/>
              <w:left w:w="15" w:type="dxa"/>
              <w:bottom w:w="15" w:type="dxa"/>
              <w:right w:w="15" w:type="dxa"/>
            </w:tcMar>
            <w:vAlign w:val="center"/>
          </w:tcPr>
          <w:p w14:paraId="192DF25C" w14:textId="77777777" w:rsidR="00AE7BE5" w:rsidRPr="000850DA" w:rsidRDefault="00AE7BE5" w:rsidP="00634A0D">
            <w:pPr>
              <w:spacing w:line="240" w:lineRule="auto"/>
              <w:textAlignment w:val="center"/>
              <w:rPr>
                <w:rFonts w:cs="Times New Roman"/>
                <w:color w:val="000000"/>
              </w:rPr>
            </w:pPr>
          </w:p>
        </w:tc>
      </w:tr>
      <w:tr w:rsidR="00110061" w:rsidRPr="000850DA" w14:paraId="6141C18F" w14:textId="77777777" w:rsidTr="000055B3">
        <w:trPr>
          <w:trHeight w:val="289"/>
        </w:trPr>
        <w:tc>
          <w:tcPr>
            <w:tcW w:w="1990" w:type="pct"/>
            <w:tcMar>
              <w:top w:w="15" w:type="dxa"/>
              <w:left w:w="15" w:type="dxa"/>
              <w:bottom w:w="15" w:type="dxa"/>
              <w:right w:w="15" w:type="dxa"/>
            </w:tcMar>
            <w:vAlign w:val="center"/>
            <w:hideMark/>
          </w:tcPr>
          <w:p w14:paraId="2548E54F" w14:textId="77777777" w:rsidR="00AE7BE5" w:rsidRPr="000850DA" w:rsidRDefault="00AE7BE5" w:rsidP="00634A0D">
            <w:pPr>
              <w:spacing w:line="240" w:lineRule="auto"/>
              <w:ind w:firstLineChars="100" w:firstLine="240"/>
              <w:textAlignment w:val="center"/>
              <w:rPr>
                <w:rFonts w:cs="Times New Roman"/>
                <w:color w:val="000000"/>
              </w:rPr>
            </w:pPr>
            <w:r w:rsidRPr="000850DA">
              <w:rPr>
                <w:rFonts w:cs="Times New Roman"/>
              </w:rPr>
              <w:t>Gram-positive bacteria</w:t>
            </w:r>
          </w:p>
        </w:tc>
        <w:tc>
          <w:tcPr>
            <w:tcW w:w="1187" w:type="pct"/>
            <w:tcMar>
              <w:top w:w="15" w:type="dxa"/>
              <w:left w:w="15" w:type="dxa"/>
              <w:bottom w:w="15" w:type="dxa"/>
              <w:right w:w="15" w:type="dxa"/>
            </w:tcMar>
            <w:vAlign w:val="center"/>
          </w:tcPr>
          <w:p w14:paraId="7891CF41"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6 (22.2%)</w:t>
            </w:r>
          </w:p>
        </w:tc>
        <w:tc>
          <w:tcPr>
            <w:tcW w:w="1186" w:type="pct"/>
            <w:tcMar>
              <w:top w:w="15" w:type="dxa"/>
              <w:left w:w="15" w:type="dxa"/>
              <w:bottom w:w="15" w:type="dxa"/>
              <w:right w:w="15" w:type="dxa"/>
            </w:tcMar>
            <w:vAlign w:val="center"/>
          </w:tcPr>
          <w:p w14:paraId="0CC8DC5D"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 (10.0%)</w:t>
            </w:r>
          </w:p>
        </w:tc>
        <w:tc>
          <w:tcPr>
            <w:tcW w:w="637" w:type="pct"/>
            <w:tcMar>
              <w:top w:w="15" w:type="dxa"/>
              <w:left w:w="15" w:type="dxa"/>
              <w:bottom w:w="15" w:type="dxa"/>
              <w:right w:w="15" w:type="dxa"/>
            </w:tcMar>
            <w:vAlign w:val="center"/>
          </w:tcPr>
          <w:p w14:paraId="10BA970F"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0.399</w:t>
            </w:r>
          </w:p>
        </w:tc>
      </w:tr>
      <w:tr w:rsidR="00110061" w:rsidRPr="000850DA" w14:paraId="34B165B9" w14:textId="77777777" w:rsidTr="000055B3">
        <w:trPr>
          <w:trHeight w:val="289"/>
        </w:trPr>
        <w:tc>
          <w:tcPr>
            <w:tcW w:w="1990" w:type="pct"/>
            <w:tcMar>
              <w:top w:w="15" w:type="dxa"/>
              <w:left w:w="15" w:type="dxa"/>
              <w:bottom w:w="15" w:type="dxa"/>
              <w:right w:w="15" w:type="dxa"/>
            </w:tcMar>
            <w:vAlign w:val="center"/>
            <w:hideMark/>
          </w:tcPr>
          <w:p w14:paraId="32AB841C" w14:textId="77777777" w:rsidR="00AE7BE5" w:rsidRPr="000850DA" w:rsidRDefault="00AE7BE5" w:rsidP="00634A0D">
            <w:pPr>
              <w:spacing w:line="240" w:lineRule="auto"/>
              <w:ind w:firstLineChars="100" w:firstLine="240"/>
              <w:textAlignment w:val="center"/>
              <w:rPr>
                <w:rFonts w:cs="Times New Roman"/>
                <w:color w:val="000000"/>
              </w:rPr>
            </w:pPr>
            <w:r w:rsidRPr="000850DA">
              <w:rPr>
                <w:rFonts w:cs="Times New Roman"/>
              </w:rPr>
              <w:t>Gram-negative bacteria</w:t>
            </w:r>
          </w:p>
        </w:tc>
        <w:tc>
          <w:tcPr>
            <w:tcW w:w="1187" w:type="pct"/>
            <w:tcMar>
              <w:top w:w="15" w:type="dxa"/>
              <w:left w:w="15" w:type="dxa"/>
              <w:bottom w:w="15" w:type="dxa"/>
              <w:right w:w="15" w:type="dxa"/>
            </w:tcMar>
            <w:vAlign w:val="center"/>
          </w:tcPr>
          <w:p w14:paraId="78F7F4FE"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8 (29.6%)</w:t>
            </w:r>
          </w:p>
        </w:tc>
        <w:tc>
          <w:tcPr>
            <w:tcW w:w="1186" w:type="pct"/>
            <w:tcMar>
              <w:top w:w="15" w:type="dxa"/>
              <w:left w:w="15" w:type="dxa"/>
              <w:bottom w:w="15" w:type="dxa"/>
              <w:right w:w="15" w:type="dxa"/>
            </w:tcMar>
            <w:vAlign w:val="center"/>
          </w:tcPr>
          <w:p w14:paraId="5B7EB7C5"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2 (20.0%)</w:t>
            </w:r>
          </w:p>
        </w:tc>
        <w:tc>
          <w:tcPr>
            <w:tcW w:w="637" w:type="pct"/>
            <w:tcMar>
              <w:top w:w="15" w:type="dxa"/>
              <w:left w:w="15" w:type="dxa"/>
              <w:bottom w:w="15" w:type="dxa"/>
              <w:right w:w="15" w:type="dxa"/>
            </w:tcMar>
            <w:vAlign w:val="center"/>
          </w:tcPr>
          <w:p w14:paraId="275CF861"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0.558</w:t>
            </w:r>
          </w:p>
        </w:tc>
      </w:tr>
      <w:tr w:rsidR="00110061" w:rsidRPr="000850DA" w14:paraId="1DCD1A30" w14:textId="77777777" w:rsidTr="000055B3">
        <w:trPr>
          <w:trHeight w:val="289"/>
        </w:trPr>
        <w:tc>
          <w:tcPr>
            <w:tcW w:w="1990" w:type="pct"/>
            <w:tcMar>
              <w:top w:w="15" w:type="dxa"/>
              <w:left w:w="15" w:type="dxa"/>
              <w:bottom w:w="15" w:type="dxa"/>
              <w:right w:w="15" w:type="dxa"/>
            </w:tcMar>
            <w:vAlign w:val="center"/>
            <w:hideMark/>
          </w:tcPr>
          <w:p w14:paraId="149844CC" w14:textId="77777777" w:rsidR="00AE7BE5" w:rsidRPr="000850DA" w:rsidRDefault="00AE7BE5" w:rsidP="00634A0D">
            <w:pPr>
              <w:spacing w:line="240" w:lineRule="auto"/>
              <w:ind w:firstLineChars="100" w:firstLine="240"/>
              <w:textAlignment w:val="center"/>
              <w:rPr>
                <w:rFonts w:cs="Times New Roman"/>
                <w:color w:val="000000"/>
              </w:rPr>
            </w:pPr>
            <w:r w:rsidRPr="000850DA">
              <w:rPr>
                <w:rFonts w:cs="Times New Roman"/>
              </w:rPr>
              <w:t>Fungi</w:t>
            </w:r>
          </w:p>
        </w:tc>
        <w:tc>
          <w:tcPr>
            <w:tcW w:w="1187" w:type="pct"/>
            <w:tcMar>
              <w:top w:w="15" w:type="dxa"/>
              <w:left w:w="15" w:type="dxa"/>
              <w:bottom w:w="15" w:type="dxa"/>
              <w:right w:w="15" w:type="dxa"/>
            </w:tcMar>
            <w:vAlign w:val="center"/>
          </w:tcPr>
          <w:p w14:paraId="309410BD"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2 (7.4%)</w:t>
            </w:r>
          </w:p>
        </w:tc>
        <w:tc>
          <w:tcPr>
            <w:tcW w:w="1186" w:type="pct"/>
            <w:tcMar>
              <w:top w:w="15" w:type="dxa"/>
              <w:left w:w="15" w:type="dxa"/>
              <w:bottom w:w="15" w:type="dxa"/>
              <w:right w:w="15" w:type="dxa"/>
            </w:tcMar>
            <w:vAlign w:val="center"/>
          </w:tcPr>
          <w:p w14:paraId="3B52F934"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3 (30.0%)</w:t>
            </w:r>
          </w:p>
        </w:tc>
        <w:tc>
          <w:tcPr>
            <w:tcW w:w="637" w:type="pct"/>
            <w:tcMar>
              <w:top w:w="15" w:type="dxa"/>
              <w:left w:w="15" w:type="dxa"/>
              <w:bottom w:w="15" w:type="dxa"/>
              <w:right w:w="15" w:type="dxa"/>
            </w:tcMar>
            <w:vAlign w:val="center"/>
          </w:tcPr>
          <w:p w14:paraId="792F11DC"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0.074</w:t>
            </w:r>
          </w:p>
        </w:tc>
      </w:tr>
      <w:tr w:rsidR="00110061" w:rsidRPr="000850DA" w14:paraId="339982A9" w14:textId="77777777" w:rsidTr="000055B3">
        <w:trPr>
          <w:trHeight w:val="289"/>
        </w:trPr>
        <w:tc>
          <w:tcPr>
            <w:tcW w:w="1990" w:type="pct"/>
            <w:tcBorders>
              <w:bottom w:val="single" w:sz="4" w:space="0" w:color="auto"/>
            </w:tcBorders>
            <w:tcMar>
              <w:top w:w="15" w:type="dxa"/>
              <w:left w:w="15" w:type="dxa"/>
              <w:bottom w:w="15" w:type="dxa"/>
              <w:right w:w="15" w:type="dxa"/>
            </w:tcMar>
            <w:vAlign w:val="center"/>
            <w:hideMark/>
          </w:tcPr>
          <w:p w14:paraId="60726140" w14:textId="77777777" w:rsidR="00AE7BE5" w:rsidRPr="000850DA" w:rsidRDefault="00AE7BE5" w:rsidP="00634A0D">
            <w:pPr>
              <w:spacing w:line="240" w:lineRule="auto"/>
              <w:ind w:left="480" w:hangingChars="200" w:hanging="480"/>
              <w:textAlignment w:val="center"/>
              <w:rPr>
                <w:rFonts w:cs="Times New Roman"/>
                <w:color w:val="000000"/>
              </w:rPr>
            </w:pPr>
            <w:r w:rsidRPr="000850DA">
              <w:rPr>
                <w:rFonts w:cs="Times New Roman"/>
              </w:rPr>
              <w:t>Positive blood culture (</w:t>
            </w:r>
            <w:r w:rsidRPr="000850DA">
              <w:rPr>
                <w:rFonts w:cs="Times New Roman"/>
                <w:color w:val="000000"/>
              </w:rPr>
              <w:t>n, %)</w:t>
            </w:r>
          </w:p>
        </w:tc>
        <w:tc>
          <w:tcPr>
            <w:tcW w:w="1187" w:type="pct"/>
            <w:tcBorders>
              <w:bottom w:val="single" w:sz="4" w:space="0" w:color="auto"/>
            </w:tcBorders>
            <w:tcMar>
              <w:top w:w="15" w:type="dxa"/>
              <w:left w:w="15" w:type="dxa"/>
              <w:bottom w:w="15" w:type="dxa"/>
              <w:right w:w="15" w:type="dxa"/>
            </w:tcMar>
            <w:vAlign w:val="center"/>
          </w:tcPr>
          <w:p w14:paraId="1F09CED6"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8 (29.6%)</w:t>
            </w:r>
          </w:p>
        </w:tc>
        <w:tc>
          <w:tcPr>
            <w:tcW w:w="1186" w:type="pct"/>
            <w:tcBorders>
              <w:bottom w:val="single" w:sz="4" w:space="0" w:color="auto"/>
            </w:tcBorders>
            <w:tcMar>
              <w:top w:w="15" w:type="dxa"/>
              <w:left w:w="15" w:type="dxa"/>
              <w:bottom w:w="15" w:type="dxa"/>
              <w:right w:w="15" w:type="dxa"/>
            </w:tcMar>
            <w:vAlign w:val="center"/>
          </w:tcPr>
          <w:p w14:paraId="5650A183"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1 (10.0%)</w:t>
            </w:r>
          </w:p>
        </w:tc>
        <w:tc>
          <w:tcPr>
            <w:tcW w:w="637" w:type="pct"/>
            <w:tcBorders>
              <w:bottom w:val="single" w:sz="4" w:space="0" w:color="auto"/>
            </w:tcBorders>
            <w:tcMar>
              <w:top w:w="15" w:type="dxa"/>
              <w:left w:w="15" w:type="dxa"/>
              <w:bottom w:w="15" w:type="dxa"/>
              <w:right w:w="15" w:type="dxa"/>
            </w:tcMar>
            <w:vAlign w:val="center"/>
          </w:tcPr>
          <w:p w14:paraId="6E50FA26" w14:textId="77777777" w:rsidR="00AE7BE5" w:rsidRPr="000850DA" w:rsidRDefault="00AE7BE5" w:rsidP="00634A0D">
            <w:pPr>
              <w:spacing w:line="240" w:lineRule="auto"/>
              <w:textAlignment w:val="center"/>
              <w:rPr>
                <w:rFonts w:cs="Times New Roman"/>
                <w:color w:val="000000"/>
              </w:rPr>
            </w:pPr>
            <w:r w:rsidRPr="000850DA">
              <w:rPr>
                <w:rFonts w:cs="Times New Roman"/>
                <w:color w:val="000000"/>
              </w:rPr>
              <w:t>0.217</w:t>
            </w:r>
          </w:p>
        </w:tc>
      </w:tr>
    </w:tbl>
    <w:p w14:paraId="3C39E300" w14:textId="73654AB5" w:rsidR="00AE7BE5" w:rsidRPr="000850DA" w:rsidRDefault="00CE3879" w:rsidP="00634A0D">
      <w:pPr>
        <w:spacing w:line="240" w:lineRule="auto"/>
        <w:rPr>
          <w:rFonts w:eastAsiaTheme="minorEastAsia" w:cs="Times New Roman"/>
        </w:rPr>
      </w:pPr>
      <w:r w:rsidRPr="000850DA">
        <w:rPr>
          <w:rFonts w:eastAsiaTheme="minorEastAsia"/>
          <w:b/>
          <w:bCs/>
        </w:rPr>
        <w:t xml:space="preserve">Abbreviations: </w:t>
      </w:r>
      <w:r w:rsidR="00F14713" w:rsidRPr="000850DA">
        <w:rPr>
          <w:rFonts w:eastAsiaTheme="minorEastAsia" w:cs="Times New Roman"/>
        </w:rPr>
        <w:t>PCT, procalcitonin;</w:t>
      </w:r>
      <w:r w:rsidR="00F14713" w:rsidRPr="000850DA">
        <w:rPr>
          <w:rFonts w:cs="Times New Roman"/>
          <w:color w:val="000000" w:themeColor="text1"/>
        </w:rPr>
        <w:t xml:space="preserve"> PRISM III</w:t>
      </w:r>
      <w:r w:rsidR="00F14713" w:rsidRPr="000850DA">
        <w:rPr>
          <w:rFonts w:eastAsiaTheme="minorEastAsia" w:cs="Times New Roman"/>
          <w:color w:val="000000" w:themeColor="text1"/>
        </w:rPr>
        <w:t>,</w:t>
      </w:r>
      <w:r w:rsidR="00634A0D" w:rsidRPr="000850DA">
        <w:rPr>
          <w:rFonts w:cs="Times New Roman"/>
          <w:color w:val="71777D"/>
          <w:shd w:val="clear" w:color="auto" w:fill="FFFFFF"/>
        </w:rPr>
        <w:t xml:space="preserve"> </w:t>
      </w:r>
      <w:r w:rsidR="00634A0D" w:rsidRPr="000850DA">
        <w:rPr>
          <w:rFonts w:eastAsiaTheme="minorEastAsia" w:cs="Times New Roman"/>
          <w:color w:val="000000" w:themeColor="text1"/>
        </w:rPr>
        <w:t>pediatric risk of mortality III.</w:t>
      </w:r>
    </w:p>
    <w:p w14:paraId="3AFB2F90" w14:textId="2ABED05A" w:rsidR="00634A0D" w:rsidRPr="000850DA" w:rsidRDefault="00634A0D">
      <w:pPr>
        <w:widowControl/>
        <w:spacing w:line="240" w:lineRule="auto"/>
        <w:jc w:val="left"/>
        <w:rPr>
          <w:rFonts w:eastAsiaTheme="minorEastAsia"/>
        </w:rPr>
      </w:pPr>
      <w:r w:rsidRPr="000850DA">
        <w:rPr>
          <w:rFonts w:eastAsiaTheme="minorEastAsia"/>
        </w:rPr>
        <w:br w:type="page"/>
      </w:r>
    </w:p>
    <w:p w14:paraId="51406116" w14:textId="234D3214" w:rsidR="00AE7BE5" w:rsidRPr="000850DA" w:rsidRDefault="00AE7BE5" w:rsidP="00634A0D">
      <w:pPr>
        <w:spacing w:line="240" w:lineRule="auto"/>
        <w:jc w:val="left"/>
        <w:rPr>
          <w:rFonts w:eastAsiaTheme="minorEastAsia"/>
          <w:b/>
          <w:bCs/>
        </w:rPr>
      </w:pPr>
      <w:proofErr w:type="spellStart"/>
      <w:r w:rsidRPr="000850DA">
        <w:rPr>
          <w:rFonts w:eastAsiaTheme="minorEastAsia" w:hint="eastAsia"/>
          <w:b/>
          <w:bCs/>
        </w:rPr>
        <w:lastRenderedPageBreak/>
        <w:t>eTable</w:t>
      </w:r>
      <w:proofErr w:type="spellEnd"/>
      <w:r w:rsidRPr="000850DA">
        <w:rPr>
          <w:rFonts w:eastAsiaTheme="minorEastAsia" w:hint="eastAsia"/>
          <w:b/>
          <w:bCs/>
        </w:rPr>
        <w:t xml:space="preserve"> 2 </w:t>
      </w:r>
      <w:r w:rsidRPr="000850DA">
        <w:rPr>
          <w:rFonts w:eastAsiaTheme="minorEastAsia"/>
        </w:rPr>
        <w:t>Identified differential metabolites of the three comparative groups in positive mode</w:t>
      </w:r>
    </w:p>
    <w:tbl>
      <w:tblPr>
        <w:tblW w:w="10065" w:type="dxa"/>
        <w:jc w:val="center"/>
        <w:tblLayout w:type="fixed"/>
        <w:tblLook w:val="04A0" w:firstRow="1" w:lastRow="0" w:firstColumn="1" w:lastColumn="0" w:noHBand="0" w:noVBand="1"/>
      </w:tblPr>
      <w:tblGrid>
        <w:gridCol w:w="3261"/>
        <w:gridCol w:w="850"/>
        <w:gridCol w:w="851"/>
        <w:gridCol w:w="850"/>
        <w:gridCol w:w="2908"/>
        <w:gridCol w:w="1345"/>
      </w:tblGrid>
      <w:tr w:rsidR="000055B3" w:rsidRPr="000850DA" w14:paraId="083F5CD8" w14:textId="2EA435B8" w:rsidTr="0061622C">
        <w:trPr>
          <w:jc w:val="center"/>
        </w:trPr>
        <w:tc>
          <w:tcPr>
            <w:tcW w:w="3261" w:type="dxa"/>
            <w:vMerge w:val="restart"/>
            <w:tcBorders>
              <w:top w:val="single" w:sz="4" w:space="0" w:color="auto"/>
            </w:tcBorders>
            <w:vAlign w:val="center"/>
          </w:tcPr>
          <w:p w14:paraId="7F14B72E"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Metabolites</w:t>
            </w:r>
          </w:p>
        </w:tc>
        <w:tc>
          <w:tcPr>
            <w:tcW w:w="850" w:type="dxa"/>
            <w:tcBorders>
              <w:top w:val="single" w:sz="4" w:space="0" w:color="auto"/>
              <w:bottom w:val="single" w:sz="4" w:space="0" w:color="auto"/>
            </w:tcBorders>
            <w:vAlign w:val="center"/>
          </w:tcPr>
          <w:p w14:paraId="58C45CB1"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SS-</w:t>
            </w:r>
          </w:p>
          <w:p w14:paraId="0024CB3F"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SIRS</w:t>
            </w:r>
          </w:p>
        </w:tc>
        <w:tc>
          <w:tcPr>
            <w:tcW w:w="851" w:type="dxa"/>
            <w:tcBorders>
              <w:top w:val="single" w:sz="4" w:space="0" w:color="auto"/>
              <w:bottom w:val="single" w:sz="4" w:space="0" w:color="auto"/>
            </w:tcBorders>
            <w:vAlign w:val="center"/>
          </w:tcPr>
          <w:p w14:paraId="1E95D44E"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SNS-</w:t>
            </w:r>
          </w:p>
          <w:p w14:paraId="74FE7273"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SIRS</w:t>
            </w:r>
          </w:p>
        </w:tc>
        <w:tc>
          <w:tcPr>
            <w:tcW w:w="850" w:type="dxa"/>
            <w:tcBorders>
              <w:top w:val="single" w:sz="4" w:space="0" w:color="auto"/>
              <w:bottom w:val="single" w:sz="4" w:space="0" w:color="auto"/>
            </w:tcBorders>
            <w:vAlign w:val="center"/>
          </w:tcPr>
          <w:p w14:paraId="6079A441"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SNS-</w:t>
            </w:r>
          </w:p>
          <w:p w14:paraId="359F42D5"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SS</w:t>
            </w:r>
          </w:p>
        </w:tc>
        <w:tc>
          <w:tcPr>
            <w:tcW w:w="2908" w:type="dxa"/>
            <w:vMerge w:val="restart"/>
            <w:tcBorders>
              <w:top w:val="single" w:sz="4" w:space="0" w:color="auto"/>
            </w:tcBorders>
            <w:vAlign w:val="center"/>
          </w:tcPr>
          <w:p w14:paraId="39D3AA77"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Pathways</w:t>
            </w:r>
          </w:p>
        </w:tc>
        <w:tc>
          <w:tcPr>
            <w:tcW w:w="1345" w:type="dxa"/>
            <w:vMerge w:val="restart"/>
            <w:tcBorders>
              <w:top w:val="single" w:sz="4" w:space="0" w:color="auto"/>
            </w:tcBorders>
            <w:vAlign w:val="center"/>
          </w:tcPr>
          <w:p w14:paraId="6CAD9E78" w14:textId="7829C61C" w:rsidR="000055B3" w:rsidRPr="000850DA" w:rsidRDefault="000055B3" w:rsidP="0061622C">
            <w:pPr>
              <w:spacing w:line="240" w:lineRule="auto"/>
              <w:rPr>
                <w:rFonts w:eastAsiaTheme="minorEastAsia" w:cs="Times New Roman"/>
                <w:b/>
                <w:bCs/>
              </w:rPr>
            </w:pPr>
            <w:r w:rsidRPr="000850DA">
              <w:rPr>
                <w:rFonts w:eastAsiaTheme="minorEastAsia" w:cs="Times New Roman" w:hint="eastAsia"/>
                <w:b/>
                <w:bCs/>
              </w:rPr>
              <w:t>KEGG ID</w:t>
            </w:r>
          </w:p>
        </w:tc>
      </w:tr>
      <w:tr w:rsidR="000055B3" w:rsidRPr="000850DA" w14:paraId="0ACC05BD" w14:textId="7AFE1496" w:rsidTr="0061622C">
        <w:trPr>
          <w:jc w:val="center"/>
        </w:trPr>
        <w:tc>
          <w:tcPr>
            <w:tcW w:w="3261" w:type="dxa"/>
            <w:vMerge/>
            <w:tcBorders>
              <w:bottom w:val="single" w:sz="4" w:space="0" w:color="auto"/>
            </w:tcBorders>
            <w:vAlign w:val="center"/>
          </w:tcPr>
          <w:p w14:paraId="01D97422" w14:textId="77777777" w:rsidR="000055B3" w:rsidRPr="000850DA" w:rsidRDefault="000055B3" w:rsidP="0061622C">
            <w:pPr>
              <w:spacing w:line="240" w:lineRule="auto"/>
              <w:rPr>
                <w:rFonts w:eastAsiaTheme="minorEastAsia" w:cs="Times New Roman"/>
                <w:b/>
                <w:bCs/>
              </w:rPr>
            </w:pPr>
          </w:p>
        </w:tc>
        <w:tc>
          <w:tcPr>
            <w:tcW w:w="850" w:type="dxa"/>
            <w:tcBorders>
              <w:top w:val="single" w:sz="4" w:space="0" w:color="auto"/>
              <w:bottom w:val="single" w:sz="4" w:space="0" w:color="auto"/>
            </w:tcBorders>
            <w:vAlign w:val="center"/>
          </w:tcPr>
          <w:p w14:paraId="0E48EF88"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FC</w:t>
            </w:r>
          </w:p>
        </w:tc>
        <w:tc>
          <w:tcPr>
            <w:tcW w:w="851" w:type="dxa"/>
            <w:tcBorders>
              <w:top w:val="single" w:sz="4" w:space="0" w:color="auto"/>
              <w:bottom w:val="single" w:sz="4" w:space="0" w:color="auto"/>
            </w:tcBorders>
            <w:vAlign w:val="center"/>
          </w:tcPr>
          <w:p w14:paraId="1F19EA36"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FC</w:t>
            </w:r>
          </w:p>
        </w:tc>
        <w:tc>
          <w:tcPr>
            <w:tcW w:w="850" w:type="dxa"/>
            <w:tcBorders>
              <w:top w:val="single" w:sz="4" w:space="0" w:color="auto"/>
              <w:bottom w:val="single" w:sz="4" w:space="0" w:color="auto"/>
            </w:tcBorders>
            <w:vAlign w:val="center"/>
          </w:tcPr>
          <w:p w14:paraId="403ACDC5" w14:textId="77777777" w:rsidR="000055B3" w:rsidRPr="000850DA" w:rsidRDefault="000055B3" w:rsidP="0061622C">
            <w:pPr>
              <w:spacing w:line="240" w:lineRule="auto"/>
              <w:rPr>
                <w:rFonts w:eastAsiaTheme="minorEastAsia" w:cs="Times New Roman"/>
                <w:b/>
                <w:bCs/>
              </w:rPr>
            </w:pPr>
            <w:r w:rsidRPr="000850DA">
              <w:rPr>
                <w:rFonts w:eastAsiaTheme="minorEastAsia" w:cs="Times New Roman"/>
                <w:b/>
                <w:bCs/>
              </w:rPr>
              <w:t>FC</w:t>
            </w:r>
          </w:p>
        </w:tc>
        <w:tc>
          <w:tcPr>
            <w:tcW w:w="2908" w:type="dxa"/>
            <w:vMerge/>
            <w:tcBorders>
              <w:bottom w:val="single" w:sz="4" w:space="0" w:color="auto"/>
            </w:tcBorders>
            <w:vAlign w:val="center"/>
          </w:tcPr>
          <w:p w14:paraId="2AF4C23A" w14:textId="77777777" w:rsidR="000055B3" w:rsidRPr="000850DA" w:rsidRDefault="000055B3" w:rsidP="0061622C">
            <w:pPr>
              <w:spacing w:line="240" w:lineRule="auto"/>
              <w:rPr>
                <w:rFonts w:eastAsiaTheme="minorEastAsia" w:cs="Times New Roman"/>
                <w:b/>
                <w:bCs/>
              </w:rPr>
            </w:pPr>
          </w:p>
        </w:tc>
        <w:tc>
          <w:tcPr>
            <w:tcW w:w="1345" w:type="dxa"/>
            <w:vMerge/>
            <w:tcBorders>
              <w:bottom w:val="single" w:sz="4" w:space="0" w:color="auto"/>
            </w:tcBorders>
            <w:vAlign w:val="center"/>
          </w:tcPr>
          <w:p w14:paraId="0068B5C8" w14:textId="77777777" w:rsidR="000055B3" w:rsidRPr="000850DA" w:rsidRDefault="000055B3" w:rsidP="0061622C">
            <w:pPr>
              <w:spacing w:line="240" w:lineRule="auto"/>
              <w:rPr>
                <w:rFonts w:eastAsiaTheme="minorEastAsia" w:cs="Times New Roman"/>
                <w:b/>
                <w:bCs/>
              </w:rPr>
            </w:pPr>
          </w:p>
        </w:tc>
      </w:tr>
      <w:tr w:rsidR="000055B3" w:rsidRPr="000850DA" w14:paraId="00AE14B4" w14:textId="2970CB56" w:rsidTr="0061622C">
        <w:trPr>
          <w:jc w:val="center"/>
        </w:trPr>
        <w:tc>
          <w:tcPr>
            <w:tcW w:w="3261" w:type="dxa"/>
            <w:tcBorders>
              <w:top w:val="single" w:sz="4" w:space="0" w:color="auto"/>
            </w:tcBorders>
            <w:vAlign w:val="center"/>
          </w:tcPr>
          <w:p w14:paraId="5004CEE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Anthranilic acid (Vitamin L1)</w:t>
            </w:r>
          </w:p>
        </w:tc>
        <w:tc>
          <w:tcPr>
            <w:tcW w:w="850" w:type="dxa"/>
            <w:tcBorders>
              <w:top w:val="single" w:sz="4" w:space="0" w:color="auto"/>
            </w:tcBorders>
            <w:vAlign w:val="center"/>
          </w:tcPr>
          <w:p w14:paraId="6381F99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tcBorders>
              <w:top w:val="single" w:sz="4" w:space="0" w:color="auto"/>
            </w:tcBorders>
            <w:vAlign w:val="center"/>
          </w:tcPr>
          <w:p w14:paraId="0C51CE6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tcBorders>
              <w:top w:val="single" w:sz="4" w:space="0" w:color="auto"/>
            </w:tcBorders>
            <w:vAlign w:val="center"/>
          </w:tcPr>
          <w:p w14:paraId="396750F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1.60</w:t>
            </w:r>
          </w:p>
        </w:tc>
        <w:tc>
          <w:tcPr>
            <w:tcW w:w="2908" w:type="dxa"/>
            <w:tcBorders>
              <w:top w:val="single" w:sz="4" w:space="0" w:color="auto"/>
            </w:tcBorders>
            <w:vAlign w:val="center"/>
          </w:tcPr>
          <w:p w14:paraId="4B9A7CAF"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tcBorders>
              <w:top w:val="single" w:sz="4" w:space="0" w:color="auto"/>
            </w:tcBorders>
            <w:vAlign w:val="center"/>
          </w:tcPr>
          <w:p w14:paraId="6735665A" w14:textId="628C0B14" w:rsidR="000055B3" w:rsidRPr="000850DA" w:rsidRDefault="00855BFF" w:rsidP="0061622C">
            <w:pPr>
              <w:spacing w:line="240" w:lineRule="auto"/>
              <w:rPr>
                <w:rFonts w:eastAsiaTheme="minorEastAsia" w:cs="Times New Roman"/>
              </w:rPr>
            </w:pPr>
            <w:r w:rsidRPr="000850DA">
              <w:rPr>
                <w:rFonts w:eastAsiaTheme="minorEastAsia" w:cs="Times New Roman"/>
              </w:rPr>
              <w:t>C00108</w:t>
            </w:r>
          </w:p>
        </w:tc>
      </w:tr>
      <w:tr w:rsidR="000055B3" w:rsidRPr="000850DA" w14:paraId="313A2F95" w14:textId="28053536" w:rsidTr="0061622C">
        <w:trPr>
          <w:jc w:val="center"/>
        </w:trPr>
        <w:tc>
          <w:tcPr>
            <w:tcW w:w="3261" w:type="dxa"/>
            <w:vAlign w:val="center"/>
          </w:tcPr>
          <w:p w14:paraId="315CE9A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Betaine</w:t>
            </w:r>
          </w:p>
        </w:tc>
        <w:tc>
          <w:tcPr>
            <w:tcW w:w="850" w:type="dxa"/>
            <w:vAlign w:val="center"/>
          </w:tcPr>
          <w:p w14:paraId="547D52B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66DBE72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1D4088A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1.39</w:t>
            </w:r>
          </w:p>
        </w:tc>
        <w:tc>
          <w:tcPr>
            <w:tcW w:w="2908" w:type="dxa"/>
            <w:vAlign w:val="center"/>
          </w:tcPr>
          <w:p w14:paraId="4FC770A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6AD715D5" w14:textId="23A12431" w:rsidR="000055B3" w:rsidRPr="000850DA" w:rsidRDefault="0090751E" w:rsidP="0061622C">
            <w:pPr>
              <w:spacing w:line="240" w:lineRule="auto"/>
              <w:rPr>
                <w:rFonts w:eastAsiaTheme="minorEastAsia" w:cs="Times New Roman"/>
              </w:rPr>
            </w:pPr>
            <w:r w:rsidRPr="000850DA">
              <w:rPr>
                <w:rFonts w:eastAsiaTheme="minorEastAsia" w:cs="Times New Roman" w:hint="eastAsia"/>
              </w:rPr>
              <w:t>C00318</w:t>
            </w:r>
          </w:p>
        </w:tc>
      </w:tr>
      <w:tr w:rsidR="000055B3" w:rsidRPr="000850DA" w14:paraId="207B4CEE" w14:textId="325BF26E" w:rsidTr="0061622C">
        <w:trPr>
          <w:jc w:val="center"/>
        </w:trPr>
        <w:tc>
          <w:tcPr>
            <w:tcW w:w="3261" w:type="dxa"/>
            <w:vAlign w:val="center"/>
          </w:tcPr>
          <w:p w14:paraId="20402A5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Creatine</w:t>
            </w:r>
          </w:p>
        </w:tc>
        <w:tc>
          <w:tcPr>
            <w:tcW w:w="850" w:type="dxa"/>
            <w:vAlign w:val="center"/>
          </w:tcPr>
          <w:p w14:paraId="58A522D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0.68</w:t>
            </w:r>
          </w:p>
        </w:tc>
        <w:tc>
          <w:tcPr>
            <w:tcW w:w="851" w:type="dxa"/>
            <w:vAlign w:val="center"/>
          </w:tcPr>
          <w:p w14:paraId="5235BC9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2.35</w:t>
            </w:r>
          </w:p>
        </w:tc>
        <w:tc>
          <w:tcPr>
            <w:tcW w:w="850" w:type="dxa"/>
            <w:vAlign w:val="center"/>
          </w:tcPr>
          <w:p w14:paraId="7291A335"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582F0FB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0C703444" w14:textId="24335882" w:rsidR="000055B3" w:rsidRPr="000850DA" w:rsidRDefault="00063E0D" w:rsidP="0061622C">
            <w:pPr>
              <w:spacing w:line="240" w:lineRule="auto"/>
              <w:rPr>
                <w:rFonts w:eastAsiaTheme="minorEastAsia" w:cs="Times New Roman"/>
              </w:rPr>
            </w:pPr>
            <w:r w:rsidRPr="000850DA">
              <w:rPr>
                <w:rFonts w:eastAsiaTheme="minorEastAsia" w:cs="Times New Roman" w:hint="eastAsia"/>
              </w:rPr>
              <w:t>C00300</w:t>
            </w:r>
          </w:p>
        </w:tc>
      </w:tr>
      <w:tr w:rsidR="000055B3" w:rsidRPr="000850DA" w14:paraId="53AA7188" w14:textId="7C456360" w:rsidTr="0061622C">
        <w:trPr>
          <w:jc w:val="center"/>
        </w:trPr>
        <w:tc>
          <w:tcPr>
            <w:tcW w:w="3261" w:type="dxa"/>
            <w:vAlign w:val="center"/>
          </w:tcPr>
          <w:p w14:paraId="354311B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Creatinine</w:t>
            </w:r>
          </w:p>
        </w:tc>
        <w:tc>
          <w:tcPr>
            <w:tcW w:w="850" w:type="dxa"/>
            <w:vAlign w:val="center"/>
          </w:tcPr>
          <w:p w14:paraId="690A74D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1.81</w:t>
            </w:r>
          </w:p>
        </w:tc>
        <w:tc>
          <w:tcPr>
            <w:tcW w:w="851" w:type="dxa"/>
            <w:vAlign w:val="center"/>
          </w:tcPr>
          <w:p w14:paraId="513219A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2.24</w:t>
            </w:r>
          </w:p>
        </w:tc>
        <w:tc>
          <w:tcPr>
            <w:tcW w:w="850" w:type="dxa"/>
            <w:vAlign w:val="center"/>
          </w:tcPr>
          <w:p w14:paraId="0A0EED91"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79BC9B9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0D02513D" w14:textId="6E17AF41" w:rsidR="000055B3" w:rsidRPr="000850DA" w:rsidRDefault="00063E0D" w:rsidP="0061622C">
            <w:pPr>
              <w:spacing w:line="240" w:lineRule="auto"/>
              <w:rPr>
                <w:rFonts w:eastAsiaTheme="minorEastAsia" w:cs="Times New Roman"/>
              </w:rPr>
            </w:pPr>
            <w:r w:rsidRPr="000850DA">
              <w:rPr>
                <w:rFonts w:eastAsiaTheme="minorEastAsia" w:cs="Times New Roman" w:hint="eastAsia"/>
              </w:rPr>
              <w:t>C00791</w:t>
            </w:r>
          </w:p>
        </w:tc>
      </w:tr>
      <w:tr w:rsidR="000055B3" w:rsidRPr="000850DA" w14:paraId="2AB9F786" w14:textId="052E0FF5" w:rsidTr="0061622C">
        <w:trPr>
          <w:jc w:val="center"/>
        </w:trPr>
        <w:tc>
          <w:tcPr>
            <w:tcW w:w="3261" w:type="dxa"/>
            <w:vAlign w:val="center"/>
          </w:tcPr>
          <w:p w14:paraId="4CD261B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Dopamine</w:t>
            </w:r>
          </w:p>
        </w:tc>
        <w:tc>
          <w:tcPr>
            <w:tcW w:w="850" w:type="dxa"/>
            <w:vAlign w:val="center"/>
          </w:tcPr>
          <w:p w14:paraId="3DFBBE9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7DCB6C2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1.86</w:t>
            </w:r>
          </w:p>
        </w:tc>
        <w:tc>
          <w:tcPr>
            <w:tcW w:w="850" w:type="dxa"/>
            <w:vAlign w:val="center"/>
          </w:tcPr>
          <w:p w14:paraId="000161C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5010AC9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5326EFB0" w14:textId="44111063" w:rsidR="000055B3" w:rsidRPr="000850DA" w:rsidRDefault="00063E0D" w:rsidP="0061622C">
            <w:pPr>
              <w:spacing w:line="240" w:lineRule="auto"/>
              <w:rPr>
                <w:rFonts w:eastAsiaTheme="minorEastAsia" w:cs="Times New Roman"/>
              </w:rPr>
            </w:pPr>
            <w:r w:rsidRPr="000850DA">
              <w:rPr>
                <w:rFonts w:eastAsiaTheme="minorEastAsia" w:cs="Times New Roman" w:hint="eastAsia"/>
              </w:rPr>
              <w:t>C</w:t>
            </w:r>
            <w:r w:rsidR="00C25F28" w:rsidRPr="000850DA">
              <w:rPr>
                <w:rFonts w:eastAsiaTheme="minorEastAsia" w:cs="Times New Roman" w:hint="eastAsia"/>
              </w:rPr>
              <w:t>03758</w:t>
            </w:r>
          </w:p>
        </w:tc>
      </w:tr>
      <w:tr w:rsidR="000055B3" w:rsidRPr="000850DA" w14:paraId="0EB43AE5" w14:textId="44C8C846" w:rsidTr="0061622C">
        <w:trPr>
          <w:jc w:val="center"/>
        </w:trPr>
        <w:tc>
          <w:tcPr>
            <w:tcW w:w="3261" w:type="dxa"/>
            <w:vAlign w:val="center"/>
          </w:tcPr>
          <w:p w14:paraId="3B5988C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D-Proline</w:t>
            </w:r>
          </w:p>
        </w:tc>
        <w:tc>
          <w:tcPr>
            <w:tcW w:w="850" w:type="dxa"/>
            <w:vAlign w:val="center"/>
          </w:tcPr>
          <w:p w14:paraId="74E0FD80"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766A151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5EB78A9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1.51</w:t>
            </w:r>
          </w:p>
        </w:tc>
        <w:tc>
          <w:tcPr>
            <w:tcW w:w="2908" w:type="dxa"/>
            <w:vAlign w:val="center"/>
          </w:tcPr>
          <w:p w14:paraId="424C931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65B80BC8" w14:textId="0861174D" w:rsidR="000055B3" w:rsidRPr="000850DA" w:rsidRDefault="00C25F28" w:rsidP="0061622C">
            <w:pPr>
              <w:spacing w:line="240" w:lineRule="auto"/>
              <w:rPr>
                <w:rFonts w:eastAsiaTheme="minorEastAsia" w:cs="Times New Roman"/>
              </w:rPr>
            </w:pPr>
            <w:r w:rsidRPr="000850DA">
              <w:rPr>
                <w:rFonts w:eastAsiaTheme="minorEastAsia" w:cs="Times New Roman" w:hint="eastAsia"/>
              </w:rPr>
              <w:t>C00763</w:t>
            </w:r>
          </w:p>
        </w:tc>
      </w:tr>
      <w:tr w:rsidR="000055B3" w:rsidRPr="000850DA" w14:paraId="41BD7FDA" w14:textId="5ADA71CF" w:rsidTr="0061622C">
        <w:trPr>
          <w:jc w:val="center"/>
        </w:trPr>
        <w:tc>
          <w:tcPr>
            <w:tcW w:w="3261" w:type="dxa"/>
            <w:vAlign w:val="center"/>
          </w:tcPr>
          <w:p w14:paraId="33440CA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Glycine</w:t>
            </w:r>
          </w:p>
        </w:tc>
        <w:tc>
          <w:tcPr>
            <w:tcW w:w="850" w:type="dxa"/>
            <w:vAlign w:val="center"/>
          </w:tcPr>
          <w:p w14:paraId="54A5411F"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62C02AC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013649C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1.51</w:t>
            </w:r>
          </w:p>
        </w:tc>
        <w:tc>
          <w:tcPr>
            <w:tcW w:w="2908" w:type="dxa"/>
            <w:vAlign w:val="center"/>
          </w:tcPr>
          <w:p w14:paraId="1AB8E1D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094CF7A8" w14:textId="341E16AF" w:rsidR="000055B3" w:rsidRPr="000850DA" w:rsidRDefault="00F61105" w:rsidP="0061622C">
            <w:pPr>
              <w:spacing w:line="240" w:lineRule="auto"/>
              <w:rPr>
                <w:rFonts w:eastAsiaTheme="minorEastAsia" w:cs="Times New Roman"/>
              </w:rPr>
            </w:pPr>
            <w:r w:rsidRPr="000850DA">
              <w:rPr>
                <w:rFonts w:eastAsiaTheme="minorEastAsia" w:cs="Times New Roman" w:hint="eastAsia"/>
              </w:rPr>
              <w:t>C00037</w:t>
            </w:r>
          </w:p>
        </w:tc>
      </w:tr>
      <w:tr w:rsidR="000055B3" w:rsidRPr="000850DA" w14:paraId="6BDCD08F" w14:textId="2088373A" w:rsidTr="0061622C">
        <w:trPr>
          <w:jc w:val="center"/>
        </w:trPr>
        <w:tc>
          <w:tcPr>
            <w:tcW w:w="3261" w:type="dxa"/>
            <w:vAlign w:val="center"/>
          </w:tcPr>
          <w:p w14:paraId="1DDEA5C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L-Alanine</w:t>
            </w:r>
          </w:p>
        </w:tc>
        <w:tc>
          <w:tcPr>
            <w:tcW w:w="850" w:type="dxa"/>
            <w:vAlign w:val="center"/>
          </w:tcPr>
          <w:p w14:paraId="018986E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1409F33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2.34</w:t>
            </w:r>
          </w:p>
        </w:tc>
        <w:tc>
          <w:tcPr>
            <w:tcW w:w="850" w:type="dxa"/>
            <w:vAlign w:val="center"/>
          </w:tcPr>
          <w:p w14:paraId="5CC4328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DD3A7E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24BB6F22" w14:textId="5A392E45" w:rsidR="000055B3" w:rsidRPr="000850DA" w:rsidRDefault="00CD2973" w:rsidP="0061622C">
            <w:pPr>
              <w:spacing w:line="240" w:lineRule="auto"/>
              <w:rPr>
                <w:rFonts w:eastAsiaTheme="minorEastAsia" w:cs="Times New Roman"/>
              </w:rPr>
            </w:pPr>
            <w:r w:rsidRPr="000850DA">
              <w:rPr>
                <w:rFonts w:eastAsiaTheme="minorEastAsia" w:cs="Times New Roman" w:hint="eastAsia"/>
              </w:rPr>
              <w:t>C00041</w:t>
            </w:r>
          </w:p>
        </w:tc>
      </w:tr>
      <w:tr w:rsidR="000055B3" w:rsidRPr="000850DA" w14:paraId="0F81D4B8" w14:textId="6EE0A382" w:rsidTr="0061622C">
        <w:trPr>
          <w:jc w:val="center"/>
        </w:trPr>
        <w:tc>
          <w:tcPr>
            <w:tcW w:w="3261" w:type="dxa"/>
            <w:vAlign w:val="center"/>
          </w:tcPr>
          <w:p w14:paraId="1139EC2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L-Glutamate</w:t>
            </w:r>
          </w:p>
        </w:tc>
        <w:tc>
          <w:tcPr>
            <w:tcW w:w="850" w:type="dxa"/>
            <w:vAlign w:val="center"/>
          </w:tcPr>
          <w:p w14:paraId="76260EF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2D187E9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1.57</w:t>
            </w:r>
          </w:p>
        </w:tc>
        <w:tc>
          <w:tcPr>
            <w:tcW w:w="850" w:type="dxa"/>
            <w:vAlign w:val="center"/>
          </w:tcPr>
          <w:p w14:paraId="1FBDE3B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1.24</w:t>
            </w:r>
          </w:p>
        </w:tc>
        <w:tc>
          <w:tcPr>
            <w:tcW w:w="2908" w:type="dxa"/>
            <w:vAlign w:val="center"/>
          </w:tcPr>
          <w:p w14:paraId="52D6A4E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3AEDA0BF" w14:textId="36C76931" w:rsidR="000055B3" w:rsidRPr="000850DA" w:rsidRDefault="00CD2973" w:rsidP="0061622C">
            <w:pPr>
              <w:spacing w:line="240" w:lineRule="auto"/>
              <w:rPr>
                <w:rFonts w:eastAsiaTheme="minorEastAsia" w:cs="Times New Roman"/>
              </w:rPr>
            </w:pPr>
            <w:r w:rsidRPr="000850DA">
              <w:rPr>
                <w:rFonts w:eastAsiaTheme="minorEastAsia" w:cs="Times New Roman"/>
              </w:rPr>
              <w:t>C00025</w:t>
            </w:r>
          </w:p>
        </w:tc>
      </w:tr>
      <w:tr w:rsidR="000055B3" w:rsidRPr="000850DA" w14:paraId="729AE8E0" w14:textId="4CCE21C9" w:rsidTr="0061622C">
        <w:trPr>
          <w:jc w:val="center"/>
        </w:trPr>
        <w:tc>
          <w:tcPr>
            <w:tcW w:w="3261" w:type="dxa"/>
            <w:vAlign w:val="center"/>
          </w:tcPr>
          <w:p w14:paraId="02CA484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L-Histidine</w:t>
            </w:r>
          </w:p>
        </w:tc>
        <w:tc>
          <w:tcPr>
            <w:tcW w:w="850" w:type="dxa"/>
            <w:vAlign w:val="center"/>
          </w:tcPr>
          <w:p w14:paraId="254460F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0.50</w:t>
            </w:r>
          </w:p>
        </w:tc>
        <w:tc>
          <w:tcPr>
            <w:tcW w:w="851" w:type="dxa"/>
            <w:vAlign w:val="center"/>
          </w:tcPr>
          <w:p w14:paraId="4B48463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0.44</w:t>
            </w:r>
          </w:p>
        </w:tc>
        <w:tc>
          <w:tcPr>
            <w:tcW w:w="850" w:type="dxa"/>
            <w:vAlign w:val="center"/>
          </w:tcPr>
          <w:p w14:paraId="2EBA60B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3F1DBAF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1AF301A0" w14:textId="4E0FD17D" w:rsidR="000055B3" w:rsidRPr="000850DA" w:rsidRDefault="00CD2973" w:rsidP="0061622C">
            <w:pPr>
              <w:spacing w:line="240" w:lineRule="auto"/>
              <w:rPr>
                <w:rFonts w:eastAsiaTheme="minorEastAsia" w:cs="Times New Roman"/>
              </w:rPr>
            </w:pPr>
            <w:r w:rsidRPr="000850DA">
              <w:rPr>
                <w:rFonts w:eastAsiaTheme="minorEastAsia" w:cs="Times New Roman"/>
              </w:rPr>
              <w:t>C00135</w:t>
            </w:r>
          </w:p>
        </w:tc>
      </w:tr>
      <w:tr w:rsidR="000055B3" w:rsidRPr="000850DA" w14:paraId="11449EF1" w14:textId="272118BC" w:rsidTr="0061622C">
        <w:trPr>
          <w:jc w:val="center"/>
        </w:trPr>
        <w:tc>
          <w:tcPr>
            <w:tcW w:w="3261" w:type="dxa"/>
            <w:vAlign w:val="center"/>
          </w:tcPr>
          <w:p w14:paraId="3BE4D45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L-Isoleucine</w:t>
            </w:r>
          </w:p>
        </w:tc>
        <w:tc>
          <w:tcPr>
            <w:tcW w:w="850" w:type="dxa"/>
            <w:vAlign w:val="center"/>
          </w:tcPr>
          <w:p w14:paraId="54B29D90"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6353919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1805973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1.31</w:t>
            </w:r>
          </w:p>
        </w:tc>
        <w:tc>
          <w:tcPr>
            <w:tcW w:w="2908" w:type="dxa"/>
            <w:vAlign w:val="center"/>
          </w:tcPr>
          <w:p w14:paraId="2985E8E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3BBEA03D" w14:textId="26A81B67" w:rsidR="000055B3" w:rsidRPr="000850DA" w:rsidRDefault="002455DF" w:rsidP="0061622C">
            <w:pPr>
              <w:spacing w:line="240" w:lineRule="auto"/>
              <w:rPr>
                <w:rFonts w:eastAsiaTheme="minorEastAsia" w:cs="Times New Roman"/>
              </w:rPr>
            </w:pPr>
            <w:r w:rsidRPr="000850DA">
              <w:rPr>
                <w:rFonts w:eastAsiaTheme="minorEastAsia" w:cs="Times New Roman"/>
              </w:rPr>
              <w:t>C00407</w:t>
            </w:r>
          </w:p>
        </w:tc>
      </w:tr>
      <w:tr w:rsidR="000055B3" w:rsidRPr="000850DA" w14:paraId="59A09E8A" w14:textId="3C5A4961" w:rsidTr="0061622C">
        <w:trPr>
          <w:jc w:val="center"/>
        </w:trPr>
        <w:tc>
          <w:tcPr>
            <w:tcW w:w="3261" w:type="dxa"/>
            <w:vAlign w:val="center"/>
          </w:tcPr>
          <w:p w14:paraId="10923FC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L-Lysine</w:t>
            </w:r>
          </w:p>
        </w:tc>
        <w:tc>
          <w:tcPr>
            <w:tcW w:w="850" w:type="dxa"/>
            <w:vAlign w:val="center"/>
          </w:tcPr>
          <w:p w14:paraId="55A62A15"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62A9519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14AB6E7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1.26</w:t>
            </w:r>
          </w:p>
        </w:tc>
        <w:tc>
          <w:tcPr>
            <w:tcW w:w="2908" w:type="dxa"/>
            <w:vAlign w:val="center"/>
          </w:tcPr>
          <w:p w14:paraId="0FB97A9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6EBDF20A" w14:textId="6317D477" w:rsidR="000055B3" w:rsidRPr="000850DA" w:rsidRDefault="002455DF" w:rsidP="0061622C">
            <w:pPr>
              <w:spacing w:line="240" w:lineRule="auto"/>
              <w:rPr>
                <w:rFonts w:eastAsiaTheme="minorEastAsia" w:cs="Times New Roman"/>
              </w:rPr>
            </w:pPr>
            <w:r w:rsidRPr="000850DA">
              <w:rPr>
                <w:rFonts w:eastAsiaTheme="minorEastAsia" w:cs="Times New Roman" w:hint="eastAsia"/>
              </w:rPr>
              <w:t>C00047</w:t>
            </w:r>
          </w:p>
        </w:tc>
      </w:tr>
      <w:tr w:rsidR="000055B3" w:rsidRPr="000850DA" w14:paraId="57D442EA" w14:textId="4C56EED4" w:rsidTr="0061622C">
        <w:trPr>
          <w:jc w:val="center"/>
        </w:trPr>
        <w:tc>
          <w:tcPr>
            <w:tcW w:w="3261" w:type="dxa"/>
            <w:vAlign w:val="center"/>
          </w:tcPr>
          <w:p w14:paraId="01EEEA0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L-Phenylalanine</w:t>
            </w:r>
          </w:p>
        </w:tc>
        <w:tc>
          <w:tcPr>
            <w:tcW w:w="850" w:type="dxa"/>
            <w:vAlign w:val="center"/>
          </w:tcPr>
          <w:p w14:paraId="4593E1F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55514E2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1.64</w:t>
            </w:r>
          </w:p>
        </w:tc>
        <w:tc>
          <w:tcPr>
            <w:tcW w:w="850" w:type="dxa"/>
            <w:vAlign w:val="center"/>
          </w:tcPr>
          <w:p w14:paraId="2B30E5B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0DE9A7B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3E1520FE" w14:textId="1796F395" w:rsidR="000055B3" w:rsidRPr="000850DA" w:rsidRDefault="00F242BD" w:rsidP="0061622C">
            <w:pPr>
              <w:spacing w:line="240" w:lineRule="auto"/>
              <w:rPr>
                <w:rFonts w:eastAsiaTheme="minorEastAsia" w:cs="Times New Roman"/>
              </w:rPr>
            </w:pPr>
            <w:r w:rsidRPr="000850DA">
              <w:rPr>
                <w:rFonts w:eastAsiaTheme="minorEastAsia" w:cs="Times New Roman"/>
              </w:rPr>
              <w:t>C00079</w:t>
            </w:r>
          </w:p>
        </w:tc>
      </w:tr>
      <w:tr w:rsidR="000055B3" w:rsidRPr="000850DA" w14:paraId="3E77A175" w14:textId="0FAD7CBB" w:rsidTr="0061622C">
        <w:trPr>
          <w:jc w:val="center"/>
        </w:trPr>
        <w:tc>
          <w:tcPr>
            <w:tcW w:w="3261" w:type="dxa"/>
            <w:vAlign w:val="center"/>
          </w:tcPr>
          <w:p w14:paraId="0517FBA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L-Proline</w:t>
            </w:r>
          </w:p>
        </w:tc>
        <w:tc>
          <w:tcPr>
            <w:tcW w:w="850" w:type="dxa"/>
            <w:vAlign w:val="center"/>
          </w:tcPr>
          <w:p w14:paraId="041D0331"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68102F0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2.15</w:t>
            </w:r>
          </w:p>
        </w:tc>
        <w:tc>
          <w:tcPr>
            <w:tcW w:w="850" w:type="dxa"/>
            <w:vAlign w:val="center"/>
          </w:tcPr>
          <w:p w14:paraId="4FE8797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1.82</w:t>
            </w:r>
          </w:p>
        </w:tc>
        <w:tc>
          <w:tcPr>
            <w:tcW w:w="2908" w:type="dxa"/>
            <w:vAlign w:val="center"/>
          </w:tcPr>
          <w:p w14:paraId="2489330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0D96BC46" w14:textId="13E444BC" w:rsidR="000055B3" w:rsidRPr="000850DA" w:rsidRDefault="00F242BD" w:rsidP="0061622C">
            <w:pPr>
              <w:spacing w:line="240" w:lineRule="auto"/>
              <w:rPr>
                <w:rFonts w:eastAsiaTheme="minorEastAsia" w:cs="Times New Roman"/>
              </w:rPr>
            </w:pPr>
            <w:r w:rsidRPr="000850DA">
              <w:rPr>
                <w:rFonts w:eastAsiaTheme="minorEastAsia" w:cs="Times New Roman"/>
              </w:rPr>
              <w:t>C00148</w:t>
            </w:r>
          </w:p>
        </w:tc>
      </w:tr>
      <w:tr w:rsidR="000055B3" w:rsidRPr="000850DA" w14:paraId="4DE26C0E" w14:textId="7385E5E9" w:rsidTr="0061622C">
        <w:trPr>
          <w:jc w:val="center"/>
        </w:trPr>
        <w:tc>
          <w:tcPr>
            <w:tcW w:w="3261" w:type="dxa"/>
            <w:vAlign w:val="center"/>
          </w:tcPr>
          <w:p w14:paraId="0E79E06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w:t>
            </w:r>
            <w:proofErr w:type="spellStart"/>
            <w:r w:rsidRPr="000850DA">
              <w:rPr>
                <w:rFonts w:eastAsiaTheme="minorEastAsia" w:cs="Times New Roman"/>
              </w:rPr>
              <w:t>Saccharopine</w:t>
            </w:r>
            <w:proofErr w:type="spellEnd"/>
          </w:p>
        </w:tc>
        <w:tc>
          <w:tcPr>
            <w:tcW w:w="850" w:type="dxa"/>
            <w:vAlign w:val="center"/>
          </w:tcPr>
          <w:p w14:paraId="74A242D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0FEAAB7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3.49</w:t>
            </w:r>
          </w:p>
        </w:tc>
        <w:tc>
          <w:tcPr>
            <w:tcW w:w="850" w:type="dxa"/>
            <w:vAlign w:val="center"/>
          </w:tcPr>
          <w:p w14:paraId="38BFBB3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2.21</w:t>
            </w:r>
          </w:p>
        </w:tc>
        <w:tc>
          <w:tcPr>
            <w:tcW w:w="2908" w:type="dxa"/>
            <w:vAlign w:val="center"/>
          </w:tcPr>
          <w:p w14:paraId="2E7EB49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72D21566" w14:textId="25F31671" w:rsidR="000055B3" w:rsidRPr="000850DA" w:rsidRDefault="00F242BD" w:rsidP="0061622C">
            <w:pPr>
              <w:spacing w:line="240" w:lineRule="auto"/>
              <w:rPr>
                <w:rFonts w:eastAsiaTheme="minorEastAsia" w:cs="Times New Roman"/>
              </w:rPr>
            </w:pPr>
            <w:r w:rsidRPr="000850DA">
              <w:rPr>
                <w:rFonts w:eastAsiaTheme="minorEastAsia" w:cs="Times New Roman"/>
              </w:rPr>
              <w:t>C00449</w:t>
            </w:r>
          </w:p>
        </w:tc>
      </w:tr>
      <w:tr w:rsidR="000055B3" w:rsidRPr="000850DA" w14:paraId="3D08168E" w14:textId="2C8AA72A" w:rsidTr="0061622C">
        <w:trPr>
          <w:jc w:val="center"/>
        </w:trPr>
        <w:tc>
          <w:tcPr>
            <w:tcW w:w="3261" w:type="dxa"/>
            <w:vAlign w:val="center"/>
          </w:tcPr>
          <w:p w14:paraId="02582A3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L-Threonine</w:t>
            </w:r>
          </w:p>
        </w:tc>
        <w:tc>
          <w:tcPr>
            <w:tcW w:w="850" w:type="dxa"/>
            <w:vAlign w:val="center"/>
          </w:tcPr>
          <w:p w14:paraId="0B57F3E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48354ED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401EA87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1.36</w:t>
            </w:r>
          </w:p>
        </w:tc>
        <w:tc>
          <w:tcPr>
            <w:tcW w:w="2908" w:type="dxa"/>
            <w:vAlign w:val="center"/>
          </w:tcPr>
          <w:p w14:paraId="7331153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5E3BC5B8" w14:textId="51D1A6BA" w:rsidR="000055B3" w:rsidRPr="000850DA" w:rsidRDefault="006F6FEB" w:rsidP="0061622C">
            <w:pPr>
              <w:spacing w:line="240" w:lineRule="auto"/>
              <w:rPr>
                <w:rFonts w:eastAsiaTheme="minorEastAsia" w:cs="Times New Roman"/>
              </w:rPr>
            </w:pPr>
            <w:r w:rsidRPr="000850DA">
              <w:rPr>
                <w:rFonts w:eastAsiaTheme="minorEastAsia" w:cs="Times New Roman"/>
              </w:rPr>
              <w:t>C00188</w:t>
            </w:r>
          </w:p>
        </w:tc>
      </w:tr>
      <w:tr w:rsidR="000055B3" w:rsidRPr="000850DA" w14:paraId="52A4DC32" w14:textId="0FBEDFF2" w:rsidTr="0061622C">
        <w:trPr>
          <w:jc w:val="center"/>
        </w:trPr>
        <w:tc>
          <w:tcPr>
            <w:tcW w:w="3261" w:type="dxa"/>
            <w:vAlign w:val="center"/>
          </w:tcPr>
          <w:p w14:paraId="7A56205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L-Tyrosine</w:t>
            </w:r>
          </w:p>
        </w:tc>
        <w:tc>
          <w:tcPr>
            <w:tcW w:w="850" w:type="dxa"/>
            <w:vAlign w:val="center"/>
          </w:tcPr>
          <w:p w14:paraId="5522E8B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3746A94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2CD982E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1.43</w:t>
            </w:r>
          </w:p>
        </w:tc>
        <w:tc>
          <w:tcPr>
            <w:tcW w:w="2908" w:type="dxa"/>
            <w:vAlign w:val="center"/>
          </w:tcPr>
          <w:p w14:paraId="2F7FBDE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28A1F273" w14:textId="629DDCB6" w:rsidR="000055B3" w:rsidRPr="000850DA" w:rsidRDefault="006F6FEB" w:rsidP="0061622C">
            <w:pPr>
              <w:spacing w:line="240" w:lineRule="auto"/>
              <w:rPr>
                <w:rFonts w:eastAsiaTheme="minorEastAsia" w:cs="Times New Roman"/>
              </w:rPr>
            </w:pPr>
            <w:r w:rsidRPr="000850DA">
              <w:rPr>
                <w:rFonts w:eastAsiaTheme="minorEastAsia" w:cs="Times New Roman"/>
              </w:rPr>
              <w:t>C00082</w:t>
            </w:r>
          </w:p>
        </w:tc>
      </w:tr>
      <w:tr w:rsidR="000055B3" w:rsidRPr="000850DA" w14:paraId="1A300DDE" w14:textId="5FC80A0F" w:rsidTr="0061622C">
        <w:trPr>
          <w:jc w:val="center"/>
        </w:trPr>
        <w:tc>
          <w:tcPr>
            <w:tcW w:w="3261" w:type="dxa"/>
            <w:vAlign w:val="center"/>
          </w:tcPr>
          <w:p w14:paraId="19A05A7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N-</w:t>
            </w:r>
            <w:proofErr w:type="spellStart"/>
            <w:r w:rsidRPr="000850DA">
              <w:rPr>
                <w:rFonts w:eastAsiaTheme="minorEastAsia" w:cs="Times New Roman"/>
              </w:rPr>
              <w:t>Acetylputrescine</w:t>
            </w:r>
            <w:proofErr w:type="spellEnd"/>
          </w:p>
        </w:tc>
        <w:tc>
          <w:tcPr>
            <w:tcW w:w="850" w:type="dxa"/>
            <w:vAlign w:val="center"/>
          </w:tcPr>
          <w:p w14:paraId="37BC053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2.27</w:t>
            </w:r>
          </w:p>
        </w:tc>
        <w:tc>
          <w:tcPr>
            <w:tcW w:w="851" w:type="dxa"/>
            <w:vAlign w:val="center"/>
          </w:tcPr>
          <w:p w14:paraId="4321C5D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01B0547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4A49D3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1836C93A" w14:textId="3F6A5872" w:rsidR="000055B3" w:rsidRPr="000850DA" w:rsidRDefault="00A2194D" w:rsidP="0061622C">
            <w:pPr>
              <w:spacing w:line="240" w:lineRule="auto"/>
              <w:rPr>
                <w:rFonts w:eastAsiaTheme="minorEastAsia" w:cs="Times New Roman"/>
              </w:rPr>
            </w:pPr>
            <w:r w:rsidRPr="000850DA">
              <w:rPr>
                <w:rFonts w:eastAsiaTheme="minorEastAsia" w:cs="Times New Roman"/>
              </w:rPr>
              <w:t>C02714</w:t>
            </w:r>
          </w:p>
        </w:tc>
      </w:tr>
      <w:tr w:rsidR="000055B3" w:rsidRPr="000850DA" w14:paraId="696B31F3" w14:textId="4D00F9C2" w:rsidTr="0061622C">
        <w:trPr>
          <w:jc w:val="center"/>
        </w:trPr>
        <w:tc>
          <w:tcPr>
            <w:tcW w:w="3261" w:type="dxa"/>
            <w:vAlign w:val="center"/>
          </w:tcPr>
          <w:p w14:paraId="4090C1AF"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Sarcosine</w:t>
            </w:r>
          </w:p>
        </w:tc>
        <w:tc>
          <w:tcPr>
            <w:tcW w:w="850" w:type="dxa"/>
            <w:vAlign w:val="center"/>
          </w:tcPr>
          <w:p w14:paraId="0C632DB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0.77</w:t>
            </w:r>
          </w:p>
        </w:tc>
        <w:tc>
          <w:tcPr>
            <w:tcW w:w="851" w:type="dxa"/>
            <w:vAlign w:val="center"/>
          </w:tcPr>
          <w:p w14:paraId="53DDA8D6"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79A2EE0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7A92B65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397A76BF" w14:textId="28694A34" w:rsidR="000055B3" w:rsidRPr="000850DA" w:rsidRDefault="00A2194D" w:rsidP="0061622C">
            <w:pPr>
              <w:spacing w:line="240" w:lineRule="auto"/>
              <w:rPr>
                <w:rFonts w:eastAsiaTheme="minorEastAsia" w:cs="Times New Roman"/>
              </w:rPr>
            </w:pPr>
            <w:r w:rsidRPr="000850DA">
              <w:rPr>
                <w:rFonts w:eastAsiaTheme="minorEastAsia" w:cs="Times New Roman"/>
              </w:rPr>
              <w:t>C00213</w:t>
            </w:r>
          </w:p>
        </w:tc>
      </w:tr>
      <w:tr w:rsidR="000055B3" w:rsidRPr="000850DA" w14:paraId="626482FF" w14:textId="429D042C" w:rsidTr="0061622C">
        <w:trPr>
          <w:jc w:val="center"/>
        </w:trPr>
        <w:tc>
          <w:tcPr>
            <w:tcW w:w="3261" w:type="dxa"/>
            <w:vAlign w:val="center"/>
          </w:tcPr>
          <w:p w14:paraId="5068369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S-Methyl-5'-thioadenosine</w:t>
            </w:r>
          </w:p>
        </w:tc>
        <w:tc>
          <w:tcPr>
            <w:tcW w:w="850" w:type="dxa"/>
            <w:vAlign w:val="center"/>
          </w:tcPr>
          <w:p w14:paraId="4902BCE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1.59</w:t>
            </w:r>
          </w:p>
        </w:tc>
        <w:tc>
          <w:tcPr>
            <w:tcW w:w="851" w:type="dxa"/>
            <w:vAlign w:val="center"/>
          </w:tcPr>
          <w:p w14:paraId="0915F4C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2A5BA692"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1911FEB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1CB5F45D" w14:textId="5733C67E" w:rsidR="000055B3" w:rsidRPr="000850DA" w:rsidRDefault="00CF2DD6" w:rsidP="0061622C">
            <w:pPr>
              <w:spacing w:line="240" w:lineRule="auto"/>
              <w:rPr>
                <w:rFonts w:eastAsiaTheme="minorEastAsia" w:cs="Times New Roman"/>
              </w:rPr>
            </w:pPr>
            <w:r w:rsidRPr="000850DA">
              <w:rPr>
                <w:rFonts w:eastAsiaTheme="minorEastAsia" w:cs="Times New Roman"/>
              </w:rPr>
              <w:t>C00170</w:t>
            </w:r>
          </w:p>
        </w:tc>
      </w:tr>
      <w:tr w:rsidR="000055B3" w:rsidRPr="000850DA" w14:paraId="125A3911" w14:textId="5205580F" w:rsidTr="0061622C">
        <w:trPr>
          <w:jc w:val="center"/>
        </w:trPr>
        <w:tc>
          <w:tcPr>
            <w:tcW w:w="3261" w:type="dxa"/>
            <w:vAlign w:val="center"/>
          </w:tcPr>
          <w:p w14:paraId="4502616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Tyramine</w:t>
            </w:r>
          </w:p>
        </w:tc>
        <w:tc>
          <w:tcPr>
            <w:tcW w:w="850" w:type="dxa"/>
            <w:vAlign w:val="center"/>
          </w:tcPr>
          <w:p w14:paraId="075F946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78CDAB3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1.64</w:t>
            </w:r>
          </w:p>
        </w:tc>
        <w:tc>
          <w:tcPr>
            <w:tcW w:w="850" w:type="dxa"/>
            <w:vAlign w:val="center"/>
          </w:tcPr>
          <w:p w14:paraId="052DDE0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4BABA15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32100A8C" w14:textId="5CB6A091" w:rsidR="000055B3" w:rsidRPr="000850DA" w:rsidRDefault="00CF2DD6" w:rsidP="0061622C">
            <w:pPr>
              <w:spacing w:line="240" w:lineRule="auto"/>
              <w:rPr>
                <w:rFonts w:eastAsiaTheme="minorEastAsia" w:cs="Times New Roman"/>
              </w:rPr>
            </w:pPr>
            <w:r w:rsidRPr="000850DA">
              <w:rPr>
                <w:rFonts w:eastAsiaTheme="minorEastAsia" w:cs="Times New Roman"/>
              </w:rPr>
              <w:t>C00483</w:t>
            </w:r>
          </w:p>
        </w:tc>
      </w:tr>
      <w:tr w:rsidR="000055B3" w:rsidRPr="000850DA" w14:paraId="7B7A11E9" w14:textId="6D292FCB" w:rsidTr="0061622C">
        <w:trPr>
          <w:jc w:val="center"/>
        </w:trPr>
        <w:tc>
          <w:tcPr>
            <w:tcW w:w="3261" w:type="dxa"/>
            <w:vAlign w:val="center"/>
          </w:tcPr>
          <w:p w14:paraId="2A4BF13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Urea</w:t>
            </w:r>
          </w:p>
        </w:tc>
        <w:tc>
          <w:tcPr>
            <w:tcW w:w="850" w:type="dxa"/>
            <w:vAlign w:val="center"/>
          </w:tcPr>
          <w:p w14:paraId="3E71424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1.44</w:t>
            </w:r>
          </w:p>
        </w:tc>
        <w:tc>
          <w:tcPr>
            <w:tcW w:w="851" w:type="dxa"/>
            <w:vAlign w:val="center"/>
          </w:tcPr>
          <w:p w14:paraId="1A08E80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62BA118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173F891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Amino acid metabolism</w:t>
            </w:r>
          </w:p>
        </w:tc>
        <w:tc>
          <w:tcPr>
            <w:tcW w:w="1345" w:type="dxa"/>
            <w:vAlign w:val="center"/>
          </w:tcPr>
          <w:p w14:paraId="601B7AE7" w14:textId="112992EA" w:rsidR="000055B3" w:rsidRPr="000850DA" w:rsidRDefault="00C223FA" w:rsidP="0061622C">
            <w:pPr>
              <w:spacing w:line="240" w:lineRule="auto"/>
              <w:rPr>
                <w:rFonts w:eastAsiaTheme="minorEastAsia" w:cs="Times New Roman"/>
              </w:rPr>
            </w:pPr>
            <w:r w:rsidRPr="000850DA">
              <w:rPr>
                <w:rFonts w:eastAsiaTheme="minorEastAsia" w:cs="Times New Roman"/>
              </w:rPr>
              <w:t>C00086</w:t>
            </w:r>
          </w:p>
        </w:tc>
      </w:tr>
      <w:tr w:rsidR="000055B3" w:rsidRPr="000850DA" w14:paraId="7D41DF42" w14:textId="745B0D49" w:rsidTr="0061622C">
        <w:trPr>
          <w:jc w:val="center"/>
        </w:trPr>
        <w:tc>
          <w:tcPr>
            <w:tcW w:w="3261" w:type="dxa"/>
            <w:vAlign w:val="center"/>
          </w:tcPr>
          <w:p w14:paraId="150E157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D-gluconate</w:t>
            </w:r>
          </w:p>
        </w:tc>
        <w:tc>
          <w:tcPr>
            <w:tcW w:w="850" w:type="dxa"/>
            <w:vAlign w:val="center"/>
          </w:tcPr>
          <w:p w14:paraId="5859B5B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049D1EA0"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1AAC9E3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1.72</w:t>
            </w:r>
          </w:p>
        </w:tc>
        <w:tc>
          <w:tcPr>
            <w:tcW w:w="2908" w:type="dxa"/>
            <w:vAlign w:val="center"/>
          </w:tcPr>
          <w:p w14:paraId="6B3F7A4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Carbohydrate metabolism</w:t>
            </w:r>
          </w:p>
        </w:tc>
        <w:tc>
          <w:tcPr>
            <w:tcW w:w="1345" w:type="dxa"/>
            <w:vAlign w:val="center"/>
          </w:tcPr>
          <w:p w14:paraId="64199A5C" w14:textId="6DE31A14" w:rsidR="000055B3" w:rsidRPr="000850DA" w:rsidRDefault="00C223FA" w:rsidP="0061622C">
            <w:pPr>
              <w:spacing w:line="240" w:lineRule="auto"/>
              <w:rPr>
                <w:rFonts w:eastAsiaTheme="minorEastAsia" w:cs="Times New Roman"/>
              </w:rPr>
            </w:pPr>
            <w:r w:rsidRPr="000850DA">
              <w:rPr>
                <w:rFonts w:eastAsiaTheme="minorEastAsia" w:cs="Times New Roman"/>
              </w:rPr>
              <w:t>C00257</w:t>
            </w:r>
          </w:p>
        </w:tc>
      </w:tr>
      <w:tr w:rsidR="000055B3" w:rsidRPr="000850DA" w14:paraId="1A3619D8" w14:textId="42A4DAA5" w:rsidTr="0061622C">
        <w:trPr>
          <w:jc w:val="center"/>
        </w:trPr>
        <w:tc>
          <w:tcPr>
            <w:tcW w:w="3261" w:type="dxa"/>
            <w:vAlign w:val="center"/>
          </w:tcPr>
          <w:p w14:paraId="631EEA7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Diacetyl</w:t>
            </w:r>
          </w:p>
        </w:tc>
        <w:tc>
          <w:tcPr>
            <w:tcW w:w="850" w:type="dxa"/>
            <w:vAlign w:val="center"/>
          </w:tcPr>
          <w:p w14:paraId="34161BC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1.82</w:t>
            </w:r>
          </w:p>
        </w:tc>
        <w:tc>
          <w:tcPr>
            <w:tcW w:w="851" w:type="dxa"/>
            <w:vAlign w:val="center"/>
          </w:tcPr>
          <w:p w14:paraId="4F34190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1.61</w:t>
            </w:r>
          </w:p>
        </w:tc>
        <w:tc>
          <w:tcPr>
            <w:tcW w:w="850" w:type="dxa"/>
            <w:vAlign w:val="center"/>
          </w:tcPr>
          <w:p w14:paraId="1CB1E250"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F43E1B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Carbohydrate metabolism</w:t>
            </w:r>
          </w:p>
        </w:tc>
        <w:tc>
          <w:tcPr>
            <w:tcW w:w="1345" w:type="dxa"/>
            <w:vAlign w:val="center"/>
          </w:tcPr>
          <w:p w14:paraId="4964D717" w14:textId="3FEEB540" w:rsidR="000055B3" w:rsidRPr="000850DA" w:rsidRDefault="00E06A0B" w:rsidP="0061622C">
            <w:pPr>
              <w:spacing w:line="240" w:lineRule="auto"/>
              <w:rPr>
                <w:rFonts w:eastAsiaTheme="minorEastAsia" w:cs="Times New Roman"/>
              </w:rPr>
            </w:pPr>
            <w:r w:rsidRPr="000850DA">
              <w:rPr>
                <w:rFonts w:eastAsiaTheme="minorEastAsia" w:cs="Times New Roman"/>
              </w:rPr>
              <w:t>C00741</w:t>
            </w:r>
          </w:p>
        </w:tc>
      </w:tr>
      <w:tr w:rsidR="000055B3" w:rsidRPr="000850DA" w14:paraId="27525CE0" w14:textId="5D5DB758" w:rsidTr="0061622C">
        <w:trPr>
          <w:jc w:val="center"/>
        </w:trPr>
        <w:tc>
          <w:tcPr>
            <w:tcW w:w="3261" w:type="dxa"/>
            <w:vAlign w:val="center"/>
          </w:tcPr>
          <w:p w14:paraId="288A458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Stachyose</w:t>
            </w:r>
          </w:p>
        </w:tc>
        <w:tc>
          <w:tcPr>
            <w:tcW w:w="850" w:type="dxa"/>
            <w:vAlign w:val="center"/>
          </w:tcPr>
          <w:p w14:paraId="5B99AED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0.16</w:t>
            </w:r>
          </w:p>
        </w:tc>
        <w:tc>
          <w:tcPr>
            <w:tcW w:w="851" w:type="dxa"/>
            <w:vAlign w:val="center"/>
          </w:tcPr>
          <w:p w14:paraId="31D48E46"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4262E10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660B6D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Carbohydrate metabolism</w:t>
            </w:r>
          </w:p>
        </w:tc>
        <w:tc>
          <w:tcPr>
            <w:tcW w:w="1345" w:type="dxa"/>
            <w:vAlign w:val="center"/>
          </w:tcPr>
          <w:p w14:paraId="6F4F9537" w14:textId="6139FBD5" w:rsidR="000055B3" w:rsidRPr="000850DA" w:rsidRDefault="00E06A0B" w:rsidP="0061622C">
            <w:pPr>
              <w:spacing w:line="240" w:lineRule="auto"/>
              <w:rPr>
                <w:rFonts w:eastAsiaTheme="minorEastAsia" w:cs="Times New Roman"/>
              </w:rPr>
            </w:pPr>
            <w:r w:rsidRPr="000850DA">
              <w:rPr>
                <w:rFonts w:eastAsiaTheme="minorEastAsia" w:cs="Times New Roman"/>
              </w:rPr>
              <w:t>C01613</w:t>
            </w:r>
          </w:p>
        </w:tc>
      </w:tr>
      <w:tr w:rsidR="000055B3" w:rsidRPr="000850DA" w14:paraId="7B4AE3D8" w14:textId="1F6507EC" w:rsidTr="0061622C">
        <w:trPr>
          <w:jc w:val="center"/>
        </w:trPr>
        <w:tc>
          <w:tcPr>
            <w:tcW w:w="3261" w:type="dxa"/>
            <w:vAlign w:val="center"/>
          </w:tcPr>
          <w:p w14:paraId="1DC1B4E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1-Stearoyl-2-oleoyl-sn-glycerol 3-phosphocholine (SOPC)</w:t>
            </w:r>
          </w:p>
        </w:tc>
        <w:tc>
          <w:tcPr>
            <w:tcW w:w="850" w:type="dxa"/>
            <w:vAlign w:val="center"/>
          </w:tcPr>
          <w:p w14:paraId="2B45A5E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0.62</w:t>
            </w:r>
          </w:p>
        </w:tc>
        <w:tc>
          <w:tcPr>
            <w:tcW w:w="851" w:type="dxa"/>
            <w:vAlign w:val="center"/>
          </w:tcPr>
          <w:p w14:paraId="29F9B02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0.55</w:t>
            </w:r>
          </w:p>
        </w:tc>
        <w:tc>
          <w:tcPr>
            <w:tcW w:w="850" w:type="dxa"/>
            <w:vAlign w:val="center"/>
          </w:tcPr>
          <w:p w14:paraId="6AE6EAC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37CAD49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01EDAC66" w14:textId="6A5C0091" w:rsidR="000055B3" w:rsidRPr="000850DA" w:rsidRDefault="00E06A0B" w:rsidP="0061622C">
            <w:pPr>
              <w:spacing w:line="240" w:lineRule="auto"/>
              <w:rPr>
                <w:rFonts w:eastAsiaTheme="minorEastAsia" w:cs="Times New Roman"/>
              </w:rPr>
            </w:pPr>
            <w:r w:rsidRPr="000850DA">
              <w:rPr>
                <w:rFonts w:eastAsiaTheme="minorEastAsia" w:cs="Times New Roman"/>
              </w:rPr>
              <w:t>C00157</w:t>
            </w:r>
          </w:p>
        </w:tc>
      </w:tr>
      <w:tr w:rsidR="000055B3" w:rsidRPr="000850DA" w14:paraId="35625494" w14:textId="12C13B75" w:rsidTr="0061622C">
        <w:trPr>
          <w:jc w:val="center"/>
        </w:trPr>
        <w:tc>
          <w:tcPr>
            <w:tcW w:w="3261" w:type="dxa"/>
            <w:vAlign w:val="center"/>
          </w:tcPr>
          <w:p w14:paraId="0313D5C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Diethanolamine</w:t>
            </w:r>
          </w:p>
        </w:tc>
        <w:tc>
          <w:tcPr>
            <w:tcW w:w="850" w:type="dxa"/>
            <w:vAlign w:val="center"/>
          </w:tcPr>
          <w:p w14:paraId="2AFBD90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1AC1B6D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1.72</w:t>
            </w:r>
          </w:p>
        </w:tc>
        <w:tc>
          <w:tcPr>
            <w:tcW w:w="850" w:type="dxa"/>
            <w:vAlign w:val="center"/>
          </w:tcPr>
          <w:p w14:paraId="148F2F2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1.53</w:t>
            </w:r>
          </w:p>
        </w:tc>
        <w:tc>
          <w:tcPr>
            <w:tcW w:w="2908" w:type="dxa"/>
            <w:vAlign w:val="center"/>
          </w:tcPr>
          <w:p w14:paraId="541143C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1A12C0DD" w14:textId="083A880B" w:rsidR="000055B3" w:rsidRPr="000850DA" w:rsidRDefault="00291610" w:rsidP="0061622C">
            <w:pPr>
              <w:spacing w:line="240" w:lineRule="auto"/>
              <w:rPr>
                <w:rFonts w:eastAsiaTheme="minorEastAsia" w:cs="Times New Roman"/>
              </w:rPr>
            </w:pPr>
            <w:r w:rsidRPr="000850DA">
              <w:rPr>
                <w:rFonts w:eastAsiaTheme="minorEastAsia" w:cs="Times New Roman"/>
              </w:rPr>
              <w:t>C06772</w:t>
            </w:r>
          </w:p>
        </w:tc>
      </w:tr>
      <w:tr w:rsidR="000055B3" w:rsidRPr="000850DA" w14:paraId="5AB6DE89" w14:textId="620B25B5" w:rsidTr="0061622C">
        <w:trPr>
          <w:jc w:val="center"/>
        </w:trPr>
        <w:tc>
          <w:tcPr>
            <w:tcW w:w="3261" w:type="dxa"/>
            <w:vAlign w:val="center"/>
          </w:tcPr>
          <w:p w14:paraId="1853947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Glycochenodeoxycholate</w:t>
            </w:r>
          </w:p>
        </w:tc>
        <w:tc>
          <w:tcPr>
            <w:tcW w:w="850" w:type="dxa"/>
            <w:vAlign w:val="center"/>
          </w:tcPr>
          <w:p w14:paraId="5972BBB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219867A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6ECE058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3.66</w:t>
            </w:r>
          </w:p>
        </w:tc>
        <w:tc>
          <w:tcPr>
            <w:tcW w:w="2908" w:type="dxa"/>
            <w:vAlign w:val="center"/>
          </w:tcPr>
          <w:p w14:paraId="70B7EAC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60B28A5C" w14:textId="1283B45D" w:rsidR="000055B3" w:rsidRPr="000850DA" w:rsidRDefault="00291610" w:rsidP="0061622C">
            <w:pPr>
              <w:spacing w:line="240" w:lineRule="auto"/>
              <w:rPr>
                <w:rFonts w:eastAsiaTheme="minorEastAsia" w:cs="Times New Roman"/>
              </w:rPr>
            </w:pPr>
            <w:r w:rsidRPr="000850DA">
              <w:rPr>
                <w:rFonts w:eastAsiaTheme="minorEastAsia" w:cs="Times New Roman"/>
              </w:rPr>
              <w:t>C05466</w:t>
            </w:r>
          </w:p>
        </w:tc>
      </w:tr>
      <w:tr w:rsidR="000055B3" w:rsidRPr="000850DA" w14:paraId="6392D053" w14:textId="0E9CE68C" w:rsidTr="0061622C">
        <w:trPr>
          <w:jc w:val="center"/>
        </w:trPr>
        <w:tc>
          <w:tcPr>
            <w:tcW w:w="3261" w:type="dxa"/>
            <w:vAlign w:val="center"/>
          </w:tcPr>
          <w:p w14:paraId="34840C8E"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Glycocholic</w:t>
            </w:r>
            <w:proofErr w:type="spellEnd"/>
            <w:r w:rsidRPr="000850DA">
              <w:rPr>
                <w:rFonts w:eastAsiaTheme="minorEastAsia" w:cs="Times New Roman"/>
              </w:rPr>
              <w:t xml:space="preserve"> acid</w:t>
            </w:r>
          </w:p>
        </w:tc>
        <w:tc>
          <w:tcPr>
            <w:tcW w:w="850" w:type="dxa"/>
            <w:vAlign w:val="center"/>
          </w:tcPr>
          <w:p w14:paraId="48E274CF"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32A7FF25"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71F3EF0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6.03</w:t>
            </w:r>
          </w:p>
        </w:tc>
        <w:tc>
          <w:tcPr>
            <w:tcW w:w="2908" w:type="dxa"/>
            <w:vAlign w:val="center"/>
          </w:tcPr>
          <w:p w14:paraId="3625CF6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3445313F" w14:textId="10455C8C" w:rsidR="000055B3" w:rsidRPr="000850DA" w:rsidRDefault="00291610" w:rsidP="0061622C">
            <w:pPr>
              <w:spacing w:line="240" w:lineRule="auto"/>
              <w:rPr>
                <w:rFonts w:eastAsiaTheme="minorEastAsia" w:cs="Times New Roman"/>
              </w:rPr>
            </w:pPr>
            <w:r w:rsidRPr="000850DA">
              <w:rPr>
                <w:rFonts w:eastAsiaTheme="minorEastAsia" w:cs="Times New Roman"/>
              </w:rPr>
              <w:t>C01921</w:t>
            </w:r>
          </w:p>
        </w:tc>
      </w:tr>
      <w:tr w:rsidR="000055B3" w:rsidRPr="000850DA" w14:paraId="5DDFCBC6" w14:textId="4D6E3B45" w:rsidTr="0061622C">
        <w:trPr>
          <w:jc w:val="center"/>
        </w:trPr>
        <w:tc>
          <w:tcPr>
            <w:tcW w:w="3261" w:type="dxa"/>
            <w:vAlign w:val="center"/>
          </w:tcPr>
          <w:p w14:paraId="124EF08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w:t>
            </w:r>
            <w:proofErr w:type="spellStart"/>
            <w:r w:rsidRPr="000850DA">
              <w:rPr>
                <w:rFonts w:eastAsiaTheme="minorEastAsia" w:cs="Times New Roman"/>
              </w:rPr>
              <w:t>Palmitoylcarnitine</w:t>
            </w:r>
            <w:proofErr w:type="spellEnd"/>
          </w:p>
        </w:tc>
        <w:tc>
          <w:tcPr>
            <w:tcW w:w="850" w:type="dxa"/>
            <w:vAlign w:val="center"/>
          </w:tcPr>
          <w:p w14:paraId="796EF00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0.78</w:t>
            </w:r>
          </w:p>
        </w:tc>
        <w:tc>
          <w:tcPr>
            <w:tcW w:w="851" w:type="dxa"/>
            <w:vAlign w:val="center"/>
          </w:tcPr>
          <w:p w14:paraId="2FFABC65"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411A3AB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264C72E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18E4A84D" w14:textId="6438A68A" w:rsidR="000055B3" w:rsidRPr="000850DA" w:rsidRDefault="00DB0B2C" w:rsidP="0061622C">
            <w:pPr>
              <w:spacing w:line="240" w:lineRule="auto"/>
              <w:rPr>
                <w:rFonts w:eastAsiaTheme="minorEastAsia" w:cs="Times New Roman"/>
              </w:rPr>
            </w:pPr>
            <w:r w:rsidRPr="000850DA">
              <w:rPr>
                <w:rFonts w:eastAsiaTheme="minorEastAsia" w:cs="Times New Roman"/>
              </w:rPr>
              <w:t>C02990</w:t>
            </w:r>
          </w:p>
        </w:tc>
      </w:tr>
      <w:tr w:rsidR="000055B3" w:rsidRPr="000850DA" w14:paraId="3C94476F" w14:textId="0D2CB1D8" w:rsidTr="0061622C">
        <w:trPr>
          <w:jc w:val="center"/>
        </w:trPr>
        <w:tc>
          <w:tcPr>
            <w:tcW w:w="3261" w:type="dxa"/>
            <w:vAlign w:val="center"/>
          </w:tcPr>
          <w:p w14:paraId="6D9940F2"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sn</w:t>
            </w:r>
            <w:proofErr w:type="spellEnd"/>
            <w:r w:rsidRPr="000850DA">
              <w:rPr>
                <w:rFonts w:eastAsiaTheme="minorEastAsia" w:cs="Times New Roman"/>
              </w:rPr>
              <w:t>-Glycerol 3-phosphoethanolamine</w:t>
            </w:r>
          </w:p>
        </w:tc>
        <w:tc>
          <w:tcPr>
            <w:tcW w:w="850" w:type="dxa"/>
            <w:vAlign w:val="center"/>
          </w:tcPr>
          <w:p w14:paraId="2B5D71D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0.58</w:t>
            </w:r>
          </w:p>
        </w:tc>
        <w:tc>
          <w:tcPr>
            <w:tcW w:w="851" w:type="dxa"/>
            <w:vAlign w:val="center"/>
          </w:tcPr>
          <w:p w14:paraId="3AE4E43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7A1360F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1.76</w:t>
            </w:r>
          </w:p>
        </w:tc>
        <w:tc>
          <w:tcPr>
            <w:tcW w:w="2908" w:type="dxa"/>
            <w:vAlign w:val="center"/>
          </w:tcPr>
          <w:p w14:paraId="547C389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06AF6C6F" w14:textId="54EED01A" w:rsidR="000055B3" w:rsidRPr="000850DA" w:rsidRDefault="00575B13" w:rsidP="0061622C">
            <w:pPr>
              <w:spacing w:line="240" w:lineRule="auto"/>
              <w:rPr>
                <w:rFonts w:eastAsiaTheme="minorEastAsia" w:cs="Times New Roman"/>
              </w:rPr>
            </w:pPr>
            <w:r w:rsidRPr="000850DA">
              <w:rPr>
                <w:rFonts w:eastAsiaTheme="minorEastAsia" w:cs="Times New Roman"/>
              </w:rPr>
              <w:t>C01233</w:t>
            </w:r>
          </w:p>
        </w:tc>
      </w:tr>
      <w:tr w:rsidR="000055B3" w:rsidRPr="000850DA" w14:paraId="1036AC47" w14:textId="64E58AD3" w:rsidTr="0061622C">
        <w:trPr>
          <w:jc w:val="center"/>
        </w:trPr>
        <w:tc>
          <w:tcPr>
            <w:tcW w:w="3261" w:type="dxa"/>
            <w:vAlign w:val="center"/>
          </w:tcPr>
          <w:p w14:paraId="1F853ED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Sphingomyelin (d18:1/18:0)</w:t>
            </w:r>
          </w:p>
        </w:tc>
        <w:tc>
          <w:tcPr>
            <w:tcW w:w="850" w:type="dxa"/>
            <w:vAlign w:val="center"/>
          </w:tcPr>
          <w:p w14:paraId="55C8D64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14D184F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0.66</w:t>
            </w:r>
          </w:p>
        </w:tc>
        <w:tc>
          <w:tcPr>
            <w:tcW w:w="850" w:type="dxa"/>
            <w:vAlign w:val="center"/>
          </w:tcPr>
          <w:p w14:paraId="44E7A8E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1.60</w:t>
            </w:r>
          </w:p>
        </w:tc>
        <w:tc>
          <w:tcPr>
            <w:tcW w:w="2908" w:type="dxa"/>
            <w:vAlign w:val="center"/>
          </w:tcPr>
          <w:p w14:paraId="0647EC0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550B9EB0" w14:textId="24CEAE85" w:rsidR="000055B3" w:rsidRPr="000850DA" w:rsidRDefault="00575B13" w:rsidP="0061622C">
            <w:pPr>
              <w:spacing w:line="240" w:lineRule="auto"/>
              <w:rPr>
                <w:rFonts w:eastAsiaTheme="minorEastAsia" w:cs="Times New Roman"/>
              </w:rPr>
            </w:pPr>
            <w:r w:rsidRPr="000850DA">
              <w:rPr>
                <w:rFonts w:eastAsiaTheme="minorEastAsia" w:cs="Times New Roman"/>
              </w:rPr>
              <w:t>C00550</w:t>
            </w:r>
          </w:p>
        </w:tc>
      </w:tr>
      <w:tr w:rsidR="000055B3" w:rsidRPr="000850DA" w14:paraId="10B87827" w14:textId="06A53B6B" w:rsidTr="0061622C">
        <w:trPr>
          <w:jc w:val="center"/>
        </w:trPr>
        <w:tc>
          <w:tcPr>
            <w:tcW w:w="3261" w:type="dxa"/>
            <w:vAlign w:val="center"/>
          </w:tcPr>
          <w:p w14:paraId="1C7BCA34"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Taurodeoxycholic</w:t>
            </w:r>
            <w:proofErr w:type="spellEnd"/>
            <w:r w:rsidRPr="000850DA">
              <w:rPr>
                <w:rFonts w:eastAsiaTheme="minorEastAsia" w:cs="Times New Roman"/>
              </w:rPr>
              <w:t xml:space="preserve"> acid</w:t>
            </w:r>
          </w:p>
        </w:tc>
        <w:tc>
          <w:tcPr>
            <w:tcW w:w="850" w:type="dxa"/>
            <w:vAlign w:val="center"/>
          </w:tcPr>
          <w:p w14:paraId="5408FF6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783A524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70735B6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3.99</w:t>
            </w:r>
          </w:p>
        </w:tc>
        <w:tc>
          <w:tcPr>
            <w:tcW w:w="2908" w:type="dxa"/>
            <w:vAlign w:val="center"/>
          </w:tcPr>
          <w:p w14:paraId="1486C17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0BE53E3B" w14:textId="3A965DD4" w:rsidR="000055B3" w:rsidRPr="000850DA" w:rsidRDefault="00575B13" w:rsidP="0061622C">
            <w:pPr>
              <w:spacing w:line="240" w:lineRule="auto"/>
              <w:rPr>
                <w:rFonts w:eastAsiaTheme="minorEastAsia" w:cs="Times New Roman"/>
              </w:rPr>
            </w:pPr>
            <w:r w:rsidRPr="000850DA">
              <w:rPr>
                <w:rFonts w:eastAsiaTheme="minorEastAsia" w:cs="Times New Roman"/>
              </w:rPr>
              <w:t>C05463</w:t>
            </w:r>
          </w:p>
        </w:tc>
      </w:tr>
      <w:tr w:rsidR="000055B3" w:rsidRPr="000850DA" w14:paraId="563EE903" w14:textId="40FE8F83" w:rsidTr="0061622C">
        <w:trPr>
          <w:jc w:val="center"/>
        </w:trPr>
        <w:tc>
          <w:tcPr>
            <w:tcW w:w="3261" w:type="dxa"/>
            <w:vAlign w:val="center"/>
          </w:tcPr>
          <w:p w14:paraId="0FE6310F" w14:textId="77777777" w:rsidR="000055B3" w:rsidRPr="000850DA" w:rsidRDefault="000055B3" w:rsidP="0061622C">
            <w:pPr>
              <w:spacing w:line="240" w:lineRule="auto"/>
              <w:rPr>
                <w:rFonts w:eastAsiaTheme="minorEastAsia" w:cs="Times New Roman"/>
              </w:rPr>
            </w:pPr>
            <w:proofErr w:type="gramStart"/>
            <w:r w:rsidRPr="000850DA">
              <w:rPr>
                <w:rFonts w:eastAsiaTheme="minorEastAsia" w:cs="Times New Roman"/>
              </w:rPr>
              <w:t>PC(</w:t>
            </w:r>
            <w:proofErr w:type="gramEnd"/>
            <w:r w:rsidRPr="000850DA">
              <w:rPr>
                <w:rFonts w:eastAsiaTheme="minorEastAsia" w:cs="Times New Roman"/>
              </w:rPr>
              <w:t>16:0/16:0)</w:t>
            </w:r>
          </w:p>
        </w:tc>
        <w:tc>
          <w:tcPr>
            <w:tcW w:w="850" w:type="dxa"/>
            <w:vAlign w:val="center"/>
          </w:tcPr>
          <w:p w14:paraId="0CF4CB7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0.53</w:t>
            </w:r>
          </w:p>
        </w:tc>
        <w:tc>
          <w:tcPr>
            <w:tcW w:w="851" w:type="dxa"/>
            <w:vAlign w:val="center"/>
          </w:tcPr>
          <w:p w14:paraId="262E64D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0.46</w:t>
            </w:r>
          </w:p>
        </w:tc>
        <w:tc>
          <w:tcPr>
            <w:tcW w:w="850" w:type="dxa"/>
            <w:vAlign w:val="center"/>
          </w:tcPr>
          <w:p w14:paraId="5CDFEA1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1525627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00D4624B" w14:textId="6FB8046D" w:rsidR="000055B3" w:rsidRPr="000850DA" w:rsidRDefault="00EC5150" w:rsidP="0061622C">
            <w:pPr>
              <w:spacing w:line="240" w:lineRule="auto"/>
              <w:rPr>
                <w:rFonts w:eastAsiaTheme="minorEastAsia" w:cs="Times New Roman"/>
              </w:rPr>
            </w:pPr>
            <w:r w:rsidRPr="000850DA">
              <w:rPr>
                <w:rFonts w:eastAsiaTheme="minorEastAsia" w:cs="Times New Roman"/>
              </w:rPr>
              <w:t>C00157</w:t>
            </w:r>
          </w:p>
        </w:tc>
      </w:tr>
      <w:tr w:rsidR="000055B3" w:rsidRPr="000850DA" w14:paraId="73CF84FD" w14:textId="66F89E5D" w:rsidTr="0061622C">
        <w:trPr>
          <w:jc w:val="center"/>
        </w:trPr>
        <w:tc>
          <w:tcPr>
            <w:tcW w:w="3261" w:type="dxa"/>
            <w:vAlign w:val="center"/>
          </w:tcPr>
          <w:p w14:paraId="467DEF0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Phosphorylcholine</w:t>
            </w:r>
          </w:p>
        </w:tc>
        <w:tc>
          <w:tcPr>
            <w:tcW w:w="850" w:type="dxa"/>
            <w:vAlign w:val="center"/>
          </w:tcPr>
          <w:p w14:paraId="6846EE2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0.75</w:t>
            </w:r>
          </w:p>
        </w:tc>
        <w:tc>
          <w:tcPr>
            <w:tcW w:w="851" w:type="dxa"/>
            <w:vAlign w:val="center"/>
          </w:tcPr>
          <w:p w14:paraId="042C150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0.80</w:t>
            </w:r>
          </w:p>
        </w:tc>
        <w:tc>
          <w:tcPr>
            <w:tcW w:w="850" w:type="dxa"/>
            <w:vAlign w:val="center"/>
          </w:tcPr>
          <w:p w14:paraId="2A2EAD5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5BBCC49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Lipid metabolism</w:t>
            </w:r>
          </w:p>
        </w:tc>
        <w:tc>
          <w:tcPr>
            <w:tcW w:w="1345" w:type="dxa"/>
            <w:vAlign w:val="center"/>
          </w:tcPr>
          <w:p w14:paraId="6AE03AF0" w14:textId="4707404E" w:rsidR="000055B3" w:rsidRPr="000850DA" w:rsidRDefault="00EC5150" w:rsidP="0061622C">
            <w:pPr>
              <w:spacing w:line="240" w:lineRule="auto"/>
              <w:rPr>
                <w:rFonts w:eastAsiaTheme="minorEastAsia" w:cs="Times New Roman"/>
              </w:rPr>
            </w:pPr>
            <w:r w:rsidRPr="000850DA">
              <w:rPr>
                <w:rFonts w:eastAsiaTheme="minorEastAsia" w:cs="Times New Roman"/>
              </w:rPr>
              <w:t>C00588</w:t>
            </w:r>
          </w:p>
        </w:tc>
      </w:tr>
      <w:tr w:rsidR="000055B3" w:rsidRPr="000850DA" w14:paraId="1FCD7052" w14:textId="44A95837" w:rsidTr="0061622C">
        <w:trPr>
          <w:jc w:val="center"/>
        </w:trPr>
        <w:tc>
          <w:tcPr>
            <w:tcW w:w="3261" w:type="dxa"/>
            <w:vAlign w:val="center"/>
          </w:tcPr>
          <w:p w14:paraId="7B2DC27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N1-Methyl-2-pyridone-5-carboxamide</w:t>
            </w:r>
          </w:p>
        </w:tc>
        <w:tc>
          <w:tcPr>
            <w:tcW w:w="850" w:type="dxa"/>
            <w:vAlign w:val="center"/>
          </w:tcPr>
          <w:p w14:paraId="258A201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2.93</w:t>
            </w:r>
          </w:p>
        </w:tc>
        <w:tc>
          <w:tcPr>
            <w:tcW w:w="851" w:type="dxa"/>
            <w:vAlign w:val="center"/>
          </w:tcPr>
          <w:p w14:paraId="3EFD78C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4.01</w:t>
            </w:r>
          </w:p>
        </w:tc>
        <w:tc>
          <w:tcPr>
            <w:tcW w:w="850" w:type="dxa"/>
            <w:vAlign w:val="center"/>
          </w:tcPr>
          <w:p w14:paraId="1D105300"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164CEA8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Metabolism of cofactors and vitamins</w:t>
            </w:r>
          </w:p>
        </w:tc>
        <w:tc>
          <w:tcPr>
            <w:tcW w:w="1345" w:type="dxa"/>
            <w:vAlign w:val="center"/>
          </w:tcPr>
          <w:p w14:paraId="2FAA02EF" w14:textId="1EF3CAEB" w:rsidR="000055B3" w:rsidRPr="000850DA" w:rsidRDefault="00EC5150" w:rsidP="0061622C">
            <w:pPr>
              <w:spacing w:line="240" w:lineRule="auto"/>
              <w:rPr>
                <w:rFonts w:eastAsiaTheme="minorEastAsia" w:cs="Times New Roman"/>
              </w:rPr>
            </w:pPr>
            <w:r w:rsidRPr="000850DA">
              <w:rPr>
                <w:rFonts w:eastAsiaTheme="minorEastAsia" w:cs="Times New Roman"/>
              </w:rPr>
              <w:t>C05842</w:t>
            </w:r>
          </w:p>
        </w:tc>
      </w:tr>
      <w:tr w:rsidR="000055B3" w:rsidRPr="000850DA" w14:paraId="6BC44D08" w14:textId="4BABB7D3" w:rsidTr="0061622C">
        <w:trPr>
          <w:jc w:val="center"/>
        </w:trPr>
        <w:tc>
          <w:tcPr>
            <w:tcW w:w="3261" w:type="dxa"/>
            <w:vAlign w:val="center"/>
          </w:tcPr>
          <w:p w14:paraId="275AAD4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lastRenderedPageBreak/>
              <w:t>L-Pyroglutamic acid</w:t>
            </w:r>
          </w:p>
        </w:tc>
        <w:tc>
          <w:tcPr>
            <w:tcW w:w="850" w:type="dxa"/>
            <w:vAlign w:val="center"/>
          </w:tcPr>
          <w:p w14:paraId="5CB5DB60"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47ADCB4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715BBDE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1.48</w:t>
            </w:r>
          </w:p>
        </w:tc>
        <w:tc>
          <w:tcPr>
            <w:tcW w:w="2908" w:type="dxa"/>
            <w:vAlign w:val="center"/>
          </w:tcPr>
          <w:p w14:paraId="67921F3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Metabolism of other amino acids</w:t>
            </w:r>
          </w:p>
        </w:tc>
        <w:tc>
          <w:tcPr>
            <w:tcW w:w="1345" w:type="dxa"/>
            <w:vAlign w:val="center"/>
          </w:tcPr>
          <w:p w14:paraId="15B803AE" w14:textId="18CB1872" w:rsidR="000055B3" w:rsidRPr="000850DA" w:rsidRDefault="00C02EEB" w:rsidP="0061622C">
            <w:pPr>
              <w:spacing w:line="240" w:lineRule="auto"/>
              <w:rPr>
                <w:rFonts w:eastAsiaTheme="minorEastAsia" w:cs="Times New Roman"/>
              </w:rPr>
            </w:pPr>
            <w:r w:rsidRPr="000850DA">
              <w:rPr>
                <w:rFonts w:eastAsiaTheme="minorEastAsia" w:cs="Times New Roman"/>
              </w:rPr>
              <w:t>C01879</w:t>
            </w:r>
          </w:p>
        </w:tc>
      </w:tr>
      <w:tr w:rsidR="000055B3" w:rsidRPr="000850DA" w14:paraId="593C1912" w14:textId="5A3D18DB" w:rsidTr="0061622C">
        <w:trPr>
          <w:jc w:val="center"/>
        </w:trPr>
        <w:tc>
          <w:tcPr>
            <w:tcW w:w="3261" w:type="dxa"/>
            <w:vAlign w:val="center"/>
          </w:tcPr>
          <w:p w14:paraId="64CC13C1"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Pseudouridine</w:t>
            </w:r>
            <w:proofErr w:type="spellEnd"/>
          </w:p>
        </w:tc>
        <w:tc>
          <w:tcPr>
            <w:tcW w:w="850" w:type="dxa"/>
            <w:vAlign w:val="center"/>
          </w:tcPr>
          <w:p w14:paraId="041ECA0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2.29</w:t>
            </w:r>
          </w:p>
        </w:tc>
        <w:tc>
          <w:tcPr>
            <w:tcW w:w="851" w:type="dxa"/>
            <w:vAlign w:val="center"/>
          </w:tcPr>
          <w:p w14:paraId="2C392C2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2.73</w:t>
            </w:r>
          </w:p>
        </w:tc>
        <w:tc>
          <w:tcPr>
            <w:tcW w:w="850" w:type="dxa"/>
            <w:vAlign w:val="center"/>
          </w:tcPr>
          <w:p w14:paraId="285EFA0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5EAACB0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Nucleotide metabolism</w:t>
            </w:r>
          </w:p>
        </w:tc>
        <w:tc>
          <w:tcPr>
            <w:tcW w:w="1345" w:type="dxa"/>
            <w:vAlign w:val="center"/>
          </w:tcPr>
          <w:p w14:paraId="74EF8244" w14:textId="3839BA49" w:rsidR="000055B3" w:rsidRPr="000850DA" w:rsidRDefault="00C02EEB" w:rsidP="0061622C">
            <w:pPr>
              <w:spacing w:line="240" w:lineRule="auto"/>
              <w:rPr>
                <w:rFonts w:eastAsiaTheme="minorEastAsia" w:cs="Times New Roman"/>
              </w:rPr>
            </w:pPr>
            <w:r w:rsidRPr="000850DA">
              <w:rPr>
                <w:rFonts w:eastAsiaTheme="minorEastAsia" w:cs="Times New Roman"/>
              </w:rPr>
              <w:t>C02067</w:t>
            </w:r>
          </w:p>
        </w:tc>
      </w:tr>
      <w:tr w:rsidR="000055B3" w:rsidRPr="000850DA" w14:paraId="35630D81" w14:textId="2864F022" w:rsidTr="0061622C">
        <w:trPr>
          <w:jc w:val="center"/>
        </w:trPr>
        <w:tc>
          <w:tcPr>
            <w:tcW w:w="3261" w:type="dxa"/>
            <w:vAlign w:val="center"/>
          </w:tcPr>
          <w:p w14:paraId="719AAA9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N-Acetyl-D-glucosamine</w:t>
            </w:r>
          </w:p>
        </w:tc>
        <w:tc>
          <w:tcPr>
            <w:tcW w:w="850" w:type="dxa"/>
            <w:vAlign w:val="center"/>
          </w:tcPr>
          <w:p w14:paraId="558F680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1.71</w:t>
            </w:r>
          </w:p>
        </w:tc>
        <w:tc>
          <w:tcPr>
            <w:tcW w:w="851" w:type="dxa"/>
            <w:vAlign w:val="center"/>
          </w:tcPr>
          <w:p w14:paraId="7995BFA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00E6934F"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28ADFA2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ABC transporters</w:t>
            </w:r>
          </w:p>
        </w:tc>
        <w:tc>
          <w:tcPr>
            <w:tcW w:w="1345" w:type="dxa"/>
            <w:vAlign w:val="center"/>
          </w:tcPr>
          <w:p w14:paraId="435D1B00" w14:textId="22AC1F59" w:rsidR="000055B3" w:rsidRPr="000850DA" w:rsidRDefault="00EF1499" w:rsidP="0061622C">
            <w:pPr>
              <w:spacing w:line="240" w:lineRule="auto"/>
              <w:rPr>
                <w:rFonts w:eastAsiaTheme="minorEastAsia" w:cs="Times New Roman"/>
              </w:rPr>
            </w:pPr>
            <w:r w:rsidRPr="000850DA">
              <w:rPr>
                <w:rFonts w:eastAsiaTheme="minorEastAsia" w:cs="Times New Roman"/>
              </w:rPr>
              <w:t>C00140</w:t>
            </w:r>
          </w:p>
        </w:tc>
      </w:tr>
      <w:tr w:rsidR="000055B3" w:rsidRPr="000850DA" w14:paraId="3362E720" w14:textId="65EB1786" w:rsidTr="0061622C">
        <w:trPr>
          <w:jc w:val="center"/>
        </w:trPr>
        <w:tc>
          <w:tcPr>
            <w:tcW w:w="3261" w:type="dxa"/>
            <w:vAlign w:val="center"/>
          </w:tcPr>
          <w:p w14:paraId="3409D09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Isovaleric acid</w:t>
            </w:r>
          </w:p>
        </w:tc>
        <w:tc>
          <w:tcPr>
            <w:tcW w:w="850" w:type="dxa"/>
            <w:vAlign w:val="center"/>
          </w:tcPr>
          <w:p w14:paraId="7793EDF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0.70</w:t>
            </w:r>
          </w:p>
        </w:tc>
        <w:tc>
          <w:tcPr>
            <w:tcW w:w="851" w:type="dxa"/>
            <w:vAlign w:val="center"/>
          </w:tcPr>
          <w:p w14:paraId="011E31DF"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0.74</w:t>
            </w:r>
          </w:p>
        </w:tc>
        <w:tc>
          <w:tcPr>
            <w:tcW w:w="850" w:type="dxa"/>
            <w:vAlign w:val="center"/>
          </w:tcPr>
          <w:p w14:paraId="7E6BF09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0DF9634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Protein digestion and absorption</w:t>
            </w:r>
          </w:p>
        </w:tc>
        <w:tc>
          <w:tcPr>
            <w:tcW w:w="1345" w:type="dxa"/>
            <w:vAlign w:val="center"/>
          </w:tcPr>
          <w:p w14:paraId="06F25A88" w14:textId="1AF27ACC" w:rsidR="000055B3" w:rsidRPr="000850DA" w:rsidRDefault="00EF1499" w:rsidP="0061622C">
            <w:pPr>
              <w:spacing w:line="240" w:lineRule="auto"/>
              <w:rPr>
                <w:rFonts w:eastAsiaTheme="minorEastAsia" w:cs="Times New Roman"/>
              </w:rPr>
            </w:pPr>
            <w:r w:rsidRPr="000850DA">
              <w:rPr>
                <w:rFonts w:eastAsiaTheme="minorEastAsia" w:cs="Times New Roman"/>
              </w:rPr>
              <w:t>C08262</w:t>
            </w:r>
          </w:p>
        </w:tc>
      </w:tr>
      <w:tr w:rsidR="000055B3" w:rsidRPr="000850DA" w14:paraId="06854848" w14:textId="03A2B13B" w:rsidTr="0061622C">
        <w:trPr>
          <w:jc w:val="center"/>
        </w:trPr>
        <w:tc>
          <w:tcPr>
            <w:tcW w:w="3261" w:type="dxa"/>
            <w:vAlign w:val="center"/>
          </w:tcPr>
          <w:p w14:paraId="744976E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Pantothenate</w:t>
            </w:r>
          </w:p>
        </w:tc>
        <w:tc>
          <w:tcPr>
            <w:tcW w:w="850" w:type="dxa"/>
            <w:vAlign w:val="center"/>
          </w:tcPr>
          <w:p w14:paraId="4163C30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2.80</w:t>
            </w:r>
          </w:p>
        </w:tc>
        <w:tc>
          <w:tcPr>
            <w:tcW w:w="851" w:type="dxa"/>
            <w:vAlign w:val="center"/>
          </w:tcPr>
          <w:p w14:paraId="2B3CC8A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4.01</w:t>
            </w:r>
          </w:p>
        </w:tc>
        <w:tc>
          <w:tcPr>
            <w:tcW w:w="850" w:type="dxa"/>
            <w:vAlign w:val="center"/>
          </w:tcPr>
          <w:p w14:paraId="55EB10A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35EAA9E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Pantothenate and CoA biosynthesis</w:t>
            </w:r>
          </w:p>
        </w:tc>
        <w:tc>
          <w:tcPr>
            <w:tcW w:w="1345" w:type="dxa"/>
            <w:vAlign w:val="center"/>
          </w:tcPr>
          <w:p w14:paraId="1375D00B" w14:textId="6532B005" w:rsidR="000055B3" w:rsidRPr="000850DA" w:rsidRDefault="00EF1499" w:rsidP="0061622C">
            <w:pPr>
              <w:spacing w:line="240" w:lineRule="auto"/>
              <w:rPr>
                <w:rFonts w:eastAsiaTheme="minorEastAsia" w:cs="Times New Roman"/>
              </w:rPr>
            </w:pPr>
            <w:r w:rsidRPr="000850DA">
              <w:rPr>
                <w:rFonts w:eastAsiaTheme="minorEastAsia" w:cs="Times New Roman"/>
              </w:rPr>
              <w:t>C00864</w:t>
            </w:r>
          </w:p>
        </w:tc>
      </w:tr>
      <w:tr w:rsidR="000055B3" w:rsidRPr="000850DA" w14:paraId="784554D5" w14:textId="4EE695DC" w:rsidTr="0061622C">
        <w:trPr>
          <w:jc w:val="center"/>
        </w:trPr>
        <w:tc>
          <w:tcPr>
            <w:tcW w:w="3261" w:type="dxa"/>
            <w:vAlign w:val="center"/>
          </w:tcPr>
          <w:p w14:paraId="4232B69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(3-</w:t>
            </w:r>
            <w:proofErr w:type="gramStart"/>
            <w:r w:rsidRPr="000850DA">
              <w:rPr>
                <w:rFonts w:eastAsiaTheme="minorEastAsia" w:cs="Times New Roman"/>
              </w:rPr>
              <w:t>Carboxypropyl)trimethylammonium</w:t>
            </w:r>
            <w:proofErr w:type="gramEnd"/>
            <w:r w:rsidRPr="000850DA">
              <w:rPr>
                <w:rFonts w:eastAsiaTheme="minorEastAsia" w:cs="Times New Roman"/>
              </w:rPr>
              <w:t xml:space="preserve"> cation</w:t>
            </w:r>
          </w:p>
        </w:tc>
        <w:tc>
          <w:tcPr>
            <w:tcW w:w="850" w:type="dxa"/>
            <w:vAlign w:val="center"/>
          </w:tcPr>
          <w:p w14:paraId="2E92AC4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2.28</w:t>
            </w:r>
          </w:p>
        </w:tc>
        <w:tc>
          <w:tcPr>
            <w:tcW w:w="851" w:type="dxa"/>
            <w:vAlign w:val="center"/>
          </w:tcPr>
          <w:p w14:paraId="4BE8AE5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1.93</w:t>
            </w:r>
          </w:p>
        </w:tc>
        <w:tc>
          <w:tcPr>
            <w:tcW w:w="850" w:type="dxa"/>
            <w:vAlign w:val="center"/>
          </w:tcPr>
          <w:p w14:paraId="3875D59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1B8FD75A"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7F0FFD2C" w14:textId="2CCE1E41" w:rsidR="000055B3" w:rsidRPr="000850DA" w:rsidRDefault="0061622C"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3E29AA1F" w14:textId="4C50BD77" w:rsidTr="0061622C">
        <w:trPr>
          <w:jc w:val="center"/>
        </w:trPr>
        <w:tc>
          <w:tcPr>
            <w:tcW w:w="3261" w:type="dxa"/>
            <w:vAlign w:val="center"/>
          </w:tcPr>
          <w:p w14:paraId="16D477FA" w14:textId="77777777" w:rsidR="000055B3" w:rsidRPr="000850DA" w:rsidRDefault="000055B3" w:rsidP="0061622C">
            <w:pPr>
              <w:spacing w:line="240" w:lineRule="auto"/>
              <w:rPr>
                <w:rFonts w:eastAsiaTheme="minorEastAsia" w:cs="Times New Roman"/>
              </w:rPr>
            </w:pPr>
            <w:proofErr w:type="gramStart"/>
            <w:r w:rsidRPr="000850DA">
              <w:rPr>
                <w:rFonts w:eastAsiaTheme="minorEastAsia" w:cs="Times New Roman"/>
              </w:rPr>
              <w:t>.beta</w:t>
            </w:r>
            <w:proofErr w:type="gramEnd"/>
            <w:r w:rsidRPr="000850DA">
              <w:rPr>
                <w:rFonts w:eastAsiaTheme="minorEastAsia" w:cs="Times New Roman"/>
              </w:rPr>
              <w:t>.-Cyano-L-alanine</w:t>
            </w:r>
          </w:p>
        </w:tc>
        <w:tc>
          <w:tcPr>
            <w:tcW w:w="850" w:type="dxa"/>
            <w:vAlign w:val="center"/>
          </w:tcPr>
          <w:p w14:paraId="700B6A6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0.39</w:t>
            </w:r>
          </w:p>
        </w:tc>
        <w:tc>
          <w:tcPr>
            <w:tcW w:w="851" w:type="dxa"/>
            <w:vAlign w:val="center"/>
          </w:tcPr>
          <w:p w14:paraId="00FD5D7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0.36</w:t>
            </w:r>
          </w:p>
        </w:tc>
        <w:tc>
          <w:tcPr>
            <w:tcW w:w="850" w:type="dxa"/>
            <w:vAlign w:val="center"/>
          </w:tcPr>
          <w:p w14:paraId="12F8524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5B78A39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50814F14" w14:textId="1785C939"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03A597F8" w14:textId="58926B9E" w:rsidTr="0061622C">
        <w:trPr>
          <w:jc w:val="center"/>
        </w:trPr>
        <w:tc>
          <w:tcPr>
            <w:tcW w:w="3261" w:type="dxa"/>
            <w:vAlign w:val="center"/>
          </w:tcPr>
          <w:p w14:paraId="5F702E98" w14:textId="77777777" w:rsidR="000055B3" w:rsidRPr="000850DA" w:rsidRDefault="000055B3" w:rsidP="0061622C">
            <w:pPr>
              <w:spacing w:line="240" w:lineRule="auto"/>
              <w:rPr>
                <w:rFonts w:eastAsiaTheme="minorEastAsia" w:cs="Times New Roman"/>
              </w:rPr>
            </w:pPr>
            <w:proofErr w:type="gramStart"/>
            <w:r w:rsidRPr="000850DA">
              <w:rPr>
                <w:rFonts w:eastAsiaTheme="minorEastAsia" w:cs="Times New Roman"/>
              </w:rPr>
              <w:t>.gamma</w:t>
            </w:r>
            <w:proofErr w:type="gramEnd"/>
            <w:r w:rsidRPr="000850DA">
              <w:rPr>
                <w:rFonts w:eastAsiaTheme="minorEastAsia" w:cs="Times New Roman"/>
              </w:rPr>
              <w:t>.-L-Glu</w:t>
            </w:r>
            <w:proofErr w:type="gramStart"/>
            <w:r w:rsidRPr="000850DA">
              <w:rPr>
                <w:rFonts w:eastAsiaTheme="minorEastAsia" w:cs="Times New Roman"/>
              </w:rPr>
              <w:t>-.epsilon</w:t>
            </w:r>
            <w:proofErr w:type="gramEnd"/>
            <w:r w:rsidRPr="000850DA">
              <w:rPr>
                <w:rFonts w:eastAsiaTheme="minorEastAsia" w:cs="Times New Roman"/>
              </w:rPr>
              <w:t>.-L-Lys</w:t>
            </w:r>
          </w:p>
        </w:tc>
        <w:tc>
          <w:tcPr>
            <w:tcW w:w="850" w:type="dxa"/>
            <w:vAlign w:val="center"/>
          </w:tcPr>
          <w:p w14:paraId="6DB8540F"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537DB14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18076F2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1.93</w:t>
            </w:r>
          </w:p>
        </w:tc>
        <w:tc>
          <w:tcPr>
            <w:tcW w:w="2908" w:type="dxa"/>
            <w:vAlign w:val="center"/>
          </w:tcPr>
          <w:p w14:paraId="7040DE85"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04377F1E" w14:textId="5F75094D"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59583F8C" w14:textId="1A60E61D" w:rsidTr="0061622C">
        <w:trPr>
          <w:jc w:val="center"/>
        </w:trPr>
        <w:tc>
          <w:tcPr>
            <w:tcW w:w="3261" w:type="dxa"/>
            <w:vAlign w:val="center"/>
          </w:tcPr>
          <w:p w14:paraId="02C3BE1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16-Hydroxypalmitic acid</w:t>
            </w:r>
          </w:p>
        </w:tc>
        <w:tc>
          <w:tcPr>
            <w:tcW w:w="850" w:type="dxa"/>
            <w:vAlign w:val="center"/>
          </w:tcPr>
          <w:p w14:paraId="2A61412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700CDD6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0.58</w:t>
            </w:r>
          </w:p>
        </w:tc>
        <w:tc>
          <w:tcPr>
            <w:tcW w:w="850" w:type="dxa"/>
            <w:vAlign w:val="center"/>
          </w:tcPr>
          <w:p w14:paraId="38972C7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0.66</w:t>
            </w:r>
          </w:p>
        </w:tc>
        <w:tc>
          <w:tcPr>
            <w:tcW w:w="2908" w:type="dxa"/>
            <w:vAlign w:val="center"/>
          </w:tcPr>
          <w:p w14:paraId="1A91759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1268A002" w14:textId="285A606D"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0CF578CA" w14:textId="06DCA5E2" w:rsidTr="0061622C">
        <w:trPr>
          <w:jc w:val="center"/>
        </w:trPr>
        <w:tc>
          <w:tcPr>
            <w:tcW w:w="3261" w:type="dxa"/>
            <w:vAlign w:val="center"/>
          </w:tcPr>
          <w:p w14:paraId="298AD21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1-O-(cis-9-Octadecenyl)-2-O-acetyl-sn-glycero-3-phosphocholine</w:t>
            </w:r>
          </w:p>
        </w:tc>
        <w:tc>
          <w:tcPr>
            <w:tcW w:w="850" w:type="dxa"/>
            <w:vAlign w:val="center"/>
          </w:tcPr>
          <w:p w14:paraId="4DA9F22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0.64</w:t>
            </w:r>
          </w:p>
        </w:tc>
        <w:tc>
          <w:tcPr>
            <w:tcW w:w="851" w:type="dxa"/>
            <w:vAlign w:val="center"/>
          </w:tcPr>
          <w:p w14:paraId="0BBC88EF"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0.64</w:t>
            </w:r>
          </w:p>
        </w:tc>
        <w:tc>
          <w:tcPr>
            <w:tcW w:w="850" w:type="dxa"/>
            <w:vAlign w:val="center"/>
          </w:tcPr>
          <w:p w14:paraId="5ADDF17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0F856EB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59D48DAA" w14:textId="7EEFE3DE"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5DCC48E6" w14:textId="1571C681" w:rsidTr="0061622C">
        <w:trPr>
          <w:jc w:val="center"/>
        </w:trPr>
        <w:tc>
          <w:tcPr>
            <w:tcW w:w="3261" w:type="dxa"/>
            <w:vAlign w:val="center"/>
          </w:tcPr>
          <w:p w14:paraId="40279F1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1-Palmitoyllysophosphatidylcholine</w:t>
            </w:r>
          </w:p>
        </w:tc>
        <w:tc>
          <w:tcPr>
            <w:tcW w:w="850" w:type="dxa"/>
            <w:vAlign w:val="center"/>
          </w:tcPr>
          <w:p w14:paraId="4B0F410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0.69</w:t>
            </w:r>
          </w:p>
        </w:tc>
        <w:tc>
          <w:tcPr>
            <w:tcW w:w="851" w:type="dxa"/>
            <w:vAlign w:val="center"/>
          </w:tcPr>
          <w:p w14:paraId="233E4CD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0.70</w:t>
            </w:r>
          </w:p>
        </w:tc>
        <w:tc>
          <w:tcPr>
            <w:tcW w:w="850" w:type="dxa"/>
            <w:vAlign w:val="center"/>
          </w:tcPr>
          <w:p w14:paraId="2816766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00C9EE6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48D8F823" w14:textId="04B1989F"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1EA9D70A" w14:textId="2FBA882B" w:rsidTr="0061622C">
        <w:trPr>
          <w:jc w:val="center"/>
        </w:trPr>
        <w:tc>
          <w:tcPr>
            <w:tcW w:w="3261" w:type="dxa"/>
            <w:vAlign w:val="center"/>
          </w:tcPr>
          <w:p w14:paraId="01158B1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1-Palmitoyl-sn-glycero-3-phosphocholine</w:t>
            </w:r>
          </w:p>
        </w:tc>
        <w:tc>
          <w:tcPr>
            <w:tcW w:w="850" w:type="dxa"/>
            <w:vAlign w:val="center"/>
          </w:tcPr>
          <w:p w14:paraId="3285564F"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0.58</w:t>
            </w:r>
          </w:p>
        </w:tc>
        <w:tc>
          <w:tcPr>
            <w:tcW w:w="851" w:type="dxa"/>
            <w:vAlign w:val="center"/>
          </w:tcPr>
          <w:p w14:paraId="404CD89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0.49</w:t>
            </w:r>
          </w:p>
        </w:tc>
        <w:tc>
          <w:tcPr>
            <w:tcW w:w="850" w:type="dxa"/>
            <w:vAlign w:val="center"/>
          </w:tcPr>
          <w:p w14:paraId="5F1DC73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1.57</w:t>
            </w:r>
          </w:p>
        </w:tc>
        <w:tc>
          <w:tcPr>
            <w:tcW w:w="2908" w:type="dxa"/>
            <w:vAlign w:val="center"/>
          </w:tcPr>
          <w:p w14:paraId="146FC37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22069D95" w14:textId="3A5E55BE"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0AFC114A" w14:textId="6BB971C5" w:rsidTr="0061622C">
        <w:trPr>
          <w:jc w:val="center"/>
        </w:trPr>
        <w:tc>
          <w:tcPr>
            <w:tcW w:w="3261" w:type="dxa"/>
            <w:vAlign w:val="center"/>
          </w:tcPr>
          <w:p w14:paraId="74AB605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2-Amino-2-methyl-1,3-propanediol</w:t>
            </w:r>
          </w:p>
        </w:tc>
        <w:tc>
          <w:tcPr>
            <w:tcW w:w="850" w:type="dxa"/>
            <w:vAlign w:val="center"/>
          </w:tcPr>
          <w:p w14:paraId="6D9ADA6A"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68BA105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4512A35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1.47</w:t>
            </w:r>
          </w:p>
        </w:tc>
        <w:tc>
          <w:tcPr>
            <w:tcW w:w="2908" w:type="dxa"/>
            <w:vAlign w:val="center"/>
          </w:tcPr>
          <w:p w14:paraId="77120FF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444E8428" w14:textId="37BA37F0"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3F00531C" w14:textId="3F9DE9E9" w:rsidTr="0061622C">
        <w:trPr>
          <w:jc w:val="center"/>
        </w:trPr>
        <w:tc>
          <w:tcPr>
            <w:tcW w:w="3261" w:type="dxa"/>
            <w:vAlign w:val="center"/>
          </w:tcPr>
          <w:p w14:paraId="032FF62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2-Methylbutyroylcarnitine</w:t>
            </w:r>
          </w:p>
        </w:tc>
        <w:tc>
          <w:tcPr>
            <w:tcW w:w="850" w:type="dxa"/>
            <w:vAlign w:val="center"/>
          </w:tcPr>
          <w:p w14:paraId="6203582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2.34</w:t>
            </w:r>
          </w:p>
        </w:tc>
        <w:tc>
          <w:tcPr>
            <w:tcW w:w="851" w:type="dxa"/>
            <w:vAlign w:val="center"/>
          </w:tcPr>
          <w:p w14:paraId="355A11D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2.85</w:t>
            </w:r>
          </w:p>
        </w:tc>
        <w:tc>
          <w:tcPr>
            <w:tcW w:w="850" w:type="dxa"/>
            <w:vAlign w:val="center"/>
          </w:tcPr>
          <w:p w14:paraId="5B6C042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59E8473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28235794" w14:textId="21651001"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14D62682" w14:textId="763C4A8F" w:rsidTr="0061622C">
        <w:trPr>
          <w:jc w:val="center"/>
        </w:trPr>
        <w:tc>
          <w:tcPr>
            <w:tcW w:w="3261" w:type="dxa"/>
            <w:vAlign w:val="center"/>
          </w:tcPr>
          <w:p w14:paraId="0A811C0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6-Aminocaproic acid</w:t>
            </w:r>
          </w:p>
        </w:tc>
        <w:tc>
          <w:tcPr>
            <w:tcW w:w="850" w:type="dxa"/>
            <w:vAlign w:val="center"/>
          </w:tcPr>
          <w:p w14:paraId="161C537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0.08</w:t>
            </w:r>
          </w:p>
        </w:tc>
        <w:tc>
          <w:tcPr>
            <w:tcW w:w="851" w:type="dxa"/>
            <w:vAlign w:val="center"/>
          </w:tcPr>
          <w:p w14:paraId="57BAD4C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0.07</w:t>
            </w:r>
          </w:p>
        </w:tc>
        <w:tc>
          <w:tcPr>
            <w:tcW w:w="850" w:type="dxa"/>
            <w:vAlign w:val="center"/>
          </w:tcPr>
          <w:p w14:paraId="3582646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652E2D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02053FBF" w14:textId="7121B91F"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576D4796" w14:textId="18C2BEF6" w:rsidTr="0061622C">
        <w:trPr>
          <w:jc w:val="center"/>
        </w:trPr>
        <w:tc>
          <w:tcPr>
            <w:tcW w:w="3261" w:type="dxa"/>
            <w:vAlign w:val="center"/>
          </w:tcPr>
          <w:p w14:paraId="7690041E"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Acadesine</w:t>
            </w:r>
            <w:proofErr w:type="spellEnd"/>
            <w:r w:rsidRPr="000850DA">
              <w:rPr>
                <w:rFonts w:eastAsiaTheme="minorEastAsia" w:cs="Times New Roman"/>
              </w:rPr>
              <w:t xml:space="preserve"> (Drug)</w:t>
            </w:r>
          </w:p>
        </w:tc>
        <w:tc>
          <w:tcPr>
            <w:tcW w:w="850" w:type="dxa"/>
            <w:vAlign w:val="center"/>
          </w:tcPr>
          <w:p w14:paraId="0DFAEA4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2.30</w:t>
            </w:r>
          </w:p>
        </w:tc>
        <w:tc>
          <w:tcPr>
            <w:tcW w:w="851" w:type="dxa"/>
            <w:vAlign w:val="center"/>
          </w:tcPr>
          <w:p w14:paraId="6DF9CD7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234BAF10"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2987BD1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0224AA07" w14:textId="7DFDE2C0" w:rsidR="000055B3" w:rsidRPr="000850DA" w:rsidRDefault="00A5786B" w:rsidP="0061622C">
            <w:pPr>
              <w:spacing w:line="240" w:lineRule="auto"/>
              <w:rPr>
                <w:rFonts w:eastAsiaTheme="minorEastAsia" w:cs="Times New Roman"/>
                <w:bCs/>
              </w:rPr>
            </w:pPr>
            <w:r w:rsidRPr="000850DA">
              <w:rPr>
                <w:rFonts w:eastAsiaTheme="minorEastAsia" w:cs="Times New Roman"/>
                <w:bCs/>
              </w:rPr>
              <w:t>D02742</w:t>
            </w:r>
          </w:p>
        </w:tc>
      </w:tr>
      <w:tr w:rsidR="000055B3" w:rsidRPr="000850DA" w14:paraId="4F1AFF72" w14:textId="371538BB" w:rsidTr="0061622C">
        <w:trPr>
          <w:jc w:val="center"/>
        </w:trPr>
        <w:tc>
          <w:tcPr>
            <w:tcW w:w="3261" w:type="dxa"/>
            <w:vAlign w:val="center"/>
          </w:tcPr>
          <w:p w14:paraId="16601C7D"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Acetylglycine</w:t>
            </w:r>
            <w:proofErr w:type="spellEnd"/>
          </w:p>
        </w:tc>
        <w:tc>
          <w:tcPr>
            <w:tcW w:w="850" w:type="dxa"/>
            <w:vAlign w:val="center"/>
          </w:tcPr>
          <w:p w14:paraId="0031967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09662FC5"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3043588F"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0.39</w:t>
            </w:r>
          </w:p>
        </w:tc>
        <w:tc>
          <w:tcPr>
            <w:tcW w:w="2908" w:type="dxa"/>
            <w:vAlign w:val="center"/>
          </w:tcPr>
          <w:p w14:paraId="22A92C7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442E33CD" w14:textId="586ED929"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5865AF9C" w14:textId="580C67B8" w:rsidTr="0061622C">
        <w:trPr>
          <w:jc w:val="center"/>
        </w:trPr>
        <w:tc>
          <w:tcPr>
            <w:tcW w:w="3261" w:type="dxa"/>
            <w:vAlign w:val="center"/>
          </w:tcPr>
          <w:p w14:paraId="59C69B6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Allantoin</w:t>
            </w:r>
          </w:p>
        </w:tc>
        <w:tc>
          <w:tcPr>
            <w:tcW w:w="850" w:type="dxa"/>
            <w:vAlign w:val="center"/>
          </w:tcPr>
          <w:p w14:paraId="3345B96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0.65</w:t>
            </w:r>
          </w:p>
        </w:tc>
        <w:tc>
          <w:tcPr>
            <w:tcW w:w="851" w:type="dxa"/>
            <w:vAlign w:val="center"/>
          </w:tcPr>
          <w:p w14:paraId="14E69A95"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6DC50AC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3B3AC35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6EF3EAC9" w14:textId="77BF19DD" w:rsidR="000055B3" w:rsidRPr="000850DA" w:rsidRDefault="00A5786B" w:rsidP="0061622C">
            <w:pPr>
              <w:spacing w:line="240" w:lineRule="auto"/>
              <w:rPr>
                <w:rFonts w:eastAsiaTheme="minorEastAsia" w:cs="Times New Roman"/>
                <w:bCs/>
              </w:rPr>
            </w:pPr>
            <w:r w:rsidRPr="000850DA">
              <w:rPr>
                <w:rFonts w:eastAsiaTheme="minorEastAsia" w:cs="Times New Roman"/>
                <w:bCs/>
              </w:rPr>
              <w:t>C01551</w:t>
            </w:r>
          </w:p>
        </w:tc>
      </w:tr>
      <w:tr w:rsidR="000055B3" w:rsidRPr="000850DA" w14:paraId="7B9AB6A1" w14:textId="43B4ED98" w:rsidTr="0061622C">
        <w:trPr>
          <w:jc w:val="center"/>
        </w:trPr>
        <w:tc>
          <w:tcPr>
            <w:tcW w:w="3261" w:type="dxa"/>
            <w:vAlign w:val="center"/>
          </w:tcPr>
          <w:p w14:paraId="500ED1E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Arg-</w:t>
            </w:r>
            <w:proofErr w:type="spellStart"/>
            <w:r w:rsidRPr="000850DA">
              <w:rPr>
                <w:rFonts w:eastAsiaTheme="minorEastAsia" w:cs="Times New Roman"/>
              </w:rPr>
              <w:t>Cys</w:t>
            </w:r>
            <w:proofErr w:type="spellEnd"/>
          </w:p>
        </w:tc>
        <w:tc>
          <w:tcPr>
            <w:tcW w:w="850" w:type="dxa"/>
            <w:vAlign w:val="center"/>
          </w:tcPr>
          <w:p w14:paraId="639884A1"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6D25074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4095131F"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0.78</w:t>
            </w:r>
          </w:p>
        </w:tc>
        <w:tc>
          <w:tcPr>
            <w:tcW w:w="2908" w:type="dxa"/>
            <w:vAlign w:val="center"/>
          </w:tcPr>
          <w:p w14:paraId="320B6E7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0F0BBE8F" w14:textId="77662F85"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112A6280" w14:textId="1F036210" w:rsidTr="0061622C">
        <w:trPr>
          <w:jc w:val="center"/>
        </w:trPr>
        <w:tc>
          <w:tcPr>
            <w:tcW w:w="3261" w:type="dxa"/>
            <w:vAlign w:val="center"/>
          </w:tcPr>
          <w:p w14:paraId="795D3D0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Decanoyl-L-carnitine</w:t>
            </w:r>
          </w:p>
        </w:tc>
        <w:tc>
          <w:tcPr>
            <w:tcW w:w="850" w:type="dxa"/>
            <w:vAlign w:val="center"/>
          </w:tcPr>
          <w:p w14:paraId="08FBA0E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1.80</w:t>
            </w:r>
          </w:p>
        </w:tc>
        <w:tc>
          <w:tcPr>
            <w:tcW w:w="851" w:type="dxa"/>
            <w:vAlign w:val="center"/>
          </w:tcPr>
          <w:p w14:paraId="3858393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1.90</w:t>
            </w:r>
          </w:p>
        </w:tc>
        <w:tc>
          <w:tcPr>
            <w:tcW w:w="850" w:type="dxa"/>
            <w:vAlign w:val="center"/>
          </w:tcPr>
          <w:p w14:paraId="2B97225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00DEC2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5FD5B815" w14:textId="249B1A10"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0EC79E70" w14:textId="3A7D9906" w:rsidTr="0061622C">
        <w:trPr>
          <w:jc w:val="center"/>
        </w:trPr>
        <w:tc>
          <w:tcPr>
            <w:tcW w:w="3261" w:type="dxa"/>
            <w:vAlign w:val="center"/>
          </w:tcPr>
          <w:p w14:paraId="22118E6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Diazepam</w:t>
            </w:r>
          </w:p>
        </w:tc>
        <w:tc>
          <w:tcPr>
            <w:tcW w:w="850" w:type="dxa"/>
            <w:vAlign w:val="center"/>
          </w:tcPr>
          <w:p w14:paraId="169117A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5746374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3BC3095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5.14</w:t>
            </w:r>
          </w:p>
        </w:tc>
        <w:tc>
          <w:tcPr>
            <w:tcW w:w="2908" w:type="dxa"/>
            <w:vAlign w:val="center"/>
          </w:tcPr>
          <w:p w14:paraId="444B109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7F644BB9" w14:textId="2C92F5CF"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2D335088" w14:textId="6BB6F38D" w:rsidTr="0061622C">
        <w:trPr>
          <w:jc w:val="center"/>
        </w:trPr>
        <w:tc>
          <w:tcPr>
            <w:tcW w:w="3261" w:type="dxa"/>
            <w:vAlign w:val="center"/>
          </w:tcPr>
          <w:p w14:paraId="1B15E9A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Diethyltoluamide</w:t>
            </w:r>
          </w:p>
        </w:tc>
        <w:tc>
          <w:tcPr>
            <w:tcW w:w="850" w:type="dxa"/>
            <w:vAlign w:val="center"/>
          </w:tcPr>
          <w:p w14:paraId="32B1AA0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0.52</w:t>
            </w:r>
          </w:p>
        </w:tc>
        <w:tc>
          <w:tcPr>
            <w:tcW w:w="851" w:type="dxa"/>
            <w:vAlign w:val="center"/>
          </w:tcPr>
          <w:p w14:paraId="64D37EE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0.53</w:t>
            </w:r>
          </w:p>
        </w:tc>
        <w:tc>
          <w:tcPr>
            <w:tcW w:w="850" w:type="dxa"/>
            <w:vAlign w:val="center"/>
          </w:tcPr>
          <w:p w14:paraId="20B8CAB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C44F9E2"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64AA6906" w14:textId="7AC6C871"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6E1EB4D9" w14:textId="2596593E" w:rsidTr="0061622C">
        <w:trPr>
          <w:jc w:val="center"/>
        </w:trPr>
        <w:tc>
          <w:tcPr>
            <w:tcW w:w="3261" w:type="dxa"/>
            <w:vAlign w:val="center"/>
          </w:tcPr>
          <w:p w14:paraId="24A54DF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DL-Indole-3-lactic acid</w:t>
            </w:r>
          </w:p>
        </w:tc>
        <w:tc>
          <w:tcPr>
            <w:tcW w:w="850" w:type="dxa"/>
            <w:vAlign w:val="center"/>
          </w:tcPr>
          <w:p w14:paraId="74ABFCE6"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0.64</w:t>
            </w:r>
          </w:p>
        </w:tc>
        <w:tc>
          <w:tcPr>
            <w:tcW w:w="851" w:type="dxa"/>
            <w:vAlign w:val="center"/>
          </w:tcPr>
          <w:p w14:paraId="0512086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1FD93335"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A8E3F4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13EA75D8" w14:textId="095CA981"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5BD85448" w14:textId="313688E3" w:rsidTr="0061622C">
        <w:trPr>
          <w:jc w:val="center"/>
        </w:trPr>
        <w:tc>
          <w:tcPr>
            <w:tcW w:w="3261" w:type="dxa"/>
            <w:vAlign w:val="center"/>
          </w:tcPr>
          <w:p w14:paraId="2B0CE72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DL-O-tyrosine</w:t>
            </w:r>
          </w:p>
        </w:tc>
        <w:tc>
          <w:tcPr>
            <w:tcW w:w="850" w:type="dxa"/>
            <w:vAlign w:val="center"/>
          </w:tcPr>
          <w:p w14:paraId="290CF35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0.73</w:t>
            </w:r>
          </w:p>
        </w:tc>
        <w:tc>
          <w:tcPr>
            <w:tcW w:w="851" w:type="dxa"/>
            <w:vAlign w:val="center"/>
          </w:tcPr>
          <w:p w14:paraId="70DF926A"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4C00CF7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5624C64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142E4449" w14:textId="01103987"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736F348B" w14:textId="233F15A7" w:rsidTr="0061622C">
        <w:trPr>
          <w:jc w:val="center"/>
        </w:trPr>
        <w:tc>
          <w:tcPr>
            <w:tcW w:w="3261" w:type="dxa"/>
            <w:vAlign w:val="center"/>
          </w:tcPr>
          <w:p w14:paraId="152645F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D-Mannitol</w:t>
            </w:r>
          </w:p>
        </w:tc>
        <w:tc>
          <w:tcPr>
            <w:tcW w:w="850" w:type="dxa"/>
            <w:vAlign w:val="center"/>
          </w:tcPr>
          <w:p w14:paraId="7856FF9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3C97AB5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21958CC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3.37</w:t>
            </w:r>
          </w:p>
        </w:tc>
        <w:tc>
          <w:tcPr>
            <w:tcW w:w="2908" w:type="dxa"/>
            <w:vAlign w:val="center"/>
          </w:tcPr>
          <w:p w14:paraId="0145F25B" w14:textId="7968E182" w:rsidR="000055B3" w:rsidRPr="000850DA" w:rsidRDefault="00886D0A" w:rsidP="0061622C">
            <w:pPr>
              <w:spacing w:line="240" w:lineRule="auto"/>
              <w:rPr>
                <w:rFonts w:eastAsiaTheme="minorEastAsia" w:cs="Times New Roman"/>
              </w:rPr>
            </w:pPr>
            <w:r w:rsidRPr="000850DA">
              <w:rPr>
                <w:rFonts w:eastAsiaTheme="minorEastAsia" w:cs="Times New Roman"/>
              </w:rPr>
              <w:t>Fructose and mannose metabolism</w:t>
            </w:r>
          </w:p>
        </w:tc>
        <w:tc>
          <w:tcPr>
            <w:tcW w:w="1345" w:type="dxa"/>
            <w:vAlign w:val="center"/>
          </w:tcPr>
          <w:p w14:paraId="462E5F6A" w14:textId="27DECA84" w:rsidR="000055B3" w:rsidRPr="000850DA" w:rsidRDefault="00534431" w:rsidP="0061622C">
            <w:pPr>
              <w:spacing w:line="240" w:lineRule="auto"/>
              <w:rPr>
                <w:rFonts w:eastAsiaTheme="minorEastAsia" w:cs="Times New Roman"/>
                <w:bCs/>
              </w:rPr>
            </w:pPr>
            <w:r w:rsidRPr="000850DA">
              <w:rPr>
                <w:rFonts w:eastAsiaTheme="minorEastAsia" w:cs="Times New Roman"/>
                <w:bCs/>
              </w:rPr>
              <w:t>C00392</w:t>
            </w:r>
          </w:p>
        </w:tc>
      </w:tr>
      <w:tr w:rsidR="000055B3" w:rsidRPr="000850DA" w14:paraId="1C88940A" w14:textId="03C6C6E2" w:rsidTr="0061622C">
        <w:trPr>
          <w:jc w:val="center"/>
        </w:trPr>
        <w:tc>
          <w:tcPr>
            <w:tcW w:w="3261" w:type="dxa"/>
            <w:vAlign w:val="center"/>
          </w:tcPr>
          <w:p w14:paraId="0C3FAE2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D-Pipecolinic acid</w:t>
            </w:r>
          </w:p>
        </w:tc>
        <w:tc>
          <w:tcPr>
            <w:tcW w:w="850" w:type="dxa"/>
            <w:vAlign w:val="center"/>
          </w:tcPr>
          <w:p w14:paraId="02083A7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2.44</w:t>
            </w:r>
          </w:p>
        </w:tc>
        <w:tc>
          <w:tcPr>
            <w:tcW w:w="851" w:type="dxa"/>
            <w:vAlign w:val="center"/>
          </w:tcPr>
          <w:p w14:paraId="10B811E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009435A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2.13</w:t>
            </w:r>
          </w:p>
        </w:tc>
        <w:tc>
          <w:tcPr>
            <w:tcW w:w="2908" w:type="dxa"/>
            <w:vAlign w:val="center"/>
          </w:tcPr>
          <w:p w14:paraId="50DBD50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7BC88F02" w14:textId="21A5DBFA"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7A157B83" w14:textId="2327E343" w:rsidTr="0061622C">
        <w:trPr>
          <w:jc w:val="center"/>
        </w:trPr>
        <w:tc>
          <w:tcPr>
            <w:tcW w:w="3261" w:type="dxa"/>
            <w:vAlign w:val="center"/>
          </w:tcPr>
          <w:p w14:paraId="3EA3F37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Gly-Arg</w:t>
            </w:r>
          </w:p>
        </w:tc>
        <w:tc>
          <w:tcPr>
            <w:tcW w:w="850" w:type="dxa"/>
            <w:vAlign w:val="center"/>
          </w:tcPr>
          <w:p w14:paraId="32BEE52F"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606AF93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02E7953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1.82</w:t>
            </w:r>
          </w:p>
        </w:tc>
        <w:tc>
          <w:tcPr>
            <w:tcW w:w="2908" w:type="dxa"/>
            <w:vAlign w:val="center"/>
          </w:tcPr>
          <w:p w14:paraId="0954177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4C46508A" w14:textId="0F473E27"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39DEE83E" w14:textId="455E76B5" w:rsidTr="0061622C">
        <w:trPr>
          <w:jc w:val="center"/>
        </w:trPr>
        <w:tc>
          <w:tcPr>
            <w:tcW w:w="3261" w:type="dxa"/>
            <w:vAlign w:val="center"/>
          </w:tcPr>
          <w:p w14:paraId="2530396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Gly-Gln</w:t>
            </w:r>
          </w:p>
        </w:tc>
        <w:tc>
          <w:tcPr>
            <w:tcW w:w="850" w:type="dxa"/>
            <w:vAlign w:val="center"/>
          </w:tcPr>
          <w:p w14:paraId="461719D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4.55</w:t>
            </w:r>
          </w:p>
        </w:tc>
        <w:tc>
          <w:tcPr>
            <w:tcW w:w="851" w:type="dxa"/>
            <w:vAlign w:val="center"/>
          </w:tcPr>
          <w:p w14:paraId="7F46CC0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5A0F2075"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115D0D96"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53FCCADB" w14:textId="37A3C7AF"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3979D917" w14:textId="2426EF1A" w:rsidTr="0061622C">
        <w:trPr>
          <w:jc w:val="center"/>
        </w:trPr>
        <w:tc>
          <w:tcPr>
            <w:tcW w:w="3261" w:type="dxa"/>
            <w:vAlign w:val="center"/>
          </w:tcPr>
          <w:p w14:paraId="3780679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His-Glu</w:t>
            </w:r>
          </w:p>
        </w:tc>
        <w:tc>
          <w:tcPr>
            <w:tcW w:w="850" w:type="dxa"/>
            <w:vAlign w:val="center"/>
          </w:tcPr>
          <w:p w14:paraId="541205BC"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0.25</w:t>
            </w:r>
          </w:p>
        </w:tc>
        <w:tc>
          <w:tcPr>
            <w:tcW w:w="851" w:type="dxa"/>
            <w:vAlign w:val="center"/>
          </w:tcPr>
          <w:p w14:paraId="5272D1E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0.29</w:t>
            </w:r>
          </w:p>
        </w:tc>
        <w:tc>
          <w:tcPr>
            <w:tcW w:w="850" w:type="dxa"/>
            <w:vAlign w:val="center"/>
          </w:tcPr>
          <w:p w14:paraId="19EAF471"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5B05A02"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04AF7511" w14:textId="204ECD6F"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35953F7D" w14:textId="0FCCEFF3" w:rsidTr="0061622C">
        <w:trPr>
          <w:jc w:val="center"/>
        </w:trPr>
        <w:tc>
          <w:tcPr>
            <w:tcW w:w="3261" w:type="dxa"/>
            <w:vAlign w:val="center"/>
          </w:tcPr>
          <w:p w14:paraId="128A2372"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Indoleacrylic</w:t>
            </w:r>
            <w:proofErr w:type="spellEnd"/>
            <w:r w:rsidRPr="000850DA">
              <w:rPr>
                <w:rFonts w:eastAsiaTheme="minorEastAsia" w:cs="Times New Roman"/>
              </w:rPr>
              <w:t xml:space="preserve"> acid</w:t>
            </w:r>
          </w:p>
        </w:tc>
        <w:tc>
          <w:tcPr>
            <w:tcW w:w="850" w:type="dxa"/>
            <w:vAlign w:val="center"/>
          </w:tcPr>
          <w:p w14:paraId="587E88F4"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0.70</w:t>
            </w:r>
          </w:p>
        </w:tc>
        <w:tc>
          <w:tcPr>
            <w:tcW w:w="851" w:type="dxa"/>
            <w:vAlign w:val="center"/>
          </w:tcPr>
          <w:p w14:paraId="0958EFD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33F657A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0C8DC39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441E0163" w14:textId="3FC5E48D"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2E903D19" w14:textId="661A4462" w:rsidTr="0061622C">
        <w:trPr>
          <w:jc w:val="center"/>
        </w:trPr>
        <w:tc>
          <w:tcPr>
            <w:tcW w:w="3261" w:type="dxa"/>
            <w:vAlign w:val="center"/>
          </w:tcPr>
          <w:p w14:paraId="39B16AC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Inosine</w:t>
            </w:r>
          </w:p>
        </w:tc>
        <w:tc>
          <w:tcPr>
            <w:tcW w:w="850" w:type="dxa"/>
            <w:vAlign w:val="center"/>
          </w:tcPr>
          <w:p w14:paraId="6659983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1630C2CF"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2.36</w:t>
            </w:r>
          </w:p>
        </w:tc>
        <w:tc>
          <w:tcPr>
            <w:tcW w:w="850" w:type="dxa"/>
            <w:vAlign w:val="center"/>
          </w:tcPr>
          <w:p w14:paraId="67AE305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1.74</w:t>
            </w:r>
          </w:p>
        </w:tc>
        <w:tc>
          <w:tcPr>
            <w:tcW w:w="2908" w:type="dxa"/>
            <w:vAlign w:val="center"/>
          </w:tcPr>
          <w:p w14:paraId="2081CC88" w14:textId="51D6C53B" w:rsidR="000055B3" w:rsidRPr="000850DA" w:rsidRDefault="009E3996" w:rsidP="0061622C">
            <w:pPr>
              <w:spacing w:line="240" w:lineRule="auto"/>
              <w:rPr>
                <w:rFonts w:eastAsiaTheme="minorEastAsia" w:cs="Times New Roman"/>
              </w:rPr>
            </w:pPr>
            <w:r w:rsidRPr="000850DA">
              <w:rPr>
                <w:rFonts w:eastAsiaTheme="minorEastAsia" w:cs="Times New Roman"/>
              </w:rPr>
              <w:t>Purine metabolism</w:t>
            </w:r>
          </w:p>
        </w:tc>
        <w:tc>
          <w:tcPr>
            <w:tcW w:w="1345" w:type="dxa"/>
            <w:vAlign w:val="center"/>
          </w:tcPr>
          <w:p w14:paraId="18BE472F" w14:textId="14D3319C" w:rsidR="000055B3" w:rsidRPr="000850DA" w:rsidRDefault="009E3996" w:rsidP="0061622C">
            <w:pPr>
              <w:spacing w:line="240" w:lineRule="auto"/>
              <w:rPr>
                <w:rFonts w:eastAsiaTheme="minorEastAsia" w:cs="Times New Roman"/>
                <w:bCs/>
              </w:rPr>
            </w:pPr>
            <w:r w:rsidRPr="000850DA">
              <w:rPr>
                <w:rFonts w:eastAsiaTheme="minorEastAsia" w:cs="Times New Roman"/>
                <w:bCs/>
              </w:rPr>
              <w:t>C00294</w:t>
            </w:r>
          </w:p>
        </w:tc>
      </w:tr>
      <w:tr w:rsidR="000055B3" w:rsidRPr="000850DA" w14:paraId="29863162" w14:textId="0EC8712C" w:rsidTr="0061622C">
        <w:trPr>
          <w:jc w:val="center"/>
        </w:trPr>
        <w:tc>
          <w:tcPr>
            <w:tcW w:w="3261" w:type="dxa"/>
            <w:vAlign w:val="center"/>
          </w:tcPr>
          <w:p w14:paraId="6E84AAB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KOdiA-PC</w:t>
            </w:r>
          </w:p>
        </w:tc>
        <w:tc>
          <w:tcPr>
            <w:tcW w:w="850" w:type="dxa"/>
            <w:vAlign w:val="center"/>
          </w:tcPr>
          <w:p w14:paraId="7295347F"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0.72</w:t>
            </w:r>
          </w:p>
        </w:tc>
        <w:tc>
          <w:tcPr>
            <w:tcW w:w="851" w:type="dxa"/>
            <w:vAlign w:val="center"/>
          </w:tcPr>
          <w:p w14:paraId="610BD110"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1D60466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117AA7D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3AAA4CEC" w14:textId="7FF215D4"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09178BE9" w14:textId="05F6E6AF" w:rsidTr="0061622C">
        <w:trPr>
          <w:jc w:val="center"/>
        </w:trPr>
        <w:tc>
          <w:tcPr>
            <w:tcW w:w="3261" w:type="dxa"/>
            <w:vAlign w:val="center"/>
          </w:tcPr>
          <w:p w14:paraId="1C21589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lastRenderedPageBreak/>
              <w:t>N</w:t>
            </w:r>
            <w:proofErr w:type="gramStart"/>
            <w:r w:rsidRPr="000850DA">
              <w:rPr>
                <w:rFonts w:eastAsiaTheme="minorEastAsia" w:cs="Times New Roman"/>
              </w:rPr>
              <w:t>2,N</w:t>
            </w:r>
            <w:proofErr w:type="gramEnd"/>
            <w:r w:rsidRPr="000850DA">
              <w:rPr>
                <w:rFonts w:eastAsiaTheme="minorEastAsia" w:cs="Times New Roman"/>
              </w:rPr>
              <w:t>2-Dimethylguanosine</w:t>
            </w:r>
          </w:p>
        </w:tc>
        <w:tc>
          <w:tcPr>
            <w:tcW w:w="850" w:type="dxa"/>
            <w:vAlign w:val="center"/>
          </w:tcPr>
          <w:p w14:paraId="46515AF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2.18</w:t>
            </w:r>
          </w:p>
        </w:tc>
        <w:tc>
          <w:tcPr>
            <w:tcW w:w="851" w:type="dxa"/>
            <w:vAlign w:val="center"/>
          </w:tcPr>
          <w:p w14:paraId="3A1BD76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3.92</w:t>
            </w:r>
          </w:p>
        </w:tc>
        <w:tc>
          <w:tcPr>
            <w:tcW w:w="850" w:type="dxa"/>
            <w:vAlign w:val="center"/>
          </w:tcPr>
          <w:p w14:paraId="592449B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1.79</w:t>
            </w:r>
          </w:p>
        </w:tc>
        <w:tc>
          <w:tcPr>
            <w:tcW w:w="2908" w:type="dxa"/>
            <w:vAlign w:val="center"/>
          </w:tcPr>
          <w:p w14:paraId="602BBDA7"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6BFC7235" w14:textId="429FE350"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19FB1B09" w14:textId="34C7D2EE" w:rsidTr="0061622C">
        <w:trPr>
          <w:jc w:val="center"/>
        </w:trPr>
        <w:tc>
          <w:tcPr>
            <w:tcW w:w="3261" w:type="dxa"/>
            <w:vAlign w:val="center"/>
          </w:tcPr>
          <w:p w14:paraId="675F0DC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N6-methyladenosine</w:t>
            </w:r>
          </w:p>
        </w:tc>
        <w:tc>
          <w:tcPr>
            <w:tcW w:w="850" w:type="dxa"/>
            <w:vAlign w:val="center"/>
          </w:tcPr>
          <w:p w14:paraId="449FBA7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1.35</w:t>
            </w:r>
          </w:p>
        </w:tc>
        <w:tc>
          <w:tcPr>
            <w:tcW w:w="851" w:type="dxa"/>
            <w:vAlign w:val="center"/>
          </w:tcPr>
          <w:p w14:paraId="3EC081A1"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7A39CBA3"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0.84</w:t>
            </w:r>
          </w:p>
        </w:tc>
        <w:tc>
          <w:tcPr>
            <w:tcW w:w="2908" w:type="dxa"/>
            <w:vAlign w:val="center"/>
          </w:tcPr>
          <w:p w14:paraId="1646175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70F3B9C4" w14:textId="640F066D"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3FDB8840" w14:textId="21E5938C" w:rsidTr="0061622C">
        <w:trPr>
          <w:jc w:val="center"/>
        </w:trPr>
        <w:tc>
          <w:tcPr>
            <w:tcW w:w="3261" w:type="dxa"/>
            <w:vAlign w:val="center"/>
          </w:tcPr>
          <w:p w14:paraId="5148F05A"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N-Acetylneuraminic acid</w:t>
            </w:r>
          </w:p>
        </w:tc>
        <w:tc>
          <w:tcPr>
            <w:tcW w:w="850" w:type="dxa"/>
            <w:vAlign w:val="center"/>
          </w:tcPr>
          <w:p w14:paraId="76397C7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3.29</w:t>
            </w:r>
          </w:p>
        </w:tc>
        <w:tc>
          <w:tcPr>
            <w:tcW w:w="851" w:type="dxa"/>
            <w:vAlign w:val="center"/>
          </w:tcPr>
          <w:p w14:paraId="1669D8C6"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75ADE617"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1.93</w:t>
            </w:r>
          </w:p>
        </w:tc>
        <w:tc>
          <w:tcPr>
            <w:tcW w:w="2908" w:type="dxa"/>
            <w:vAlign w:val="center"/>
          </w:tcPr>
          <w:p w14:paraId="2B60E91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7F5A3374" w14:textId="0D76356B" w:rsidR="000055B3" w:rsidRPr="000850DA" w:rsidRDefault="008B281A" w:rsidP="0061622C">
            <w:pPr>
              <w:spacing w:line="240" w:lineRule="auto"/>
              <w:rPr>
                <w:rFonts w:eastAsiaTheme="minorEastAsia" w:cs="Times New Roman"/>
                <w:bCs/>
              </w:rPr>
            </w:pPr>
            <w:r w:rsidRPr="000850DA">
              <w:rPr>
                <w:rFonts w:eastAsiaTheme="minorEastAsia" w:cs="Times New Roman"/>
                <w:bCs/>
              </w:rPr>
              <w:t>C19910</w:t>
            </w:r>
          </w:p>
        </w:tc>
      </w:tr>
      <w:tr w:rsidR="000055B3" w:rsidRPr="000850DA" w14:paraId="36906DAA" w14:textId="7F52C7CA" w:rsidTr="0061622C">
        <w:trPr>
          <w:jc w:val="center"/>
        </w:trPr>
        <w:tc>
          <w:tcPr>
            <w:tcW w:w="3261" w:type="dxa"/>
            <w:vAlign w:val="center"/>
          </w:tcPr>
          <w:p w14:paraId="6406D81D"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Norharmane</w:t>
            </w:r>
            <w:proofErr w:type="spellEnd"/>
          </w:p>
        </w:tc>
        <w:tc>
          <w:tcPr>
            <w:tcW w:w="850" w:type="dxa"/>
            <w:vAlign w:val="center"/>
          </w:tcPr>
          <w:p w14:paraId="759DBAB5"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0.56</w:t>
            </w:r>
          </w:p>
        </w:tc>
        <w:tc>
          <w:tcPr>
            <w:tcW w:w="851" w:type="dxa"/>
            <w:vAlign w:val="center"/>
          </w:tcPr>
          <w:p w14:paraId="3F109A5B"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0.50</w:t>
            </w:r>
          </w:p>
        </w:tc>
        <w:tc>
          <w:tcPr>
            <w:tcW w:w="850" w:type="dxa"/>
            <w:vAlign w:val="center"/>
          </w:tcPr>
          <w:p w14:paraId="7AFE5E6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0B78DBAF"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25C7863F" w14:textId="54196927"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63EA97DC" w14:textId="56CD6C70" w:rsidTr="0061622C">
        <w:trPr>
          <w:jc w:val="center"/>
        </w:trPr>
        <w:tc>
          <w:tcPr>
            <w:tcW w:w="3261" w:type="dxa"/>
            <w:vAlign w:val="center"/>
          </w:tcPr>
          <w:p w14:paraId="5DCBE93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Ornithine</w:t>
            </w:r>
          </w:p>
        </w:tc>
        <w:tc>
          <w:tcPr>
            <w:tcW w:w="850" w:type="dxa"/>
            <w:vAlign w:val="center"/>
          </w:tcPr>
          <w:p w14:paraId="72BF211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0.39</w:t>
            </w:r>
          </w:p>
        </w:tc>
        <w:tc>
          <w:tcPr>
            <w:tcW w:w="851" w:type="dxa"/>
            <w:vAlign w:val="center"/>
          </w:tcPr>
          <w:p w14:paraId="2964A8E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1.63</w:t>
            </w:r>
          </w:p>
        </w:tc>
        <w:tc>
          <w:tcPr>
            <w:tcW w:w="850" w:type="dxa"/>
            <w:vAlign w:val="center"/>
          </w:tcPr>
          <w:p w14:paraId="15B1497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1.56</w:t>
            </w:r>
          </w:p>
        </w:tc>
        <w:tc>
          <w:tcPr>
            <w:tcW w:w="2908" w:type="dxa"/>
            <w:vAlign w:val="center"/>
          </w:tcPr>
          <w:p w14:paraId="4D5C2B01"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21C5EA71" w14:textId="2E5F4E2B" w:rsidR="000055B3" w:rsidRPr="000850DA" w:rsidRDefault="00792322" w:rsidP="0061622C">
            <w:pPr>
              <w:spacing w:line="240" w:lineRule="auto"/>
              <w:rPr>
                <w:rFonts w:eastAsiaTheme="minorEastAsia" w:cs="Times New Roman"/>
                <w:bCs/>
              </w:rPr>
            </w:pPr>
            <w:r w:rsidRPr="000850DA">
              <w:rPr>
                <w:rFonts w:eastAsiaTheme="minorEastAsia" w:cs="Times New Roman"/>
                <w:bCs/>
              </w:rPr>
              <w:t>C01602</w:t>
            </w:r>
          </w:p>
        </w:tc>
      </w:tr>
      <w:tr w:rsidR="000055B3" w:rsidRPr="000850DA" w14:paraId="172C2523" w14:textId="5E8EDC7A" w:rsidTr="0061622C">
        <w:trPr>
          <w:jc w:val="center"/>
        </w:trPr>
        <w:tc>
          <w:tcPr>
            <w:tcW w:w="3261" w:type="dxa"/>
            <w:vAlign w:val="center"/>
          </w:tcPr>
          <w:p w14:paraId="39D0AC3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Oxindole</w:t>
            </w:r>
          </w:p>
        </w:tc>
        <w:tc>
          <w:tcPr>
            <w:tcW w:w="850" w:type="dxa"/>
            <w:vAlign w:val="center"/>
          </w:tcPr>
          <w:p w14:paraId="156C676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7AC843B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6FDBC1F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2.51</w:t>
            </w:r>
          </w:p>
        </w:tc>
        <w:tc>
          <w:tcPr>
            <w:tcW w:w="2908" w:type="dxa"/>
            <w:vAlign w:val="center"/>
          </w:tcPr>
          <w:p w14:paraId="5CADEB6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29AD0F96" w14:textId="34A035C1"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36E25C2C" w14:textId="30137E41" w:rsidTr="0061622C">
        <w:trPr>
          <w:jc w:val="center"/>
        </w:trPr>
        <w:tc>
          <w:tcPr>
            <w:tcW w:w="3261" w:type="dxa"/>
            <w:vAlign w:val="center"/>
          </w:tcPr>
          <w:p w14:paraId="13995FF9"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Pro-Glu</w:t>
            </w:r>
          </w:p>
        </w:tc>
        <w:tc>
          <w:tcPr>
            <w:tcW w:w="850" w:type="dxa"/>
            <w:vAlign w:val="center"/>
          </w:tcPr>
          <w:p w14:paraId="7E038608"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3.36</w:t>
            </w:r>
          </w:p>
        </w:tc>
        <w:tc>
          <w:tcPr>
            <w:tcW w:w="851" w:type="dxa"/>
            <w:vAlign w:val="center"/>
          </w:tcPr>
          <w:p w14:paraId="6839D20C"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0D3BFAFE"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51189393"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76DF592E" w14:textId="16F35B01" w:rsidR="000055B3" w:rsidRPr="000850DA" w:rsidRDefault="00EB14D3" w:rsidP="0061622C">
            <w:pPr>
              <w:spacing w:line="240" w:lineRule="auto"/>
              <w:rPr>
                <w:rFonts w:eastAsiaTheme="minorEastAsia" w:cs="Times New Roman"/>
                <w:bCs/>
              </w:rPr>
            </w:pPr>
            <w:r w:rsidRPr="000850DA">
              <w:rPr>
                <w:rFonts w:eastAsiaTheme="minorEastAsia" w:cs="Times New Roman"/>
                <w:bCs/>
              </w:rPr>
              <w:t>—</w:t>
            </w:r>
          </w:p>
        </w:tc>
      </w:tr>
      <w:tr w:rsidR="000055B3" w:rsidRPr="000850DA" w14:paraId="36641F63" w14:textId="642DB340" w:rsidTr="0061622C">
        <w:trPr>
          <w:jc w:val="center"/>
        </w:trPr>
        <w:tc>
          <w:tcPr>
            <w:tcW w:w="3261" w:type="dxa"/>
            <w:vAlign w:val="center"/>
          </w:tcPr>
          <w:p w14:paraId="24F6E1CC"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Ribitol</w:t>
            </w:r>
            <w:proofErr w:type="spellEnd"/>
          </w:p>
        </w:tc>
        <w:tc>
          <w:tcPr>
            <w:tcW w:w="850" w:type="dxa"/>
            <w:vAlign w:val="center"/>
          </w:tcPr>
          <w:p w14:paraId="2E41127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vAlign w:val="center"/>
          </w:tcPr>
          <w:p w14:paraId="116E6AC0"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2.27</w:t>
            </w:r>
          </w:p>
        </w:tc>
        <w:tc>
          <w:tcPr>
            <w:tcW w:w="850" w:type="dxa"/>
            <w:vAlign w:val="center"/>
          </w:tcPr>
          <w:p w14:paraId="54020378"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6C4BE384" w14:textId="4090D4FC" w:rsidR="000055B3" w:rsidRPr="000850DA" w:rsidRDefault="004F0183" w:rsidP="0061622C">
            <w:pPr>
              <w:spacing w:line="240" w:lineRule="auto"/>
              <w:rPr>
                <w:rFonts w:eastAsiaTheme="minorEastAsia" w:cs="Times New Roman"/>
              </w:rPr>
            </w:pPr>
            <w:r w:rsidRPr="000850DA">
              <w:rPr>
                <w:rFonts w:eastAsiaTheme="minorEastAsia" w:cs="Times New Roman"/>
              </w:rPr>
              <w:t>Pentose and glucuronate interconversions</w:t>
            </w:r>
          </w:p>
        </w:tc>
        <w:tc>
          <w:tcPr>
            <w:tcW w:w="1345" w:type="dxa"/>
            <w:vAlign w:val="center"/>
          </w:tcPr>
          <w:p w14:paraId="48429C22" w14:textId="0A27C45C" w:rsidR="000055B3" w:rsidRPr="000850DA" w:rsidRDefault="00164A58" w:rsidP="0061622C">
            <w:pPr>
              <w:spacing w:line="240" w:lineRule="auto"/>
              <w:rPr>
                <w:rFonts w:eastAsiaTheme="minorEastAsia" w:cs="Times New Roman"/>
                <w:bCs/>
              </w:rPr>
            </w:pPr>
            <w:r w:rsidRPr="000850DA">
              <w:rPr>
                <w:rFonts w:eastAsiaTheme="minorEastAsia" w:cs="Times New Roman"/>
                <w:bCs/>
              </w:rPr>
              <w:t>C00474</w:t>
            </w:r>
          </w:p>
        </w:tc>
      </w:tr>
      <w:tr w:rsidR="000055B3" w:rsidRPr="000850DA" w14:paraId="0CBDB492" w14:textId="2D143A04" w:rsidTr="0061622C">
        <w:trPr>
          <w:jc w:val="center"/>
        </w:trPr>
        <w:tc>
          <w:tcPr>
            <w:tcW w:w="3261" w:type="dxa"/>
            <w:vAlign w:val="center"/>
          </w:tcPr>
          <w:p w14:paraId="3A14EA1D"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Sebacic acid</w:t>
            </w:r>
          </w:p>
        </w:tc>
        <w:tc>
          <w:tcPr>
            <w:tcW w:w="850" w:type="dxa"/>
            <w:vAlign w:val="center"/>
          </w:tcPr>
          <w:p w14:paraId="4F662982"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0.60</w:t>
            </w:r>
          </w:p>
        </w:tc>
        <w:tc>
          <w:tcPr>
            <w:tcW w:w="851" w:type="dxa"/>
            <w:vAlign w:val="center"/>
          </w:tcPr>
          <w:p w14:paraId="1D534B4D"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0" w:type="dxa"/>
            <w:vAlign w:val="center"/>
          </w:tcPr>
          <w:p w14:paraId="1F7C921B"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2908" w:type="dxa"/>
            <w:vAlign w:val="center"/>
          </w:tcPr>
          <w:p w14:paraId="08FDD414"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vAlign w:val="center"/>
          </w:tcPr>
          <w:p w14:paraId="7C027135" w14:textId="78D888E5" w:rsidR="000055B3" w:rsidRPr="000850DA" w:rsidRDefault="002A2336" w:rsidP="0061622C">
            <w:pPr>
              <w:spacing w:line="240" w:lineRule="auto"/>
              <w:rPr>
                <w:rFonts w:eastAsiaTheme="minorEastAsia" w:cs="Times New Roman"/>
                <w:bCs/>
              </w:rPr>
            </w:pPr>
            <w:r w:rsidRPr="000850DA">
              <w:rPr>
                <w:rFonts w:eastAsiaTheme="minorEastAsia" w:cs="Times New Roman"/>
                <w:bCs/>
              </w:rPr>
              <w:t>C08277</w:t>
            </w:r>
          </w:p>
        </w:tc>
      </w:tr>
      <w:tr w:rsidR="000055B3" w:rsidRPr="000850DA" w14:paraId="6479C615" w14:textId="274977BA" w:rsidTr="0061622C">
        <w:trPr>
          <w:jc w:val="center"/>
        </w:trPr>
        <w:tc>
          <w:tcPr>
            <w:tcW w:w="3261" w:type="dxa"/>
            <w:tcBorders>
              <w:bottom w:val="single" w:sz="4" w:space="0" w:color="auto"/>
            </w:tcBorders>
            <w:vAlign w:val="center"/>
          </w:tcPr>
          <w:p w14:paraId="64C50C72" w14:textId="77777777" w:rsidR="000055B3" w:rsidRPr="000850DA" w:rsidRDefault="000055B3" w:rsidP="0061622C">
            <w:pPr>
              <w:spacing w:line="240" w:lineRule="auto"/>
              <w:rPr>
                <w:rFonts w:eastAsiaTheme="minorEastAsia" w:cs="Times New Roman"/>
              </w:rPr>
            </w:pPr>
            <w:proofErr w:type="spellStart"/>
            <w:r w:rsidRPr="000850DA">
              <w:rPr>
                <w:rFonts w:eastAsiaTheme="minorEastAsia" w:cs="Times New Roman"/>
              </w:rPr>
              <w:t>Thr</w:t>
            </w:r>
            <w:proofErr w:type="spellEnd"/>
            <w:r w:rsidRPr="000850DA">
              <w:rPr>
                <w:rFonts w:eastAsiaTheme="minorEastAsia" w:cs="Times New Roman"/>
              </w:rPr>
              <w:t>-Glu</w:t>
            </w:r>
          </w:p>
        </w:tc>
        <w:tc>
          <w:tcPr>
            <w:tcW w:w="850" w:type="dxa"/>
            <w:tcBorders>
              <w:bottom w:val="single" w:sz="4" w:space="0" w:color="auto"/>
            </w:tcBorders>
            <w:vAlign w:val="center"/>
          </w:tcPr>
          <w:p w14:paraId="767B4F39"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851" w:type="dxa"/>
            <w:tcBorders>
              <w:bottom w:val="single" w:sz="4" w:space="0" w:color="auto"/>
            </w:tcBorders>
            <w:vAlign w:val="center"/>
          </w:tcPr>
          <w:p w14:paraId="739B276E"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2.16</w:t>
            </w:r>
          </w:p>
        </w:tc>
        <w:tc>
          <w:tcPr>
            <w:tcW w:w="850" w:type="dxa"/>
            <w:tcBorders>
              <w:bottom w:val="single" w:sz="4" w:space="0" w:color="auto"/>
            </w:tcBorders>
            <w:vAlign w:val="center"/>
          </w:tcPr>
          <w:p w14:paraId="22448C31" w14:textId="77777777" w:rsidR="000055B3" w:rsidRPr="000850DA" w:rsidRDefault="000055B3" w:rsidP="0061622C">
            <w:pPr>
              <w:spacing w:line="240" w:lineRule="auto"/>
              <w:rPr>
                <w:rFonts w:eastAsiaTheme="minorEastAsia" w:cs="Times New Roman"/>
              </w:rPr>
            </w:pPr>
            <w:r w:rsidRPr="000850DA">
              <w:rPr>
                <w:rFonts w:eastAsiaTheme="minorEastAsia" w:cs="Times New Roman"/>
              </w:rPr>
              <w:t>1.56</w:t>
            </w:r>
          </w:p>
        </w:tc>
        <w:tc>
          <w:tcPr>
            <w:tcW w:w="2908" w:type="dxa"/>
            <w:tcBorders>
              <w:bottom w:val="single" w:sz="4" w:space="0" w:color="auto"/>
            </w:tcBorders>
            <w:vAlign w:val="center"/>
          </w:tcPr>
          <w:p w14:paraId="3AC2F690" w14:textId="77777777" w:rsidR="000055B3" w:rsidRPr="000850DA" w:rsidRDefault="000055B3" w:rsidP="0061622C">
            <w:pPr>
              <w:spacing w:line="240" w:lineRule="auto"/>
              <w:rPr>
                <w:rFonts w:eastAsiaTheme="minorEastAsia" w:cs="Times New Roman"/>
              </w:rPr>
            </w:pPr>
            <w:r w:rsidRPr="000850DA">
              <w:rPr>
                <w:rFonts w:eastAsiaTheme="minorEastAsia" w:cs="Times New Roman"/>
                <w:b/>
              </w:rPr>
              <w:t>—</w:t>
            </w:r>
          </w:p>
        </w:tc>
        <w:tc>
          <w:tcPr>
            <w:tcW w:w="1345" w:type="dxa"/>
            <w:tcBorders>
              <w:bottom w:val="single" w:sz="4" w:space="0" w:color="auto"/>
            </w:tcBorders>
            <w:vAlign w:val="center"/>
          </w:tcPr>
          <w:p w14:paraId="4882D70A" w14:textId="312D00A4" w:rsidR="000055B3" w:rsidRPr="000850DA" w:rsidRDefault="00EB14D3" w:rsidP="0061622C">
            <w:pPr>
              <w:spacing w:line="240" w:lineRule="auto"/>
              <w:rPr>
                <w:rFonts w:eastAsiaTheme="minorEastAsia" w:cs="Times New Roman"/>
                <w:b/>
              </w:rPr>
            </w:pPr>
            <w:r w:rsidRPr="000850DA">
              <w:rPr>
                <w:rFonts w:eastAsiaTheme="minorEastAsia" w:cs="Times New Roman"/>
                <w:b/>
              </w:rPr>
              <w:t>—</w:t>
            </w:r>
          </w:p>
        </w:tc>
      </w:tr>
    </w:tbl>
    <w:p w14:paraId="139752F7" w14:textId="5C4EF811" w:rsidR="00634A0D" w:rsidRPr="000850DA" w:rsidRDefault="00CE3879" w:rsidP="00634A0D">
      <w:pPr>
        <w:spacing w:line="240" w:lineRule="auto"/>
        <w:jc w:val="left"/>
        <w:rPr>
          <w:rFonts w:eastAsiaTheme="minorEastAsia"/>
        </w:rPr>
      </w:pPr>
      <w:r w:rsidRPr="000850DA">
        <w:rPr>
          <w:rFonts w:eastAsiaTheme="minorEastAsia"/>
          <w:b/>
          <w:bCs/>
        </w:rPr>
        <w:t xml:space="preserve">Abbreviations: </w:t>
      </w:r>
      <w:r w:rsidR="00634A0D" w:rsidRPr="000850DA">
        <w:rPr>
          <w:rFonts w:eastAsiaTheme="minorEastAsia"/>
        </w:rPr>
        <w:t>SS</w:t>
      </w:r>
      <w:r w:rsidR="00634A0D" w:rsidRPr="000850DA">
        <w:rPr>
          <w:rFonts w:eastAsiaTheme="minorEastAsia" w:hint="eastAsia"/>
        </w:rPr>
        <w:t>,</w:t>
      </w:r>
      <w:r w:rsidR="00634A0D" w:rsidRPr="000850DA">
        <w:rPr>
          <w:rFonts w:eastAsiaTheme="minorEastAsia"/>
        </w:rPr>
        <w:t xml:space="preserve"> septic shock survivors</w:t>
      </w:r>
      <w:r w:rsidR="00634A0D" w:rsidRPr="000850DA">
        <w:rPr>
          <w:rFonts w:eastAsiaTheme="minorEastAsia" w:hint="eastAsia"/>
        </w:rPr>
        <w:t>;</w:t>
      </w:r>
      <w:r w:rsidR="00634A0D" w:rsidRPr="000850DA">
        <w:rPr>
          <w:rFonts w:eastAsiaTheme="minorEastAsia"/>
        </w:rPr>
        <w:t xml:space="preserve"> SNS</w:t>
      </w:r>
      <w:r w:rsidR="00634A0D" w:rsidRPr="000850DA">
        <w:rPr>
          <w:rFonts w:eastAsiaTheme="minorEastAsia" w:hint="eastAsia"/>
        </w:rPr>
        <w:t>,</w:t>
      </w:r>
      <w:r w:rsidR="00634A0D" w:rsidRPr="000850DA">
        <w:rPr>
          <w:rFonts w:eastAsiaTheme="minorEastAsia"/>
        </w:rPr>
        <w:t xml:space="preserve"> septic shock non-survivors</w:t>
      </w:r>
      <w:r w:rsidR="00634A0D" w:rsidRPr="000850DA">
        <w:rPr>
          <w:rFonts w:eastAsiaTheme="minorEastAsia" w:hint="eastAsia"/>
        </w:rPr>
        <w:t>;</w:t>
      </w:r>
      <w:r w:rsidR="00634A0D" w:rsidRPr="000850DA">
        <w:rPr>
          <w:rFonts w:eastAsiaTheme="minorEastAsia"/>
        </w:rPr>
        <w:t xml:space="preserve"> SIRS</w:t>
      </w:r>
      <w:r w:rsidR="00634A0D" w:rsidRPr="000850DA">
        <w:rPr>
          <w:rFonts w:eastAsiaTheme="minorEastAsia" w:hint="eastAsia"/>
        </w:rPr>
        <w:t>,</w:t>
      </w:r>
      <w:r w:rsidR="00634A0D" w:rsidRPr="000850DA">
        <w:rPr>
          <w:rFonts w:eastAsiaTheme="minorEastAsia"/>
        </w:rPr>
        <w:t xml:space="preserve"> non-infected SIRS control</w:t>
      </w:r>
      <w:r w:rsidR="00634A0D" w:rsidRPr="000850DA">
        <w:rPr>
          <w:rFonts w:eastAsiaTheme="minorEastAsia" w:hint="eastAsia"/>
        </w:rPr>
        <w:t>;</w:t>
      </w:r>
      <w:r w:rsidR="00634A0D" w:rsidRPr="000850DA">
        <w:rPr>
          <w:rFonts w:eastAsiaTheme="minorEastAsia"/>
        </w:rPr>
        <w:t xml:space="preserve"> FC fold change</w:t>
      </w:r>
      <w:r w:rsidR="00F03870" w:rsidRPr="000850DA">
        <w:rPr>
          <w:rFonts w:eastAsiaTheme="minorEastAsia" w:hint="eastAsia"/>
        </w:rPr>
        <w:t xml:space="preserve">; KEGG, </w:t>
      </w:r>
      <w:r w:rsidR="0098080D" w:rsidRPr="000850DA">
        <w:t>Kyoto Encyclopedia of Genes and Genomes</w:t>
      </w:r>
      <w:r w:rsidR="0098080D" w:rsidRPr="000850DA">
        <w:rPr>
          <w:rFonts w:hint="eastAsia"/>
        </w:rPr>
        <w:t>.</w:t>
      </w:r>
    </w:p>
    <w:p w14:paraId="25B5D3C5" w14:textId="4B8A0236" w:rsidR="00634A0D" w:rsidRPr="000850DA" w:rsidRDefault="00634A0D">
      <w:pPr>
        <w:widowControl/>
        <w:spacing w:line="240" w:lineRule="auto"/>
        <w:jc w:val="left"/>
        <w:rPr>
          <w:rFonts w:eastAsiaTheme="minorEastAsia"/>
        </w:rPr>
      </w:pPr>
      <w:r w:rsidRPr="000850DA">
        <w:rPr>
          <w:rFonts w:eastAsiaTheme="minorEastAsia"/>
        </w:rPr>
        <w:br w:type="page"/>
      </w:r>
    </w:p>
    <w:p w14:paraId="2DD9745E" w14:textId="6386F311" w:rsidR="00AE7BE5" w:rsidRPr="000850DA" w:rsidRDefault="00AE7BE5" w:rsidP="00634A0D">
      <w:pPr>
        <w:spacing w:line="240" w:lineRule="auto"/>
        <w:rPr>
          <w:rFonts w:eastAsiaTheme="minorEastAsia" w:cs="Times New Roman"/>
        </w:rPr>
      </w:pPr>
      <w:proofErr w:type="spellStart"/>
      <w:r w:rsidRPr="000850DA">
        <w:rPr>
          <w:rFonts w:eastAsiaTheme="minorEastAsia" w:hint="eastAsia"/>
          <w:b/>
          <w:bCs/>
        </w:rPr>
        <w:lastRenderedPageBreak/>
        <w:t>eTable</w:t>
      </w:r>
      <w:proofErr w:type="spellEnd"/>
      <w:r w:rsidRPr="000850DA">
        <w:rPr>
          <w:rFonts w:eastAsiaTheme="minorEastAsia" w:hint="eastAsia"/>
          <w:b/>
          <w:bCs/>
        </w:rPr>
        <w:t xml:space="preserve"> 3</w:t>
      </w:r>
      <w:r w:rsidRPr="000850DA">
        <w:rPr>
          <w:rFonts w:cs="Times New Roman"/>
          <w:b/>
          <w:bCs/>
        </w:rPr>
        <w:t xml:space="preserve"> </w:t>
      </w:r>
      <w:r w:rsidRPr="000850DA">
        <w:rPr>
          <w:rFonts w:cs="Times New Roman"/>
        </w:rPr>
        <w:t xml:space="preserve">Identified differential metabolites of the </w:t>
      </w:r>
      <w:r w:rsidRPr="000850DA">
        <w:rPr>
          <w:rFonts w:cs="Times New Roman"/>
          <w:color w:val="000000" w:themeColor="text1"/>
        </w:rPr>
        <w:t xml:space="preserve">three comparative groups </w:t>
      </w:r>
      <w:r w:rsidRPr="000850DA">
        <w:rPr>
          <w:rFonts w:cs="Times New Roman"/>
        </w:rPr>
        <w:t>in negative mode</w:t>
      </w:r>
    </w:p>
    <w:tbl>
      <w:tblPr>
        <w:tblW w:w="5566" w:type="pct"/>
        <w:tblInd w:w="-284" w:type="dxa"/>
        <w:tblLook w:val="04A0" w:firstRow="1" w:lastRow="0" w:firstColumn="1" w:lastColumn="0" w:noHBand="0" w:noVBand="1"/>
      </w:tblPr>
      <w:tblGrid>
        <w:gridCol w:w="2656"/>
        <w:gridCol w:w="750"/>
        <w:gridCol w:w="755"/>
        <w:gridCol w:w="773"/>
        <w:gridCol w:w="2503"/>
        <w:gridCol w:w="1803"/>
      </w:tblGrid>
      <w:tr w:rsidR="00132FDA" w:rsidRPr="000850DA" w14:paraId="226787AD" w14:textId="478D595E" w:rsidTr="00132FDA">
        <w:trPr>
          <w:trHeight w:val="425"/>
        </w:trPr>
        <w:tc>
          <w:tcPr>
            <w:tcW w:w="1458" w:type="pct"/>
            <w:vMerge w:val="restart"/>
            <w:tcBorders>
              <w:top w:val="single" w:sz="4" w:space="0" w:color="auto"/>
            </w:tcBorders>
            <w:vAlign w:val="center"/>
            <w:hideMark/>
          </w:tcPr>
          <w:p w14:paraId="4FB32D68" w14:textId="77777777" w:rsidR="00132FDA" w:rsidRPr="000850DA" w:rsidRDefault="00132FDA" w:rsidP="00132FDA">
            <w:pPr>
              <w:spacing w:line="240" w:lineRule="auto"/>
              <w:rPr>
                <w:rFonts w:eastAsiaTheme="minorEastAsia" w:cs="Times New Roman"/>
                <w:b/>
                <w:bCs/>
              </w:rPr>
            </w:pPr>
            <w:r w:rsidRPr="000850DA">
              <w:rPr>
                <w:rFonts w:eastAsiaTheme="minorEastAsia" w:cs="Times New Roman"/>
                <w:b/>
                <w:bCs/>
              </w:rPr>
              <w:t>Metabolites</w:t>
            </w:r>
          </w:p>
        </w:tc>
        <w:tc>
          <w:tcPr>
            <w:tcW w:w="460" w:type="pct"/>
            <w:tcBorders>
              <w:top w:val="single" w:sz="4" w:space="0" w:color="auto"/>
              <w:bottom w:val="single" w:sz="4" w:space="0" w:color="auto"/>
            </w:tcBorders>
            <w:vAlign w:val="center"/>
            <w:hideMark/>
          </w:tcPr>
          <w:p w14:paraId="27E1E1DF" w14:textId="77777777" w:rsidR="00132FDA" w:rsidRPr="000850DA" w:rsidRDefault="00132FDA" w:rsidP="00132FDA">
            <w:pPr>
              <w:spacing w:line="240" w:lineRule="auto"/>
              <w:rPr>
                <w:rFonts w:eastAsiaTheme="minorEastAsia" w:cs="Times New Roman"/>
                <w:b/>
                <w:bCs/>
              </w:rPr>
            </w:pPr>
            <w:r w:rsidRPr="000850DA">
              <w:rPr>
                <w:rFonts w:eastAsiaTheme="minorEastAsia" w:cs="Times New Roman"/>
                <w:b/>
                <w:bCs/>
              </w:rPr>
              <w:t>SS-SIRS</w:t>
            </w:r>
          </w:p>
        </w:tc>
        <w:tc>
          <w:tcPr>
            <w:tcW w:w="460" w:type="pct"/>
            <w:tcBorders>
              <w:top w:val="single" w:sz="4" w:space="0" w:color="auto"/>
              <w:bottom w:val="single" w:sz="4" w:space="0" w:color="auto"/>
            </w:tcBorders>
            <w:vAlign w:val="center"/>
            <w:hideMark/>
          </w:tcPr>
          <w:p w14:paraId="1FA301DA" w14:textId="77777777" w:rsidR="00132FDA" w:rsidRPr="000850DA" w:rsidRDefault="00132FDA" w:rsidP="00132FDA">
            <w:pPr>
              <w:spacing w:line="240" w:lineRule="auto"/>
              <w:rPr>
                <w:rFonts w:eastAsiaTheme="minorEastAsia" w:cs="Times New Roman"/>
                <w:b/>
                <w:bCs/>
              </w:rPr>
            </w:pPr>
            <w:r w:rsidRPr="000850DA">
              <w:rPr>
                <w:rFonts w:eastAsiaTheme="minorEastAsia" w:cs="Times New Roman"/>
                <w:b/>
                <w:bCs/>
              </w:rPr>
              <w:t>SNS-SIRS</w:t>
            </w:r>
          </w:p>
        </w:tc>
        <w:tc>
          <w:tcPr>
            <w:tcW w:w="460" w:type="pct"/>
            <w:tcBorders>
              <w:top w:val="single" w:sz="4" w:space="0" w:color="auto"/>
              <w:bottom w:val="single" w:sz="4" w:space="0" w:color="auto"/>
            </w:tcBorders>
            <w:vAlign w:val="center"/>
            <w:hideMark/>
          </w:tcPr>
          <w:p w14:paraId="4B8AD9DE" w14:textId="77777777" w:rsidR="00132FDA" w:rsidRPr="000850DA" w:rsidRDefault="00132FDA" w:rsidP="00132FDA">
            <w:pPr>
              <w:spacing w:line="240" w:lineRule="auto"/>
              <w:rPr>
                <w:rFonts w:eastAsiaTheme="minorEastAsia" w:cs="Times New Roman"/>
                <w:b/>
                <w:bCs/>
              </w:rPr>
            </w:pPr>
            <w:r w:rsidRPr="000850DA">
              <w:rPr>
                <w:rFonts w:eastAsiaTheme="minorEastAsia" w:cs="Times New Roman"/>
                <w:b/>
                <w:bCs/>
              </w:rPr>
              <w:t>SNS-</w:t>
            </w:r>
          </w:p>
          <w:p w14:paraId="28D4F30A" w14:textId="77777777" w:rsidR="00132FDA" w:rsidRPr="000850DA" w:rsidRDefault="00132FDA" w:rsidP="00132FDA">
            <w:pPr>
              <w:spacing w:line="240" w:lineRule="auto"/>
              <w:rPr>
                <w:rFonts w:eastAsiaTheme="minorEastAsia" w:cs="Times New Roman"/>
                <w:b/>
                <w:bCs/>
              </w:rPr>
            </w:pPr>
            <w:r w:rsidRPr="000850DA">
              <w:rPr>
                <w:rFonts w:eastAsiaTheme="minorEastAsia" w:cs="Times New Roman"/>
                <w:b/>
                <w:bCs/>
              </w:rPr>
              <w:t>SS</w:t>
            </w:r>
          </w:p>
        </w:tc>
        <w:tc>
          <w:tcPr>
            <w:tcW w:w="1396" w:type="pct"/>
            <w:vMerge w:val="restart"/>
            <w:tcBorders>
              <w:top w:val="single" w:sz="4" w:space="0" w:color="auto"/>
            </w:tcBorders>
            <w:vAlign w:val="center"/>
            <w:hideMark/>
          </w:tcPr>
          <w:p w14:paraId="0C7C94DD" w14:textId="77777777" w:rsidR="00132FDA" w:rsidRPr="000850DA" w:rsidRDefault="00132FDA" w:rsidP="00132FDA">
            <w:pPr>
              <w:spacing w:line="240" w:lineRule="auto"/>
              <w:rPr>
                <w:rFonts w:eastAsiaTheme="minorEastAsia" w:cs="Times New Roman"/>
                <w:b/>
              </w:rPr>
            </w:pPr>
            <w:r w:rsidRPr="000850DA">
              <w:rPr>
                <w:rFonts w:eastAsiaTheme="minorEastAsia" w:cs="Times New Roman"/>
                <w:b/>
              </w:rPr>
              <w:t>Pathways</w:t>
            </w:r>
          </w:p>
        </w:tc>
        <w:tc>
          <w:tcPr>
            <w:tcW w:w="765" w:type="pct"/>
            <w:vMerge w:val="restart"/>
            <w:tcBorders>
              <w:top w:val="single" w:sz="4" w:space="0" w:color="auto"/>
            </w:tcBorders>
            <w:vAlign w:val="center"/>
          </w:tcPr>
          <w:p w14:paraId="14AA4B82" w14:textId="41138C67" w:rsidR="00132FDA" w:rsidRPr="000850DA" w:rsidRDefault="00132FDA" w:rsidP="00132FDA">
            <w:pPr>
              <w:spacing w:line="240" w:lineRule="auto"/>
              <w:rPr>
                <w:rFonts w:eastAsiaTheme="minorEastAsia" w:cs="Times New Roman"/>
                <w:b/>
              </w:rPr>
            </w:pPr>
            <w:r w:rsidRPr="000850DA">
              <w:rPr>
                <w:rFonts w:eastAsiaTheme="minorEastAsia" w:cs="Times New Roman" w:hint="eastAsia"/>
                <w:b/>
              </w:rPr>
              <w:t>KEGG ID</w:t>
            </w:r>
          </w:p>
        </w:tc>
      </w:tr>
      <w:tr w:rsidR="00132FDA" w:rsidRPr="000850DA" w14:paraId="03FD4B75" w14:textId="1ADC7E2F" w:rsidTr="00132FDA">
        <w:trPr>
          <w:trHeight w:val="110"/>
        </w:trPr>
        <w:tc>
          <w:tcPr>
            <w:tcW w:w="1458" w:type="pct"/>
            <w:vMerge/>
            <w:tcBorders>
              <w:bottom w:val="single" w:sz="4" w:space="0" w:color="auto"/>
            </w:tcBorders>
            <w:vAlign w:val="center"/>
            <w:hideMark/>
          </w:tcPr>
          <w:p w14:paraId="78CCC3D2" w14:textId="77777777" w:rsidR="00132FDA" w:rsidRPr="000850DA" w:rsidRDefault="00132FDA" w:rsidP="00132FDA">
            <w:pPr>
              <w:spacing w:line="240" w:lineRule="auto"/>
              <w:rPr>
                <w:rFonts w:eastAsiaTheme="minorEastAsia" w:cs="Times New Roman"/>
                <w:b/>
                <w:bCs/>
              </w:rPr>
            </w:pPr>
          </w:p>
        </w:tc>
        <w:tc>
          <w:tcPr>
            <w:tcW w:w="460" w:type="pct"/>
            <w:tcBorders>
              <w:top w:val="single" w:sz="4" w:space="0" w:color="auto"/>
              <w:bottom w:val="single" w:sz="4" w:space="0" w:color="auto"/>
            </w:tcBorders>
            <w:vAlign w:val="center"/>
            <w:hideMark/>
          </w:tcPr>
          <w:p w14:paraId="62815688" w14:textId="77777777" w:rsidR="00132FDA" w:rsidRPr="000850DA" w:rsidRDefault="00132FDA" w:rsidP="00132FDA">
            <w:pPr>
              <w:spacing w:line="240" w:lineRule="auto"/>
              <w:rPr>
                <w:rFonts w:eastAsiaTheme="minorEastAsia" w:cs="Times New Roman"/>
                <w:b/>
                <w:bCs/>
              </w:rPr>
            </w:pPr>
            <w:r w:rsidRPr="000850DA">
              <w:rPr>
                <w:rFonts w:eastAsiaTheme="minorEastAsia" w:cs="Times New Roman"/>
                <w:b/>
                <w:bCs/>
              </w:rPr>
              <w:t>FC</w:t>
            </w:r>
          </w:p>
        </w:tc>
        <w:tc>
          <w:tcPr>
            <w:tcW w:w="460" w:type="pct"/>
            <w:tcBorders>
              <w:top w:val="single" w:sz="4" w:space="0" w:color="auto"/>
              <w:bottom w:val="single" w:sz="4" w:space="0" w:color="auto"/>
            </w:tcBorders>
            <w:vAlign w:val="center"/>
            <w:hideMark/>
          </w:tcPr>
          <w:p w14:paraId="16E19A5E" w14:textId="77777777" w:rsidR="00132FDA" w:rsidRPr="000850DA" w:rsidRDefault="00132FDA" w:rsidP="00132FDA">
            <w:pPr>
              <w:spacing w:line="240" w:lineRule="auto"/>
              <w:rPr>
                <w:rFonts w:eastAsiaTheme="minorEastAsia" w:cs="Times New Roman"/>
                <w:b/>
                <w:bCs/>
              </w:rPr>
            </w:pPr>
            <w:r w:rsidRPr="000850DA">
              <w:rPr>
                <w:rFonts w:eastAsiaTheme="minorEastAsia" w:cs="Times New Roman"/>
                <w:b/>
                <w:bCs/>
              </w:rPr>
              <w:t>FC</w:t>
            </w:r>
          </w:p>
        </w:tc>
        <w:tc>
          <w:tcPr>
            <w:tcW w:w="460" w:type="pct"/>
            <w:tcBorders>
              <w:top w:val="single" w:sz="4" w:space="0" w:color="auto"/>
              <w:bottom w:val="single" w:sz="4" w:space="0" w:color="auto"/>
            </w:tcBorders>
            <w:vAlign w:val="center"/>
            <w:hideMark/>
          </w:tcPr>
          <w:p w14:paraId="67EBBE65" w14:textId="77777777" w:rsidR="00132FDA" w:rsidRPr="000850DA" w:rsidRDefault="00132FDA" w:rsidP="00132FDA">
            <w:pPr>
              <w:spacing w:line="240" w:lineRule="auto"/>
              <w:rPr>
                <w:rFonts w:eastAsiaTheme="minorEastAsia" w:cs="Times New Roman"/>
                <w:b/>
                <w:bCs/>
              </w:rPr>
            </w:pPr>
            <w:r w:rsidRPr="000850DA">
              <w:rPr>
                <w:rFonts w:eastAsiaTheme="minorEastAsia" w:cs="Times New Roman"/>
                <w:b/>
                <w:bCs/>
              </w:rPr>
              <w:t>FC</w:t>
            </w:r>
          </w:p>
        </w:tc>
        <w:tc>
          <w:tcPr>
            <w:tcW w:w="1396" w:type="pct"/>
            <w:vMerge/>
            <w:tcBorders>
              <w:bottom w:val="single" w:sz="4" w:space="0" w:color="auto"/>
            </w:tcBorders>
            <w:vAlign w:val="center"/>
            <w:hideMark/>
          </w:tcPr>
          <w:p w14:paraId="59F41603" w14:textId="77777777" w:rsidR="00132FDA" w:rsidRPr="000850DA" w:rsidRDefault="00132FDA" w:rsidP="00132FDA">
            <w:pPr>
              <w:spacing w:line="240" w:lineRule="auto"/>
              <w:rPr>
                <w:rFonts w:eastAsiaTheme="minorEastAsia" w:cs="Times New Roman"/>
                <w:b/>
              </w:rPr>
            </w:pPr>
          </w:p>
        </w:tc>
        <w:tc>
          <w:tcPr>
            <w:tcW w:w="765" w:type="pct"/>
            <w:vMerge/>
            <w:tcBorders>
              <w:bottom w:val="single" w:sz="4" w:space="0" w:color="auto"/>
            </w:tcBorders>
            <w:vAlign w:val="center"/>
          </w:tcPr>
          <w:p w14:paraId="17E19D5B" w14:textId="77777777" w:rsidR="00132FDA" w:rsidRPr="000850DA" w:rsidRDefault="00132FDA" w:rsidP="00132FDA">
            <w:pPr>
              <w:spacing w:line="240" w:lineRule="auto"/>
              <w:rPr>
                <w:rFonts w:eastAsiaTheme="minorEastAsia" w:cs="Times New Roman"/>
                <w:b/>
              </w:rPr>
            </w:pPr>
          </w:p>
        </w:tc>
      </w:tr>
      <w:tr w:rsidR="00132FDA" w:rsidRPr="000850DA" w14:paraId="4FA7FA91" w14:textId="1D05AD79" w:rsidTr="00132FDA">
        <w:trPr>
          <w:trHeight w:val="306"/>
        </w:trPr>
        <w:tc>
          <w:tcPr>
            <w:tcW w:w="1458" w:type="pct"/>
            <w:tcBorders>
              <w:top w:val="single" w:sz="4" w:space="0" w:color="auto"/>
            </w:tcBorders>
            <w:vAlign w:val="center"/>
            <w:hideMark/>
          </w:tcPr>
          <w:p w14:paraId="27447D3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Benzoic acid</w:t>
            </w:r>
          </w:p>
        </w:tc>
        <w:tc>
          <w:tcPr>
            <w:tcW w:w="460" w:type="pct"/>
            <w:tcBorders>
              <w:top w:val="single" w:sz="4" w:space="0" w:color="auto"/>
            </w:tcBorders>
            <w:vAlign w:val="center"/>
            <w:hideMark/>
          </w:tcPr>
          <w:p w14:paraId="0984FCF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0.70</w:t>
            </w:r>
          </w:p>
        </w:tc>
        <w:tc>
          <w:tcPr>
            <w:tcW w:w="460" w:type="pct"/>
            <w:tcBorders>
              <w:top w:val="single" w:sz="4" w:space="0" w:color="auto"/>
            </w:tcBorders>
            <w:vAlign w:val="center"/>
            <w:hideMark/>
          </w:tcPr>
          <w:p w14:paraId="4DE9D3A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0.70</w:t>
            </w:r>
          </w:p>
        </w:tc>
        <w:tc>
          <w:tcPr>
            <w:tcW w:w="460" w:type="pct"/>
            <w:tcBorders>
              <w:top w:val="single" w:sz="4" w:space="0" w:color="auto"/>
            </w:tcBorders>
            <w:vAlign w:val="center"/>
            <w:hideMark/>
          </w:tcPr>
          <w:p w14:paraId="1E6A2096"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tcBorders>
              <w:top w:val="single" w:sz="4" w:space="0" w:color="auto"/>
            </w:tcBorders>
            <w:vAlign w:val="center"/>
            <w:hideMark/>
          </w:tcPr>
          <w:p w14:paraId="6870EFAF"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Amino acid metabolism</w:t>
            </w:r>
          </w:p>
        </w:tc>
        <w:tc>
          <w:tcPr>
            <w:tcW w:w="765" w:type="pct"/>
            <w:tcBorders>
              <w:top w:val="single" w:sz="4" w:space="0" w:color="auto"/>
            </w:tcBorders>
            <w:vAlign w:val="center"/>
          </w:tcPr>
          <w:p w14:paraId="7DDCB7F2" w14:textId="749F668C" w:rsidR="00132FDA" w:rsidRPr="000850DA" w:rsidRDefault="00BF5001" w:rsidP="00132FDA">
            <w:pPr>
              <w:spacing w:line="240" w:lineRule="auto"/>
              <w:rPr>
                <w:rFonts w:eastAsiaTheme="minorEastAsia" w:cs="Times New Roman"/>
              </w:rPr>
            </w:pPr>
            <w:r w:rsidRPr="000850DA">
              <w:rPr>
                <w:rFonts w:eastAsiaTheme="minorEastAsia" w:cs="Times New Roman"/>
              </w:rPr>
              <w:t>C00180</w:t>
            </w:r>
          </w:p>
        </w:tc>
      </w:tr>
      <w:tr w:rsidR="00132FDA" w:rsidRPr="000850DA" w14:paraId="66E7328D" w14:textId="501F0564" w:rsidTr="00132FDA">
        <w:trPr>
          <w:trHeight w:val="306"/>
        </w:trPr>
        <w:tc>
          <w:tcPr>
            <w:tcW w:w="1458" w:type="pct"/>
            <w:vAlign w:val="center"/>
            <w:hideMark/>
          </w:tcPr>
          <w:p w14:paraId="7A447F63"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D-Proline</w:t>
            </w:r>
          </w:p>
        </w:tc>
        <w:tc>
          <w:tcPr>
            <w:tcW w:w="460" w:type="pct"/>
            <w:vAlign w:val="center"/>
            <w:hideMark/>
          </w:tcPr>
          <w:p w14:paraId="30D7FCB1"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6905D25D"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1F641F3E"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1.92</w:t>
            </w:r>
          </w:p>
        </w:tc>
        <w:tc>
          <w:tcPr>
            <w:tcW w:w="1396" w:type="pct"/>
            <w:vAlign w:val="center"/>
            <w:hideMark/>
          </w:tcPr>
          <w:p w14:paraId="5F0F3EC0"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Amino acid metabolism</w:t>
            </w:r>
          </w:p>
        </w:tc>
        <w:tc>
          <w:tcPr>
            <w:tcW w:w="765" w:type="pct"/>
            <w:vAlign w:val="center"/>
          </w:tcPr>
          <w:p w14:paraId="511EA212" w14:textId="77B1748B" w:rsidR="00132FDA" w:rsidRPr="000850DA" w:rsidRDefault="00BF5001" w:rsidP="00132FDA">
            <w:pPr>
              <w:spacing w:line="240" w:lineRule="auto"/>
              <w:rPr>
                <w:rFonts w:eastAsiaTheme="minorEastAsia" w:cs="Times New Roman"/>
              </w:rPr>
            </w:pPr>
            <w:r w:rsidRPr="000850DA">
              <w:rPr>
                <w:rFonts w:eastAsiaTheme="minorEastAsia" w:cs="Times New Roman"/>
              </w:rPr>
              <w:t>C00763</w:t>
            </w:r>
          </w:p>
        </w:tc>
      </w:tr>
      <w:tr w:rsidR="00132FDA" w:rsidRPr="000850DA" w14:paraId="0F693EB7" w14:textId="4A8BC9A7" w:rsidTr="00132FDA">
        <w:trPr>
          <w:trHeight w:val="306"/>
        </w:trPr>
        <w:tc>
          <w:tcPr>
            <w:tcW w:w="1458" w:type="pct"/>
            <w:vAlign w:val="center"/>
            <w:hideMark/>
          </w:tcPr>
          <w:p w14:paraId="4E8B2D27"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L-Glutamine</w:t>
            </w:r>
          </w:p>
        </w:tc>
        <w:tc>
          <w:tcPr>
            <w:tcW w:w="460" w:type="pct"/>
            <w:vAlign w:val="center"/>
            <w:hideMark/>
          </w:tcPr>
          <w:p w14:paraId="4C501A84"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381622A1"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443B4AD0"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1.41</w:t>
            </w:r>
          </w:p>
        </w:tc>
        <w:tc>
          <w:tcPr>
            <w:tcW w:w="1396" w:type="pct"/>
            <w:vAlign w:val="center"/>
            <w:hideMark/>
          </w:tcPr>
          <w:p w14:paraId="31B1DC9D"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Amino acid metabolism</w:t>
            </w:r>
          </w:p>
        </w:tc>
        <w:tc>
          <w:tcPr>
            <w:tcW w:w="765" w:type="pct"/>
            <w:vAlign w:val="center"/>
          </w:tcPr>
          <w:p w14:paraId="6FC3E0B6" w14:textId="0D5806D2" w:rsidR="00132FDA" w:rsidRPr="000850DA" w:rsidRDefault="00BF5001" w:rsidP="00132FDA">
            <w:pPr>
              <w:spacing w:line="240" w:lineRule="auto"/>
              <w:rPr>
                <w:rFonts w:eastAsiaTheme="minorEastAsia" w:cs="Times New Roman"/>
              </w:rPr>
            </w:pPr>
            <w:r w:rsidRPr="000850DA">
              <w:rPr>
                <w:rFonts w:eastAsiaTheme="minorEastAsia" w:cs="Times New Roman"/>
              </w:rPr>
              <w:t>C00064</w:t>
            </w:r>
          </w:p>
        </w:tc>
      </w:tr>
      <w:tr w:rsidR="00132FDA" w:rsidRPr="000850DA" w14:paraId="3BE616D2" w14:textId="7F603A29" w:rsidTr="00132FDA">
        <w:trPr>
          <w:trHeight w:val="306"/>
        </w:trPr>
        <w:tc>
          <w:tcPr>
            <w:tcW w:w="1458" w:type="pct"/>
            <w:vAlign w:val="center"/>
            <w:hideMark/>
          </w:tcPr>
          <w:p w14:paraId="5397B77D"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L-Histidine</w:t>
            </w:r>
          </w:p>
        </w:tc>
        <w:tc>
          <w:tcPr>
            <w:tcW w:w="460" w:type="pct"/>
            <w:vAlign w:val="center"/>
            <w:hideMark/>
          </w:tcPr>
          <w:p w14:paraId="7E671B69"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0.11</w:t>
            </w:r>
          </w:p>
        </w:tc>
        <w:tc>
          <w:tcPr>
            <w:tcW w:w="460" w:type="pct"/>
            <w:vAlign w:val="center"/>
            <w:hideMark/>
          </w:tcPr>
          <w:p w14:paraId="549385A7"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0.13</w:t>
            </w:r>
          </w:p>
        </w:tc>
        <w:tc>
          <w:tcPr>
            <w:tcW w:w="460" w:type="pct"/>
            <w:vAlign w:val="center"/>
            <w:hideMark/>
          </w:tcPr>
          <w:p w14:paraId="3A7B30E9"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23101AEF"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Amino acid metabolism</w:t>
            </w:r>
          </w:p>
        </w:tc>
        <w:tc>
          <w:tcPr>
            <w:tcW w:w="765" w:type="pct"/>
            <w:vAlign w:val="center"/>
          </w:tcPr>
          <w:p w14:paraId="29A42437" w14:textId="187F54DC" w:rsidR="00132FDA" w:rsidRPr="000850DA" w:rsidRDefault="009D63F7" w:rsidP="00132FDA">
            <w:pPr>
              <w:spacing w:line="240" w:lineRule="auto"/>
              <w:rPr>
                <w:rFonts w:eastAsiaTheme="minorEastAsia" w:cs="Times New Roman"/>
              </w:rPr>
            </w:pPr>
            <w:r w:rsidRPr="000850DA">
              <w:rPr>
                <w:rFonts w:eastAsiaTheme="minorEastAsia" w:cs="Times New Roman"/>
              </w:rPr>
              <w:t>C00135</w:t>
            </w:r>
          </w:p>
        </w:tc>
      </w:tr>
      <w:tr w:rsidR="00132FDA" w:rsidRPr="000850DA" w14:paraId="589568CC" w14:textId="36304DE2" w:rsidTr="00132FDA">
        <w:trPr>
          <w:trHeight w:val="323"/>
        </w:trPr>
        <w:tc>
          <w:tcPr>
            <w:tcW w:w="1458" w:type="pct"/>
            <w:vAlign w:val="center"/>
            <w:hideMark/>
          </w:tcPr>
          <w:p w14:paraId="05064185"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L-Tryptophan</w:t>
            </w:r>
          </w:p>
        </w:tc>
        <w:tc>
          <w:tcPr>
            <w:tcW w:w="460" w:type="pct"/>
            <w:vAlign w:val="center"/>
            <w:hideMark/>
          </w:tcPr>
          <w:p w14:paraId="5C0C4CE1"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0.60</w:t>
            </w:r>
          </w:p>
        </w:tc>
        <w:tc>
          <w:tcPr>
            <w:tcW w:w="460" w:type="pct"/>
            <w:vAlign w:val="center"/>
            <w:hideMark/>
          </w:tcPr>
          <w:p w14:paraId="5EEE2B1A"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0.65</w:t>
            </w:r>
          </w:p>
        </w:tc>
        <w:tc>
          <w:tcPr>
            <w:tcW w:w="460" w:type="pct"/>
            <w:vAlign w:val="center"/>
            <w:hideMark/>
          </w:tcPr>
          <w:p w14:paraId="71F87CB4"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64D4F3AF"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Amino acid metabolism</w:t>
            </w:r>
          </w:p>
        </w:tc>
        <w:tc>
          <w:tcPr>
            <w:tcW w:w="765" w:type="pct"/>
            <w:vAlign w:val="center"/>
          </w:tcPr>
          <w:p w14:paraId="7628A852" w14:textId="610ACDE6" w:rsidR="00132FDA" w:rsidRPr="000850DA" w:rsidRDefault="009D63F7" w:rsidP="00132FDA">
            <w:pPr>
              <w:spacing w:line="240" w:lineRule="auto"/>
              <w:rPr>
                <w:rFonts w:eastAsiaTheme="minorEastAsia" w:cs="Times New Roman"/>
              </w:rPr>
            </w:pPr>
            <w:r w:rsidRPr="000850DA">
              <w:rPr>
                <w:rFonts w:eastAsiaTheme="minorEastAsia" w:cs="Times New Roman"/>
              </w:rPr>
              <w:t>C00078</w:t>
            </w:r>
          </w:p>
        </w:tc>
      </w:tr>
      <w:tr w:rsidR="00132FDA" w:rsidRPr="000850DA" w14:paraId="6FCD6A87" w14:textId="1692D0DD" w:rsidTr="00132FDA">
        <w:trPr>
          <w:trHeight w:val="306"/>
        </w:trPr>
        <w:tc>
          <w:tcPr>
            <w:tcW w:w="1458" w:type="pct"/>
            <w:vAlign w:val="center"/>
            <w:hideMark/>
          </w:tcPr>
          <w:p w14:paraId="76E24D59"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Creatinine</w:t>
            </w:r>
          </w:p>
        </w:tc>
        <w:tc>
          <w:tcPr>
            <w:tcW w:w="460" w:type="pct"/>
            <w:vAlign w:val="center"/>
            <w:hideMark/>
          </w:tcPr>
          <w:p w14:paraId="62BE371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1.88</w:t>
            </w:r>
          </w:p>
        </w:tc>
        <w:tc>
          <w:tcPr>
            <w:tcW w:w="460" w:type="pct"/>
            <w:vAlign w:val="center"/>
            <w:hideMark/>
          </w:tcPr>
          <w:p w14:paraId="3654F6AD"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2.55</w:t>
            </w:r>
          </w:p>
        </w:tc>
        <w:tc>
          <w:tcPr>
            <w:tcW w:w="460" w:type="pct"/>
            <w:vAlign w:val="center"/>
            <w:hideMark/>
          </w:tcPr>
          <w:p w14:paraId="74882BF4"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270B1911"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Amino acid metabolism</w:t>
            </w:r>
          </w:p>
        </w:tc>
        <w:tc>
          <w:tcPr>
            <w:tcW w:w="765" w:type="pct"/>
            <w:vAlign w:val="center"/>
          </w:tcPr>
          <w:p w14:paraId="196364E9" w14:textId="2B656265" w:rsidR="00132FDA" w:rsidRPr="000850DA" w:rsidRDefault="009D63F7" w:rsidP="00132FDA">
            <w:pPr>
              <w:spacing w:line="240" w:lineRule="auto"/>
              <w:rPr>
                <w:rFonts w:eastAsiaTheme="minorEastAsia" w:cs="Times New Roman"/>
              </w:rPr>
            </w:pPr>
            <w:r w:rsidRPr="000850DA">
              <w:rPr>
                <w:rFonts w:eastAsiaTheme="minorEastAsia" w:cs="Times New Roman"/>
              </w:rPr>
              <w:t>C00791</w:t>
            </w:r>
          </w:p>
        </w:tc>
      </w:tr>
      <w:tr w:rsidR="00132FDA" w:rsidRPr="000850DA" w14:paraId="6B57D865" w14:textId="3BBCA4ED" w:rsidTr="00132FDA">
        <w:trPr>
          <w:trHeight w:val="306"/>
        </w:trPr>
        <w:tc>
          <w:tcPr>
            <w:tcW w:w="1458" w:type="pct"/>
            <w:vAlign w:val="center"/>
            <w:hideMark/>
          </w:tcPr>
          <w:p w14:paraId="367CB694"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D-Mannose</w:t>
            </w:r>
          </w:p>
        </w:tc>
        <w:tc>
          <w:tcPr>
            <w:tcW w:w="460" w:type="pct"/>
            <w:vAlign w:val="center"/>
            <w:hideMark/>
          </w:tcPr>
          <w:p w14:paraId="69751737"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0.73</w:t>
            </w:r>
          </w:p>
        </w:tc>
        <w:tc>
          <w:tcPr>
            <w:tcW w:w="460" w:type="pct"/>
            <w:vAlign w:val="center"/>
            <w:hideMark/>
          </w:tcPr>
          <w:p w14:paraId="4C0895D0"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0.64</w:t>
            </w:r>
          </w:p>
        </w:tc>
        <w:tc>
          <w:tcPr>
            <w:tcW w:w="460" w:type="pct"/>
            <w:vAlign w:val="center"/>
            <w:hideMark/>
          </w:tcPr>
          <w:p w14:paraId="00681792"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345CE8B3"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Carbohydrate metabolism</w:t>
            </w:r>
          </w:p>
        </w:tc>
        <w:tc>
          <w:tcPr>
            <w:tcW w:w="765" w:type="pct"/>
            <w:vAlign w:val="center"/>
          </w:tcPr>
          <w:p w14:paraId="4F0FE965" w14:textId="4348B5C3" w:rsidR="00132FDA" w:rsidRPr="000850DA" w:rsidRDefault="008149DA" w:rsidP="00132FDA">
            <w:pPr>
              <w:spacing w:line="240" w:lineRule="auto"/>
              <w:rPr>
                <w:rFonts w:eastAsiaTheme="minorEastAsia" w:cs="Times New Roman"/>
              </w:rPr>
            </w:pPr>
            <w:r w:rsidRPr="000850DA">
              <w:rPr>
                <w:rFonts w:eastAsiaTheme="minorEastAsia" w:cs="Times New Roman"/>
              </w:rPr>
              <w:t>C00159</w:t>
            </w:r>
          </w:p>
        </w:tc>
      </w:tr>
      <w:tr w:rsidR="00132FDA" w:rsidRPr="000850DA" w14:paraId="64DAF401" w14:textId="0754BE2D" w:rsidTr="00132FDA">
        <w:trPr>
          <w:trHeight w:val="306"/>
        </w:trPr>
        <w:tc>
          <w:tcPr>
            <w:tcW w:w="1458" w:type="pct"/>
            <w:vAlign w:val="center"/>
            <w:hideMark/>
          </w:tcPr>
          <w:p w14:paraId="241579DA"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D-Tagatose</w:t>
            </w:r>
          </w:p>
        </w:tc>
        <w:tc>
          <w:tcPr>
            <w:tcW w:w="460" w:type="pct"/>
            <w:vAlign w:val="center"/>
            <w:hideMark/>
          </w:tcPr>
          <w:p w14:paraId="66F06E0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0.79</w:t>
            </w:r>
          </w:p>
        </w:tc>
        <w:tc>
          <w:tcPr>
            <w:tcW w:w="460" w:type="pct"/>
            <w:vAlign w:val="center"/>
            <w:hideMark/>
          </w:tcPr>
          <w:p w14:paraId="30BA91A3"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0071D470"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29EF8556"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Carbohydrate metabolism</w:t>
            </w:r>
          </w:p>
        </w:tc>
        <w:tc>
          <w:tcPr>
            <w:tcW w:w="765" w:type="pct"/>
            <w:vAlign w:val="center"/>
          </w:tcPr>
          <w:p w14:paraId="59107B92" w14:textId="5B5A9FA2" w:rsidR="00132FDA" w:rsidRPr="000850DA" w:rsidRDefault="008149DA" w:rsidP="00132FDA">
            <w:pPr>
              <w:spacing w:line="240" w:lineRule="auto"/>
              <w:rPr>
                <w:rFonts w:eastAsiaTheme="minorEastAsia" w:cs="Times New Roman"/>
              </w:rPr>
            </w:pPr>
            <w:r w:rsidRPr="000850DA">
              <w:rPr>
                <w:rFonts w:eastAsiaTheme="minorEastAsia" w:cs="Times New Roman"/>
              </w:rPr>
              <w:t>C00795</w:t>
            </w:r>
          </w:p>
        </w:tc>
      </w:tr>
      <w:tr w:rsidR="00132FDA" w:rsidRPr="000850DA" w14:paraId="235CF500" w14:textId="67F53985" w:rsidTr="00132FDA">
        <w:trPr>
          <w:trHeight w:val="306"/>
        </w:trPr>
        <w:tc>
          <w:tcPr>
            <w:tcW w:w="1458" w:type="pct"/>
            <w:vAlign w:val="center"/>
            <w:hideMark/>
          </w:tcPr>
          <w:p w14:paraId="3ECFC5CF"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L-</w:t>
            </w:r>
            <w:proofErr w:type="spellStart"/>
            <w:r w:rsidRPr="000850DA">
              <w:rPr>
                <w:rFonts w:eastAsiaTheme="minorEastAsia" w:cs="Times New Roman"/>
              </w:rPr>
              <w:t>Gulonic</w:t>
            </w:r>
            <w:proofErr w:type="spellEnd"/>
            <w:r w:rsidRPr="000850DA">
              <w:rPr>
                <w:rFonts w:eastAsiaTheme="minorEastAsia" w:cs="Times New Roman"/>
              </w:rPr>
              <w:t xml:space="preserve"> gamma-lactone</w:t>
            </w:r>
          </w:p>
        </w:tc>
        <w:tc>
          <w:tcPr>
            <w:tcW w:w="460" w:type="pct"/>
            <w:vAlign w:val="center"/>
            <w:hideMark/>
          </w:tcPr>
          <w:p w14:paraId="43E46686"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0.75</w:t>
            </w:r>
          </w:p>
        </w:tc>
        <w:tc>
          <w:tcPr>
            <w:tcW w:w="460" w:type="pct"/>
            <w:vAlign w:val="center"/>
            <w:hideMark/>
          </w:tcPr>
          <w:p w14:paraId="2C3DF1B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0.57</w:t>
            </w:r>
          </w:p>
        </w:tc>
        <w:tc>
          <w:tcPr>
            <w:tcW w:w="460" w:type="pct"/>
            <w:vAlign w:val="center"/>
            <w:hideMark/>
          </w:tcPr>
          <w:p w14:paraId="5F6F5E9C"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0.64</w:t>
            </w:r>
          </w:p>
        </w:tc>
        <w:tc>
          <w:tcPr>
            <w:tcW w:w="1396" w:type="pct"/>
            <w:vAlign w:val="center"/>
            <w:hideMark/>
          </w:tcPr>
          <w:p w14:paraId="4E8D720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Carbohydrate metabolism</w:t>
            </w:r>
          </w:p>
        </w:tc>
        <w:tc>
          <w:tcPr>
            <w:tcW w:w="765" w:type="pct"/>
            <w:vAlign w:val="center"/>
          </w:tcPr>
          <w:p w14:paraId="45AC9A9A" w14:textId="7A786E2D" w:rsidR="00132FDA" w:rsidRPr="000850DA" w:rsidRDefault="008149DA" w:rsidP="00132FDA">
            <w:pPr>
              <w:spacing w:line="240" w:lineRule="auto"/>
              <w:rPr>
                <w:rFonts w:eastAsiaTheme="minorEastAsia" w:cs="Times New Roman"/>
              </w:rPr>
            </w:pPr>
            <w:r w:rsidRPr="000850DA">
              <w:rPr>
                <w:rFonts w:eastAsiaTheme="minorEastAsia" w:cs="Times New Roman"/>
              </w:rPr>
              <w:t>C01040</w:t>
            </w:r>
          </w:p>
        </w:tc>
      </w:tr>
      <w:tr w:rsidR="00132FDA" w:rsidRPr="000850DA" w14:paraId="4525953C" w14:textId="0C720D12" w:rsidTr="00132FDA">
        <w:trPr>
          <w:trHeight w:val="306"/>
        </w:trPr>
        <w:tc>
          <w:tcPr>
            <w:tcW w:w="1458" w:type="pct"/>
            <w:vAlign w:val="center"/>
            <w:hideMark/>
          </w:tcPr>
          <w:p w14:paraId="402FD525"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myo-Inositol</w:t>
            </w:r>
          </w:p>
        </w:tc>
        <w:tc>
          <w:tcPr>
            <w:tcW w:w="460" w:type="pct"/>
            <w:vAlign w:val="center"/>
            <w:hideMark/>
          </w:tcPr>
          <w:p w14:paraId="0610C59C"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2.56</w:t>
            </w:r>
          </w:p>
        </w:tc>
        <w:tc>
          <w:tcPr>
            <w:tcW w:w="460" w:type="pct"/>
            <w:vAlign w:val="center"/>
            <w:hideMark/>
          </w:tcPr>
          <w:p w14:paraId="4C79AAFE"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3.08</w:t>
            </w:r>
          </w:p>
        </w:tc>
        <w:tc>
          <w:tcPr>
            <w:tcW w:w="460" w:type="pct"/>
            <w:vAlign w:val="center"/>
            <w:hideMark/>
          </w:tcPr>
          <w:p w14:paraId="72A1AA63"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3F12892F"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Carbohydrate metabolism</w:t>
            </w:r>
          </w:p>
        </w:tc>
        <w:tc>
          <w:tcPr>
            <w:tcW w:w="765" w:type="pct"/>
            <w:vAlign w:val="center"/>
          </w:tcPr>
          <w:p w14:paraId="0E6C345F" w14:textId="503EF0E0" w:rsidR="00132FDA" w:rsidRPr="000850DA" w:rsidRDefault="00864806" w:rsidP="00132FDA">
            <w:pPr>
              <w:spacing w:line="240" w:lineRule="auto"/>
              <w:rPr>
                <w:rFonts w:eastAsiaTheme="minorEastAsia" w:cs="Times New Roman"/>
              </w:rPr>
            </w:pPr>
            <w:r w:rsidRPr="000850DA">
              <w:rPr>
                <w:rFonts w:eastAsiaTheme="minorEastAsia" w:cs="Times New Roman"/>
              </w:rPr>
              <w:t>C00137</w:t>
            </w:r>
          </w:p>
        </w:tc>
      </w:tr>
      <w:tr w:rsidR="00132FDA" w:rsidRPr="000850DA" w14:paraId="12C19578" w14:textId="02C64079" w:rsidTr="00132FDA">
        <w:trPr>
          <w:trHeight w:val="306"/>
        </w:trPr>
        <w:tc>
          <w:tcPr>
            <w:tcW w:w="1458" w:type="pct"/>
            <w:vAlign w:val="center"/>
            <w:hideMark/>
          </w:tcPr>
          <w:p w14:paraId="4DDAEB60"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 xml:space="preserve">Oleic </w:t>
            </w:r>
            <w:proofErr w:type="gramStart"/>
            <w:r w:rsidRPr="000850DA">
              <w:rPr>
                <w:rFonts w:eastAsiaTheme="minorEastAsia" w:cs="Times New Roman"/>
              </w:rPr>
              <w:t>acid(</w:t>
            </w:r>
            <w:proofErr w:type="gramEnd"/>
            <w:r w:rsidRPr="000850DA">
              <w:rPr>
                <w:rFonts w:eastAsiaTheme="minorEastAsia" w:cs="Times New Roman"/>
              </w:rPr>
              <w:t xml:space="preserve">C18:1 </w:t>
            </w:r>
            <w:r w:rsidRPr="000850DA">
              <w:rPr>
                <w:rFonts w:eastAsiaTheme="minorEastAsia" w:cs="Times New Roman"/>
                <w:i/>
                <w:iCs/>
              </w:rPr>
              <w:t>n</w:t>
            </w:r>
            <w:r w:rsidRPr="000850DA">
              <w:rPr>
                <w:rFonts w:eastAsiaTheme="minorEastAsia" w:cs="Times New Roman"/>
              </w:rPr>
              <w:t>-9)</w:t>
            </w:r>
          </w:p>
        </w:tc>
        <w:tc>
          <w:tcPr>
            <w:tcW w:w="460" w:type="pct"/>
            <w:vAlign w:val="center"/>
            <w:hideMark/>
          </w:tcPr>
          <w:p w14:paraId="62848DC7"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123FE536"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3848FAE5"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0.65</w:t>
            </w:r>
          </w:p>
        </w:tc>
        <w:tc>
          <w:tcPr>
            <w:tcW w:w="1396" w:type="pct"/>
            <w:vAlign w:val="center"/>
            <w:hideMark/>
          </w:tcPr>
          <w:p w14:paraId="62CDF875"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Fatty acid metabolism</w:t>
            </w:r>
          </w:p>
        </w:tc>
        <w:tc>
          <w:tcPr>
            <w:tcW w:w="765" w:type="pct"/>
            <w:vAlign w:val="center"/>
          </w:tcPr>
          <w:p w14:paraId="0AA40135" w14:textId="2C1F6FC5" w:rsidR="00132FDA" w:rsidRPr="000850DA" w:rsidRDefault="007C35F9" w:rsidP="00132FDA">
            <w:pPr>
              <w:spacing w:line="240" w:lineRule="auto"/>
              <w:rPr>
                <w:rFonts w:eastAsiaTheme="minorEastAsia" w:cs="Times New Roman"/>
              </w:rPr>
            </w:pPr>
            <w:r w:rsidRPr="000850DA">
              <w:rPr>
                <w:rFonts w:eastAsiaTheme="minorEastAsia" w:cs="Times New Roman"/>
              </w:rPr>
              <w:t>C00712</w:t>
            </w:r>
          </w:p>
        </w:tc>
      </w:tr>
      <w:tr w:rsidR="00132FDA" w:rsidRPr="000850DA" w14:paraId="6F32129F" w14:textId="2392E44F" w:rsidTr="00132FDA">
        <w:trPr>
          <w:trHeight w:val="306"/>
        </w:trPr>
        <w:tc>
          <w:tcPr>
            <w:tcW w:w="1458" w:type="pct"/>
            <w:vAlign w:val="center"/>
            <w:hideMark/>
          </w:tcPr>
          <w:p w14:paraId="278FE4D4"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Palmitic acid(C16:0)</w:t>
            </w:r>
          </w:p>
        </w:tc>
        <w:tc>
          <w:tcPr>
            <w:tcW w:w="460" w:type="pct"/>
            <w:vAlign w:val="center"/>
            <w:hideMark/>
          </w:tcPr>
          <w:p w14:paraId="564A5063"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0.86</w:t>
            </w:r>
          </w:p>
        </w:tc>
        <w:tc>
          <w:tcPr>
            <w:tcW w:w="460" w:type="pct"/>
            <w:vAlign w:val="center"/>
            <w:hideMark/>
          </w:tcPr>
          <w:p w14:paraId="7BFAC8B8"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0.87</w:t>
            </w:r>
          </w:p>
        </w:tc>
        <w:tc>
          <w:tcPr>
            <w:tcW w:w="460" w:type="pct"/>
            <w:vAlign w:val="center"/>
            <w:hideMark/>
          </w:tcPr>
          <w:p w14:paraId="5EF3241E"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30BD74AE"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Fatty acid metabolism</w:t>
            </w:r>
          </w:p>
        </w:tc>
        <w:tc>
          <w:tcPr>
            <w:tcW w:w="765" w:type="pct"/>
            <w:vAlign w:val="center"/>
          </w:tcPr>
          <w:p w14:paraId="554D6CEF" w14:textId="6FED9C8F" w:rsidR="00132FDA" w:rsidRPr="000850DA" w:rsidRDefault="00AA012E" w:rsidP="00132FDA">
            <w:pPr>
              <w:spacing w:line="240" w:lineRule="auto"/>
              <w:rPr>
                <w:rFonts w:eastAsiaTheme="minorEastAsia" w:cs="Times New Roman"/>
              </w:rPr>
            </w:pPr>
            <w:r w:rsidRPr="000850DA">
              <w:rPr>
                <w:rFonts w:eastAsiaTheme="minorEastAsia" w:cs="Times New Roman"/>
              </w:rPr>
              <w:t>C00249</w:t>
            </w:r>
          </w:p>
        </w:tc>
      </w:tr>
      <w:tr w:rsidR="00132FDA" w:rsidRPr="000850DA" w14:paraId="0FF32D55" w14:textId="3713F26D" w:rsidTr="00132FDA">
        <w:trPr>
          <w:trHeight w:val="323"/>
        </w:trPr>
        <w:tc>
          <w:tcPr>
            <w:tcW w:w="1458" w:type="pct"/>
            <w:vAlign w:val="center"/>
            <w:hideMark/>
          </w:tcPr>
          <w:p w14:paraId="6F014EAD"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pregnenolone sulfate</w:t>
            </w:r>
          </w:p>
        </w:tc>
        <w:tc>
          <w:tcPr>
            <w:tcW w:w="460" w:type="pct"/>
            <w:vAlign w:val="center"/>
            <w:hideMark/>
          </w:tcPr>
          <w:p w14:paraId="203438DD"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3.20</w:t>
            </w:r>
          </w:p>
        </w:tc>
        <w:tc>
          <w:tcPr>
            <w:tcW w:w="460" w:type="pct"/>
            <w:vAlign w:val="center"/>
            <w:hideMark/>
          </w:tcPr>
          <w:p w14:paraId="0E762D10"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2.69</w:t>
            </w:r>
          </w:p>
        </w:tc>
        <w:tc>
          <w:tcPr>
            <w:tcW w:w="460" w:type="pct"/>
            <w:vAlign w:val="center"/>
            <w:hideMark/>
          </w:tcPr>
          <w:p w14:paraId="66AB69D2"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5907812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Lipid metabolism</w:t>
            </w:r>
          </w:p>
        </w:tc>
        <w:tc>
          <w:tcPr>
            <w:tcW w:w="765" w:type="pct"/>
            <w:vAlign w:val="center"/>
          </w:tcPr>
          <w:p w14:paraId="13480835" w14:textId="60B203F3" w:rsidR="00132FDA" w:rsidRPr="000850DA" w:rsidRDefault="00AA012E" w:rsidP="00132FDA">
            <w:pPr>
              <w:spacing w:line="240" w:lineRule="auto"/>
              <w:rPr>
                <w:rFonts w:eastAsiaTheme="minorEastAsia" w:cs="Times New Roman"/>
              </w:rPr>
            </w:pPr>
            <w:r w:rsidRPr="000850DA">
              <w:rPr>
                <w:rFonts w:eastAsiaTheme="minorEastAsia" w:cs="Times New Roman"/>
              </w:rPr>
              <w:t>C18044</w:t>
            </w:r>
          </w:p>
        </w:tc>
      </w:tr>
      <w:tr w:rsidR="00132FDA" w:rsidRPr="000850DA" w14:paraId="1F9D4637" w14:textId="4B352C27" w:rsidTr="00132FDA">
        <w:trPr>
          <w:trHeight w:val="306"/>
        </w:trPr>
        <w:tc>
          <w:tcPr>
            <w:tcW w:w="1458" w:type="pct"/>
            <w:vAlign w:val="center"/>
            <w:hideMark/>
          </w:tcPr>
          <w:p w14:paraId="7F1EE021"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Glycochenodeoxycholate</w:t>
            </w:r>
          </w:p>
        </w:tc>
        <w:tc>
          <w:tcPr>
            <w:tcW w:w="460" w:type="pct"/>
            <w:vAlign w:val="center"/>
            <w:hideMark/>
          </w:tcPr>
          <w:p w14:paraId="5E89526A"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552B933C"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03BC3FC4"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3.75</w:t>
            </w:r>
          </w:p>
        </w:tc>
        <w:tc>
          <w:tcPr>
            <w:tcW w:w="1396" w:type="pct"/>
            <w:vAlign w:val="center"/>
            <w:hideMark/>
          </w:tcPr>
          <w:p w14:paraId="67E6E2F2"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Lipid metabolism</w:t>
            </w:r>
          </w:p>
        </w:tc>
        <w:tc>
          <w:tcPr>
            <w:tcW w:w="765" w:type="pct"/>
            <w:vAlign w:val="center"/>
          </w:tcPr>
          <w:p w14:paraId="51EBA444" w14:textId="799EC56C" w:rsidR="00132FDA" w:rsidRPr="000850DA" w:rsidRDefault="00AA012E" w:rsidP="00132FDA">
            <w:pPr>
              <w:spacing w:line="240" w:lineRule="auto"/>
              <w:rPr>
                <w:rFonts w:eastAsiaTheme="minorEastAsia" w:cs="Times New Roman"/>
              </w:rPr>
            </w:pPr>
            <w:r w:rsidRPr="000850DA">
              <w:rPr>
                <w:rFonts w:eastAsiaTheme="minorEastAsia" w:cs="Times New Roman"/>
              </w:rPr>
              <w:t>C05466</w:t>
            </w:r>
          </w:p>
        </w:tc>
      </w:tr>
      <w:tr w:rsidR="00132FDA" w:rsidRPr="000850DA" w14:paraId="13FCC850" w14:textId="669E7747" w:rsidTr="00132FDA">
        <w:trPr>
          <w:trHeight w:val="306"/>
        </w:trPr>
        <w:tc>
          <w:tcPr>
            <w:tcW w:w="1458" w:type="pct"/>
            <w:vAlign w:val="center"/>
            <w:hideMark/>
          </w:tcPr>
          <w:p w14:paraId="6F9B7FD3" w14:textId="77777777" w:rsidR="00132FDA" w:rsidRPr="000850DA" w:rsidRDefault="00132FDA" w:rsidP="00132FDA">
            <w:pPr>
              <w:spacing w:line="240" w:lineRule="auto"/>
              <w:rPr>
                <w:rFonts w:eastAsiaTheme="minorEastAsia" w:cs="Times New Roman"/>
              </w:rPr>
            </w:pPr>
            <w:proofErr w:type="spellStart"/>
            <w:r w:rsidRPr="000850DA">
              <w:rPr>
                <w:rFonts w:eastAsiaTheme="minorEastAsia" w:cs="Times New Roman"/>
              </w:rPr>
              <w:t>Glycocholic</w:t>
            </w:r>
            <w:proofErr w:type="spellEnd"/>
            <w:r w:rsidRPr="000850DA">
              <w:rPr>
                <w:rFonts w:eastAsiaTheme="minorEastAsia" w:cs="Times New Roman"/>
              </w:rPr>
              <w:t xml:space="preserve"> acid</w:t>
            </w:r>
          </w:p>
        </w:tc>
        <w:tc>
          <w:tcPr>
            <w:tcW w:w="460" w:type="pct"/>
            <w:vAlign w:val="center"/>
            <w:hideMark/>
          </w:tcPr>
          <w:p w14:paraId="3B83A54F"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446991A7"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21059839"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5.79</w:t>
            </w:r>
          </w:p>
        </w:tc>
        <w:tc>
          <w:tcPr>
            <w:tcW w:w="1396" w:type="pct"/>
            <w:vAlign w:val="center"/>
            <w:hideMark/>
          </w:tcPr>
          <w:p w14:paraId="6EAD9367"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Lipid metabolism</w:t>
            </w:r>
          </w:p>
        </w:tc>
        <w:tc>
          <w:tcPr>
            <w:tcW w:w="765" w:type="pct"/>
            <w:vAlign w:val="center"/>
          </w:tcPr>
          <w:p w14:paraId="6852CE5C" w14:textId="7112BE20" w:rsidR="00132FDA" w:rsidRPr="000850DA" w:rsidRDefault="002E213A" w:rsidP="00132FDA">
            <w:pPr>
              <w:spacing w:line="240" w:lineRule="auto"/>
              <w:rPr>
                <w:rFonts w:eastAsiaTheme="minorEastAsia" w:cs="Times New Roman"/>
              </w:rPr>
            </w:pPr>
            <w:r w:rsidRPr="000850DA">
              <w:rPr>
                <w:rFonts w:eastAsiaTheme="minorEastAsia" w:cs="Times New Roman"/>
              </w:rPr>
              <w:t>C01921</w:t>
            </w:r>
          </w:p>
        </w:tc>
      </w:tr>
      <w:tr w:rsidR="00132FDA" w:rsidRPr="000850DA" w14:paraId="6E04D045" w14:textId="02024192" w:rsidTr="00132FDA">
        <w:trPr>
          <w:trHeight w:val="306"/>
        </w:trPr>
        <w:tc>
          <w:tcPr>
            <w:tcW w:w="1458" w:type="pct"/>
            <w:vAlign w:val="center"/>
            <w:hideMark/>
          </w:tcPr>
          <w:p w14:paraId="639D5C22"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Deoxycholic acid</w:t>
            </w:r>
          </w:p>
        </w:tc>
        <w:tc>
          <w:tcPr>
            <w:tcW w:w="460" w:type="pct"/>
            <w:vAlign w:val="center"/>
            <w:hideMark/>
          </w:tcPr>
          <w:p w14:paraId="26E47199"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24E6CDF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0.52</w:t>
            </w:r>
          </w:p>
        </w:tc>
        <w:tc>
          <w:tcPr>
            <w:tcW w:w="460" w:type="pct"/>
            <w:vAlign w:val="center"/>
            <w:hideMark/>
          </w:tcPr>
          <w:p w14:paraId="4578D007"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46D17F13"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Bile secretion</w:t>
            </w:r>
          </w:p>
        </w:tc>
        <w:tc>
          <w:tcPr>
            <w:tcW w:w="765" w:type="pct"/>
            <w:vAlign w:val="center"/>
          </w:tcPr>
          <w:p w14:paraId="2B9A31F7" w14:textId="505CA3F5" w:rsidR="00132FDA" w:rsidRPr="000850DA" w:rsidRDefault="002E213A" w:rsidP="00132FDA">
            <w:pPr>
              <w:spacing w:line="240" w:lineRule="auto"/>
              <w:rPr>
                <w:rFonts w:eastAsiaTheme="minorEastAsia" w:cs="Times New Roman"/>
              </w:rPr>
            </w:pPr>
            <w:r w:rsidRPr="000850DA">
              <w:rPr>
                <w:rFonts w:eastAsiaTheme="minorEastAsia" w:cs="Times New Roman"/>
              </w:rPr>
              <w:t>C04483</w:t>
            </w:r>
          </w:p>
        </w:tc>
      </w:tr>
      <w:tr w:rsidR="00132FDA" w:rsidRPr="000850DA" w14:paraId="396253E5" w14:textId="3DE7ACB1" w:rsidTr="00132FDA">
        <w:trPr>
          <w:trHeight w:val="306"/>
        </w:trPr>
        <w:tc>
          <w:tcPr>
            <w:tcW w:w="1458" w:type="pct"/>
            <w:vAlign w:val="center"/>
            <w:hideMark/>
          </w:tcPr>
          <w:p w14:paraId="49B6D523" w14:textId="77777777" w:rsidR="00132FDA" w:rsidRPr="000850DA" w:rsidRDefault="00132FDA" w:rsidP="00132FDA">
            <w:pPr>
              <w:spacing w:line="240" w:lineRule="auto"/>
              <w:rPr>
                <w:rFonts w:eastAsiaTheme="minorEastAsia" w:cs="Times New Roman"/>
              </w:rPr>
            </w:pPr>
            <w:proofErr w:type="spellStart"/>
            <w:r w:rsidRPr="000850DA">
              <w:rPr>
                <w:rFonts w:eastAsiaTheme="minorEastAsia" w:cs="Times New Roman"/>
              </w:rPr>
              <w:t>Taurochenodeoxycholate</w:t>
            </w:r>
            <w:proofErr w:type="spellEnd"/>
          </w:p>
        </w:tc>
        <w:tc>
          <w:tcPr>
            <w:tcW w:w="460" w:type="pct"/>
            <w:vAlign w:val="center"/>
            <w:hideMark/>
          </w:tcPr>
          <w:p w14:paraId="061B731D"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661BD961"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556F40C5"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4.51</w:t>
            </w:r>
          </w:p>
        </w:tc>
        <w:tc>
          <w:tcPr>
            <w:tcW w:w="1396" w:type="pct"/>
            <w:vAlign w:val="center"/>
            <w:hideMark/>
          </w:tcPr>
          <w:p w14:paraId="281499F0"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Bile acid metabolism</w:t>
            </w:r>
          </w:p>
        </w:tc>
        <w:tc>
          <w:tcPr>
            <w:tcW w:w="765" w:type="pct"/>
            <w:vAlign w:val="center"/>
          </w:tcPr>
          <w:p w14:paraId="7BD8E01C" w14:textId="7BABEFD7" w:rsidR="00132FDA" w:rsidRPr="000850DA" w:rsidRDefault="002E213A" w:rsidP="00132FDA">
            <w:pPr>
              <w:spacing w:line="240" w:lineRule="auto"/>
              <w:rPr>
                <w:rFonts w:eastAsiaTheme="minorEastAsia" w:cs="Times New Roman"/>
              </w:rPr>
            </w:pPr>
            <w:r w:rsidRPr="000850DA">
              <w:rPr>
                <w:rFonts w:eastAsiaTheme="minorEastAsia" w:cs="Times New Roman"/>
              </w:rPr>
              <w:t>C05465</w:t>
            </w:r>
          </w:p>
        </w:tc>
      </w:tr>
      <w:tr w:rsidR="00132FDA" w:rsidRPr="000850DA" w14:paraId="755A098C" w14:textId="7DE122EB" w:rsidTr="00132FDA">
        <w:trPr>
          <w:trHeight w:val="306"/>
        </w:trPr>
        <w:tc>
          <w:tcPr>
            <w:tcW w:w="1458" w:type="pct"/>
            <w:vAlign w:val="center"/>
            <w:hideMark/>
          </w:tcPr>
          <w:p w14:paraId="0C394B84"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L-Phenylalanine</w:t>
            </w:r>
          </w:p>
        </w:tc>
        <w:tc>
          <w:tcPr>
            <w:tcW w:w="460" w:type="pct"/>
            <w:vAlign w:val="center"/>
            <w:hideMark/>
          </w:tcPr>
          <w:p w14:paraId="0D12B9D5"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226FE0A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1.54</w:t>
            </w:r>
          </w:p>
        </w:tc>
        <w:tc>
          <w:tcPr>
            <w:tcW w:w="460" w:type="pct"/>
            <w:vAlign w:val="center"/>
            <w:hideMark/>
          </w:tcPr>
          <w:p w14:paraId="390AD41E"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6F784E20"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Membrane transport</w:t>
            </w:r>
          </w:p>
        </w:tc>
        <w:tc>
          <w:tcPr>
            <w:tcW w:w="765" w:type="pct"/>
            <w:vAlign w:val="center"/>
          </w:tcPr>
          <w:p w14:paraId="41058489" w14:textId="37F0D77A" w:rsidR="00132FDA" w:rsidRPr="000850DA" w:rsidRDefault="00AC7DB0" w:rsidP="00132FDA">
            <w:pPr>
              <w:spacing w:line="240" w:lineRule="auto"/>
              <w:rPr>
                <w:rFonts w:eastAsiaTheme="minorEastAsia" w:cs="Times New Roman"/>
              </w:rPr>
            </w:pPr>
            <w:r w:rsidRPr="000850DA">
              <w:rPr>
                <w:rFonts w:eastAsiaTheme="minorEastAsia" w:cs="Times New Roman"/>
              </w:rPr>
              <w:t>C00079</w:t>
            </w:r>
          </w:p>
        </w:tc>
      </w:tr>
      <w:tr w:rsidR="00132FDA" w:rsidRPr="000850DA" w14:paraId="69047E2E" w14:textId="0594D216" w:rsidTr="00132FDA">
        <w:trPr>
          <w:trHeight w:val="314"/>
        </w:trPr>
        <w:tc>
          <w:tcPr>
            <w:tcW w:w="1458" w:type="pct"/>
            <w:vAlign w:val="center"/>
            <w:hideMark/>
          </w:tcPr>
          <w:p w14:paraId="1A2D3DA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2-Hydroxy-3-methylbutyric acid</w:t>
            </w:r>
          </w:p>
        </w:tc>
        <w:tc>
          <w:tcPr>
            <w:tcW w:w="460" w:type="pct"/>
            <w:vAlign w:val="center"/>
            <w:hideMark/>
          </w:tcPr>
          <w:p w14:paraId="54A37BB2"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1ECD4CCF"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2.14</w:t>
            </w:r>
          </w:p>
        </w:tc>
        <w:tc>
          <w:tcPr>
            <w:tcW w:w="460" w:type="pct"/>
            <w:vAlign w:val="center"/>
            <w:hideMark/>
          </w:tcPr>
          <w:p w14:paraId="45085F51"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6D3D7027"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394C3AB5" w14:textId="7A82AA69" w:rsidR="00132FDA" w:rsidRPr="000850DA" w:rsidRDefault="004104E4" w:rsidP="00132FDA">
            <w:pPr>
              <w:spacing w:line="240" w:lineRule="auto"/>
              <w:rPr>
                <w:rFonts w:eastAsiaTheme="minorEastAsia" w:cs="Times New Roman"/>
                <w:b/>
              </w:rPr>
            </w:pPr>
            <w:r w:rsidRPr="000850DA">
              <w:rPr>
                <w:rFonts w:eastAsiaTheme="minorEastAsia" w:cs="Times New Roman"/>
                <w:b/>
              </w:rPr>
              <w:t>—</w:t>
            </w:r>
          </w:p>
        </w:tc>
      </w:tr>
      <w:tr w:rsidR="00132FDA" w:rsidRPr="000850DA" w14:paraId="156B1793" w14:textId="323EB300" w:rsidTr="00132FDA">
        <w:trPr>
          <w:trHeight w:val="306"/>
        </w:trPr>
        <w:tc>
          <w:tcPr>
            <w:tcW w:w="1458" w:type="pct"/>
            <w:vAlign w:val="center"/>
            <w:hideMark/>
          </w:tcPr>
          <w:p w14:paraId="6C6987D8"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2-hydroxy-butanoic acid</w:t>
            </w:r>
          </w:p>
        </w:tc>
        <w:tc>
          <w:tcPr>
            <w:tcW w:w="460" w:type="pct"/>
            <w:vAlign w:val="center"/>
            <w:hideMark/>
          </w:tcPr>
          <w:p w14:paraId="278D6135"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75D6EBE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1.77</w:t>
            </w:r>
          </w:p>
        </w:tc>
        <w:tc>
          <w:tcPr>
            <w:tcW w:w="460" w:type="pct"/>
            <w:vAlign w:val="center"/>
            <w:hideMark/>
          </w:tcPr>
          <w:p w14:paraId="51258304"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272018FB"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2A65D60D" w14:textId="30D84838" w:rsidR="00132FDA" w:rsidRPr="000850DA" w:rsidRDefault="004104E4" w:rsidP="00132FDA">
            <w:pPr>
              <w:spacing w:line="240" w:lineRule="auto"/>
              <w:rPr>
                <w:rFonts w:eastAsiaTheme="minorEastAsia" w:cs="Times New Roman"/>
                <w:bCs/>
              </w:rPr>
            </w:pPr>
            <w:r w:rsidRPr="000850DA">
              <w:rPr>
                <w:rFonts w:eastAsiaTheme="minorEastAsia" w:cs="Times New Roman"/>
                <w:b/>
              </w:rPr>
              <w:t>—</w:t>
            </w:r>
          </w:p>
        </w:tc>
      </w:tr>
      <w:tr w:rsidR="00132FDA" w:rsidRPr="000850DA" w14:paraId="13444F3B" w14:textId="4C1A7A9A" w:rsidTr="00132FDA">
        <w:trPr>
          <w:trHeight w:val="200"/>
        </w:trPr>
        <w:tc>
          <w:tcPr>
            <w:tcW w:w="1458" w:type="pct"/>
            <w:vAlign w:val="center"/>
            <w:hideMark/>
          </w:tcPr>
          <w:p w14:paraId="48741355"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3-Methoxy-4-Hydroxyphenylglycol Sulfate</w:t>
            </w:r>
          </w:p>
        </w:tc>
        <w:tc>
          <w:tcPr>
            <w:tcW w:w="460" w:type="pct"/>
            <w:vAlign w:val="center"/>
            <w:hideMark/>
          </w:tcPr>
          <w:p w14:paraId="28166ECF"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2.74</w:t>
            </w:r>
          </w:p>
        </w:tc>
        <w:tc>
          <w:tcPr>
            <w:tcW w:w="460" w:type="pct"/>
            <w:vAlign w:val="center"/>
            <w:hideMark/>
          </w:tcPr>
          <w:p w14:paraId="7FA5C73F"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15D9CA1B"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5F2B17FE"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2EDE3A17" w14:textId="3568AB24" w:rsidR="00132FDA" w:rsidRPr="000850DA" w:rsidRDefault="004104E4" w:rsidP="00132FDA">
            <w:pPr>
              <w:spacing w:line="240" w:lineRule="auto"/>
              <w:rPr>
                <w:rFonts w:eastAsiaTheme="minorEastAsia" w:cs="Times New Roman"/>
                <w:bCs/>
              </w:rPr>
            </w:pPr>
            <w:r w:rsidRPr="000850DA">
              <w:rPr>
                <w:rFonts w:eastAsiaTheme="minorEastAsia" w:cs="Times New Roman"/>
                <w:b/>
              </w:rPr>
              <w:t>—</w:t>
            </w:r>
          </w:p>
        </w:tc>
      </w:tr>
      <w:tr w:rsidR="00132FDA" w:rsidRPr="000850DA" w14:paraId="71A7ACED" w14:textId="665CB31D" w:rsidTr="00132FDA">
        <w:trPr>
          <w:trHeight w:val="151"/>
        </w:trPr>
        <w:tc>
          <w:tcPr>
            <w:tcW w:w="1458" w:type="pct"/>
            <w:vAlign w:val="center"/>
            <w:hideMark/>
          </w:tcPr>
          <w:p w14:paraId="3EA049C0"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Acamprosate</w:t>
            </w:r>
          </w:p>
        </w:tc>
        <w:tc>
          <w:tcPr>
            <w:tcW w:w="460" w:type="pct"/>
            <w:vAlign w:val="center"/>
            <w:hideMark/>
          </w:tcPr>
          <w:p w14:paraId="263A10E3"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0.36</w:t>
            </w:r>
          </w:p>
        </w:tc>
        <w:tc>
          <w:tcPr>
            <w:tcW w:w="460" w:type="pct"/>
            <w:vAlign w:val="center"/>
            <w:hideMark/>
          </w:tcPr>
          <w:p w14:paraId="1CA6888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0.51</w:t>
            </w:r>
          </w:p>
        </w:tc>
        <w:tc>
          <w:tcPr>
            <w:tcW w:w="460" w:type="pct"/>
            <w:vAlign w:val="center"/>
            <w:hideMark/>
          </w:tcPr>
          <w:p w14:paraId="3BD0F930"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5AF48538"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0D5050C1" w14:textId="1FF46E54" w:rsidR="00132FDA" w:rsidRPr="000850DA" w:rsidRDefault="004104E4" w:rsidP="00132FDA">
            <w:pPr>
              <w:spacing w:line="240" w:lineRule="auto"/>
              <w:rPr>
                <w:rFonts w:eastAsiaTheme="minorEastAsia" w:cs="Times New Roman"/>
                <w:bCs/>
              </w:rPr>
            </w:pPr>
            <w:r w:rsidRPr="000850DA">
              <w:rPr>
                <w:rFonts w:eastAsiaTheme="minorEastAsia" w:cs="Times New Roman"/>
                <w:b/>
              </w:rPr>
              <w:t>—</w:t>
            </w:r>
          </w:p>
        </w:tc>
      </w:tr>
      <w:tr w:rsidR="00132FDA" w:rsidRPr="000850DA" w14:paraId="26C00887" w14:textId="14B319BE" w:rsidTr="00132FDA">
        <w:trPr>
          <w:trHeight w:val="102"/>
        </w:trPr>
        <w:tc>
          <w:tcPr>
            <w:tcW w:w="1458" w:type="pct"/>
            <w:vAlign w:val="center"/>
            <w:hideMark/>
          </w:tcPr>
          <w:p w14:paraId="48A1FC67"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Adynerin</w:t>
            </w:r>
          </w:p>
        </w:tc>
        <w:tc>
          <w:tcPr>
            <w:tcW w:w="460" w:type="pct"/>
            <w:vAlign w:val="center"/>
            <w:hideMark/>
          </w:tcPr>
          <w:p w14:paraId="095CE273"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4B67FFE3"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6FD08473"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6.47</w:t>
            </w:r>
          </w:p>
        </w:tc>
        <w:tc>
          <w:tcPr>
            <w:tcW w:w="1396" w:type="pct"/>
            <w:vAlign w:val="center"/>
            <w:hideMark/>
          </w:tcPr>
          <w:p w14:paraId="2D761994"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35EF4133" w14:textId="309A591F" w:rsidR="00132FDA" w:rsidRPr="000850DA" w:rsidRDefault="004104E4" w:rsidP="00132FDA">
            <w:pPr>
              <w:spacing w:line="240" w:lineRule="auto"/>
              <w:rPr>
                <w:rFonts w:eastAsiaTheme="minorEastAsia" w:cs="Times New Roman"/>
                <w:bCs/>
              </w:rPr>
            </w:pPr>
            <w:r w:rsidRPr="000850DA">
              <w:rPr>
                <w:rFonts w:eastAsiaTheme="minorEastAsia" w:cs="Times New Roman"/>
                <w:b/>
              </w:rPr>
              <w:t>—</w:t>
            </w:r>
          </w:p>
        </w:tc>
      </w:tr>
      <w:tr w:rsidR="00132FDA" w:rsidRPr="000850DA" w14:paraId="12A199FE" w14:textId="3E54424A" w:rsidTr="00132FDA">
        <w:trPr>
          <w:trHeight w:val="61"/>
        </w:trPr>
        <w:tc>
          <w:tcPr>
            <w:tcW w:w="1458" w:type="pct"/>
            <w:vAlign w:val="center"/>
            <w:hideMark/>
          </w:tcPr>
          <w:p w14:paraId="3013DAA4"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DL-3-Phenyllactic acid</w:t>
            </w:r>
          </w:p>
        </w:tc>
        <w:tc>
          <w:tcPr>
            <w:tcW w:w="460" w:type="pct"/>
            <w:vAlign w:val="center"/>
            <w:hideMark/>
          </w:tcPr>
          <w:p w14:paraId="04B796E1"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1223EC4A"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2.76</w:t>
            </w:r>
          </w:p>
        </w:tc>
        <w:tc>
          <w:tcPr>
            <w:tcW w:w="460" w:type="pct"/>
            <w:vAlign w:val="center"/>
            <w:hideMark/>
          </w:tcPr>
          <w:p w14:paraId="072C8F5B"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53843993"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417FEAB9" w14:textId="486DEE13" w:rsidR="00132FDA" w:rsidRPr="000850DA" w:rsidRDefault="004104E4" w:rsidP="00132FDA">
            <w:pPr>
              <w:spacing w:line="240" w:lineRule="auto"/>
              <w:rPr>
                <w:rFonts w:eastAsiaTheme="minorEastAsia" w:cs="Times New Roman"/>
                <w:bCs/>
              </w:rPr>
            </w:pPr>
            <w:r w:rsidRPr="000850DA">
              <w:rPr>
                <w:rFonts w:eastAsiaTheme="minorEastAsia" w:cs="Times New Roman"/>
                <w:b/>
              </w:rPr>
              <w:t>—</w:t>
            </w:r>
          </w:p>
        </w:tc>
      </w:tr>
      <w:tr w:rsidR="00132FDA" w:rsidRPr="000850DA" w14:paraId="47F09C06" w14:textId="2F885937" w:rsidTr="00132FDA">
        <w:trPr>
          <w:trHeight w:val="306"/>
        </w:trPr>
        <w:tc>
          <w:tcPr>
            <w:tcW w:w="1458" w:type="pct"/>
            <w:vAlign w:val="center"/>
            <w:hideMark/>
          </w:tcPr>
          <w:p w14:paraId="5C9D53BA"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DL-lactate</w:t>
            </w:r>
          </w:p>
        </w:tc>
        <w:tc>
          <w:tcPr>
            <w:tcW w:w="460" w:type="pct"/>
            <w:vAlign w:val="center"/>
            <w:hideMark/>
          </w:tcPr>
          <w:p w14:paraId="1AA1F817"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0.78</w:t>
            </w:r>
          </w:p>
        </w:tc>
        <w:tc>
          <w:tcPr>
            <w:tcW w:w="460" w:type="pct"/>
            <w:vAlign w:val="center"/>
            <w:hideMark/>
          </w:tcPr>
          <w:p w14:paraId="52B744F3"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5BDCF9C3"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1.27</w:t>
            </w:r>
          </w:p>
        </w:tc>
        <w:tc>
          <w:tcPr>
            <w:tcW w:w="1396" w:type="pct"/>
            <w:vAlign w:val="center"/>
            <w:hideMark/>
          </w:tcPr>
          <w:p w14:paraId="4766A5BA"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1CD35EBC" w14:textId="75EF0F1B" w:rsidR="00132FDA" w:rsidRPr="000850DA" w:rsidRDefault="00C810B4" w:rsidP="00132FDA">
            <w:pPr>
              <w:spacing w:line="240" w:lineRule="auto"/>
              <w:rPr>
                <w:rFonts w:eastAsiaTheme="minorEastAsia" w:cs="Times New Roman"/>
                <w:bCs/>
              </w:rPr>
            </w:pPr>
            <w:r w:rsidRPr="000850DA">
              <w:rPr>
                <w:rFonts w:eastAsiaTheme="minorEastAsia" w:cs="Times New Roman"/>
                <w:bCs/>
              </w:rPr>
              <w:t>C00256/C00186</w:t>
            </w:r>
          </w:p>
        </w:tc>
      </w:tr>
      <w:tr w:rsidR="00132FDA" w:rsidRPr="000850DA" w14:paraId="135898F1" w14:textId="305D85A8" w:rsidTr="00132FDA">
        <w:trPr>
          <w:trHeight w:val="306"/>
        </w:trPr>
        <w:tc>
          <w:tcPr>
            <w:tcW w:w="1458" w:type="pct"/>
            <w:vAlign w:val="center"/>
            <w:hideMark/>
          </w:tcPr>
          <w:p w14:paraId="749E68A5"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D-</w:t>
            </w:r>
            <w:proofErr w:type="spellStart"/>
            <w:r w:rsidRPr="000850DA">
              <w:rPr>
                <w:rFonts w:eastAsiaTheme="minorEastAsia" w:cs="Times New Roman"/>
              </w:rPr>
              <w:t>Quinovose</w:t>
            </w:r>
            <w:proofErr w:type="spellEnd"/>
          </w:p>
        </w:tc>
        <w:tc>
          <w:tcPr>
            <w:tcW w:w="460" w:type="pct"/>
            <w:vAlign w:val="center"/>
            <w:hideMark/>
          </w:tcPr>
          <w:p w14:paraId="7C21734E"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2A5170CC"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11610686"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2.09</w:t>
            </w:r>
          </w:p>
        </w:tc>
        <w:tc>
          <w:tcPr>
            <w:tcW w:w="1396" w:type="pct"/>
            <w:vAlign w:val="center"/>
            <w:hideMark/>
          </w:tcPr>
          <w:p w14:paraId="5243EFF0"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0EDD5AA5" w14:textId="6FF8451D" w:rsidR="00132FDA" w:rsidRPr="000850DA" w:rsidRDefault="004104E4" w:rsidP="00132FDA">
            <w:pPr>
              <w:spacing w:line="240" w:lineRule="auto"/>
              <w:rPr>
                <w:rFonts w:eastAsiaTheme="minorEastAsia" w:cs="Times New Roman"/>
                <w:bCs/>
              </w:rPr>
            </w:pPr>
            <w:r w:rsidRPr="000850DA">
              <w:rPr>
                <w:rFonts w:eastAsiaTheme="minorEastAsia" w:cs="Times New Roman"/>
                <w:b/>
              </w:rPr>
              <w:t>—</w:t>
            </w:r>
          </w:p>
        </w:tc>
      </w:tr>
      <w:tr w:rsidR="00132FDA" w:rsidRPr="000850DA" w14:paraId="3864A638" w14:textId="67FAC275" w:rsidTr="00132FDA">
        <w:trPr>
          <w:trHeight w:val="323"/>
        </w:trPr>
        <w:tc>
          <w:tcPr>
            <w:tcW w:w="1458" w:type="pct"/>
            <w:vAlign w:val="center"/>
            <w:hideMark/>
          </w:tcPr>
          <w:p w14:paraId="48F0055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D-Threitol</w:t>
            </w:r>
          </w:p>
        </w:tc>
        <w:tc>
          <w:tcPr>
            <w:tcW w:w="460" w:type="pct"/>
            <w:vAlign w:val="center"/>
            <w:hideMark/>
          </w:tcPr>
          <w:p w14:paraId="3B0A498D"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14B489B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2.14</w:t>
            </w:r>
          </w:p>
        </w:tc>
        <w:tc>
          <w:tcPr>
            <w:tcW w:w="460" w:type="pct"/>
            <w:vAlign w:val="center"/>
            <w:hideMark/>
          </w:tcPr>
          <w:p w14:paraId="6D1486CD"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47844555"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1A02E569" w14:textId="5AFC1581" w:rsidR="00132FDA" w:rsidRPr="000850DA" w:rsidRDefault="005C6CFC" w:rsidP="00132FDA">
            <w:pPr>
              <w:spacing w:line="240" w:lineRule="auto"/>
              <w:rPr>
                <w:rFonts w:eastAsiaTheme="minorEastAsia" w:cs="Times New Roman"/>
                <w:bCs/>
              </w:rPr>
            </w:pPr>
            <w:r w:rsidRPr="000850DA">
              <w:rPr>
                <w:rFonts w:eastAsiaTheme="minorEastAsia" w:cs="Times New Roman"/>
                <w:bCs/>
              </w:rPr>
              <w:t>C16884</w:t>
            </w:r>
          </w:p>
        </w:tc>
      </w:tr>
      <w:tr w:rsidR="00132FDA" w:rsidRPr="000850DA" w14:paraId="1AE5E621" w14:textId="5FFA31DA" w:rsidTr="00132FDA">
        <w:trPr>
          <w:trHeight w:val="306"/>
        </w:trPr>
        <w:tc>
          <w:tcPr>
            <w:tcW w:w="1458" w:type="pct"/>
            <w:vAlign w:val="center"/>
            <w:hideMark/>
          </w:tcPr>
          <w:p w14:paraId="0849921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Enterostatin human</w:t>
            </w:r>
          </w:p>
        </w:tc>
        <w:tc>
          <w:tcPr>
            <w:tcW w:w="460" w:type="pct"/>
            <w:vAlign w:val="center"/>
            <w:hideMark/>
          </w:tcPr>
          <w:p w14:paraId="0976CE88"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2.42</w:t>
            </w:r>
          </w:p>
        </w:tc>
        <w:tc>
          <w:tcPr>
            <w:tcW w:w="460" w:type="pct"/>
            <w:vAlign w:val="center"/>
            <w:hideMark/>
          </w:tcPr>
          <w:p w14:paraId="2DDDFE24"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3.47</w:t>
            </w:r>
          </w:p>
        </w:tc>
        <w:tc>
          <w:tcPr>
            <w:tcW w:w="460" w:type="pct"/>
            <w:vAlign w:val="center"/>
            <w:hideMark/>
          </w:tcPr>
          <w:p w14:paraId="386B708A"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0CC92039"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1C576631" w14:textId="1FF28929" w:rsidR="00132FDA" w:rsidRPr="000850DA" w:rsidRDefault="004104E4" w:rsidP="00132FDA">
            <w:pPr>
              <w:spacing w:line="240" w:lineRule="auto"/>
              <w:rPr>
                <w:rFonts w:eastAsiaTheme="minorEastAsia" w:cs="Times New Roman"/>
                <w:bCs/>
              </w:rPr>
            </w:pPr>
            <w:r w:rsidRPr="000850DA">
              <w:rPr>
                <w:rFonts w:eastAsiaTheme="minorEastAsia" w:cs="Times New Roman"/>
                <w:b/>
              </w:rPr>
              <w:t>—</w:t>
            </w:r>
          </w:p>
        </w:tc>
      </w:tr>
      <w:tr w:rsidR="00132FDA" w:rsidRPr="000850DA" w14:paraId="05948122" w14:textId="1C942453" w:rsidTr="00132FDA">
        <w:trPr>
          <w:trHeight w:val="306"/>
        </w:trPr>
        <w:tc>
          <w:tcPr>
            <w:tcW w:w="1458" w:type="pct"/>
            <w:vAlign w:val="center"/>
            <w:hideMark/>
          </w:tcPr>
          <w:p w14:paraId="00BA350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L-Carnitine</w:t>
            </w:r>
          </w:p>
        </w:tc>
        <w:tc>
          <w:tcPr>
            <w:tcW w:w="460" w:type="pct"/>
            <w:vAlign w:val="center"/>
            <w:hideMark/>
          </w:tcPr>
          <w:p w14:paraId="02918B31"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24958004"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11.88</w:t>
            </w:r>
          </w:p>
        </w:tc>
        <w:tc>
          <w:tcPr>
            <w:tcW w:w="460" w:type="pct"/>
            <w:vAlign w:val="center"/>
            <w:hideMark/>
          </w:tcPr>
          <w:p w14:paraId="165CD4AF"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025803C0" w14:textId="7FA9AC6F" w:rsidR="00132FDA" w:rsidRPr="000850DA" w:rsidRDefault="001C1F15" w:rsidP="00132FDA">
            <w:pPr>
              <w:spacing w:line="240" w:lineRule="auto"/>
              <w:rPr>
                <w:rFonts w:eastAsiaTheme="minorEastAsia" w:cs="Times New Roman"/>
              </w:rPr>
            </w:pPr>
            <w:r w:rsidRPr="000850DA">
              <w:rPr>
                <w:rFonts w:eastAsiaTheme="minorEastAsia" w:cs="Times New Roman"/>
              </w:rPr>
              <w:t>Bile secretion</w:t>
            </w:r>
          </w:p>
        </w:tc>
        <w:tc>
          <w:tcPr>
            <w:tcW w:w="765" w:type="pct"/>
            <w:vAlign w:val="center"/>
          </w:tcPr>
          <w:p w14:paraId="7A42354D" w14:textId="12A2AC54" w:rsidR="00132FDA" w:rsidRPr="000850DA" w:rsidRDefault="001C1F15" w:rsidP="00132FDA">
            <w:pPr>
              <w:spacing w:line="240" w:lineRule="auto"/>
              <w:rPr>
                <w:rFonts w:eastAsiaTheme="minorEastAsia" w:cs="Times New Roman"/>
                <w:bCs/>
              </w:rPr>
            </w:pPr>
            <w:r w:rsidRPr="000850DA">
              <w:rPr>
                <w:rFonts w:eastAsiaTheme="minorEastAsia" w:cs="Times New Roman"/>
                <w:bCs/>
              </w:rPr>
              <w:t>C00318</w:t>
            </w:r>
          </w:p>
        </w:tc>
      </w:tr>
      <w:tr w:rsidR="00132FDA" w:rsidRPr="000850DA" w14:paraId="1448B42E" w14:textId="74664354" w:rsidTr="00132FDA">
        <w:trPr>
          <w:trHeight w:val="306"/>
        </w:trPr>
        <w:tc>
          <w:tcPr>
            <w:tcW w:w="1458" w:type="pct"/>
            <w:vAlign w:val="center"/>
            <w:hideMark/>
          </w:tcPr>
          <w:p w14:paraId="2D2A9CCE"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m-</w:t>
            </w:r>
            <w:proofErr w:type="spellStart"/>
            <w:r w:rsidRPr="000850DA">
              <w:rPr>
                <w:rFonts w:eastAsiaTheme="minorEastAsia" w:cs="Times New Roman"/>
              </w:rPr>
              <w:t>Chlorohippuric</w:t>
            </w:r>
            <w:proofErr w:type="spellEnd"/>
            <w:r w:rsidRPr="000850DA">
              <w:rPr>
                <w:rFonts w:eastAsiaTheme="minorEastAsia" w:cs="Times New Roman"/>
              </w:rPr>
              <w:t xml:space="preserve"> acid</w:t>
            </w:r>
          </w:p>
        </w:tc>
        <w:tc>
          <w:tcPr>
            <w:tcW w:w="460" w:type="pct"/>
            <w:vAlign w:val="center"/>
            <w:hideMark/>
          </w:tcPr>
          <w:p w14:paraId="56CE5A70"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vAlign w:val="center"/>
            <w:hideMark/>
          </w:tcPr>
          <w:p w14:paraId="45705833"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0.63</w:t>
            </w:r>
          </w:p>
        </w:tc>
        <w:tc>
          <w:tcPr>
            <w:tcW w:w="460" w:type="pct"/>
            <w:vAlign w:val="center"/>
            <w:hideMark/>
          </w:tcPr>
          <w:p w14:paraId="01F46A62"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0.81</w:t>
            </w:r>
          </w:p>
        </w:tc>
        <w:tc>
          <w:tcPr>
            <w:tcW w:w="1396" w:type="pct"/>
            <w:vAlign w:val="center"/>
            <w:hideMark/>
          </w:tcPr>
          <w:p w14:paraId="18A1DA84"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1231D599" w14:textId="107A72A8" w:rsidR="00132FDA" w:rsidRPr="000850DA" w:rsidRDefault="004104E4" w:rsidP="00132FDA">
            <w:pPr>
              <w:spacing w:line="240" w:lineRule="auto"/>
              <w:rPr>
                <w:rFonts w:eastAsiaTheme="minorEastAsia" w:cs="Times New Roman"/>
                <w:bCs/>
              </w:rPr>
            </w:pPr>
            <w:r w:rsidRPr="000850DA">
              <w:rPr>
                <w:rFonts w:eastAsiaTheme="minorEastAsia" w:cs="Times New Roman"/>
                <w:b/>
              </w:rPr>
              <w:t>—</w:t>
            </w:r>
          </w:p>
        </w:tc>
      </w:tr>
      <w:tr w:rsidR="00132FDA" w:rsidRPr="000850DA" w14:paraId="0DE9223F" w14:textId="59FABB56" w:rsidTr="00132FDA">
        <w:trPr>
          <w:trHeight w:val="306"/>
        </w:trPr>
        <w:tc>
          <w:tcPr>
            <w:tcW w:w="1458" w:type="pct"/>
            <w:vAlign w:val="center"/>
            <w:hideMark/>
          </w:tcPr>
          <w:p w14:paraId="4434F1FF" w14:textId="77777777" w:rsidR="00132FDA" w:rsidRPr="000850DA" w:rsidRDefault="00132FDA" w:rsidP="00132FDA">
            <w:pPr>
              <w:spacing w:line="240" w:lineRule="auto"/>
              <w:rPr>
                <w:rFonts w:eastAsiaTheme="minorEastAsia" w:cs="Times New Roman"/>
              </w:rPr>
            </w:pPr>
            <w:proofErr w:type="spellStart"/>
            <w:r w:rsidRPr="000850DA">
              <w:rPr>
                <w:rFonts w:eastAsiaTheme="minorEastAsia" w:cs="Times New Roman"/>
              </w:rPr>
              <w:t>Pseudouridine</w:t>
            </w:r>
            <w:proofErr w:type="spellEnd"/>
          </w:p>
        </w:tc>
        <w:tc>
          <w:tcPr>
            <w:tcW w:w="460" w:type="pct"/>
            <w:vAlign w:val="center"/>
            <w:hideMark/>
          </w:tcPr>
          <w:p w14:paraId="3E34A0B3"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2.29</w:t>
            </w:r>
          </w:p>
        </w:tc>
        <w:tc>
          <w:tcPr>
            <w:tcW w:w="460" w:type="pct"/>
            <w:vAlign w:val="center"/>
            <w:hideMark/>
          </w:tcPr>
          <w:p w14:paraId="0405BD6F"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2.73</w:t>
            </w:r>
          </w:p>
        </w:tc>
        <w:tc>
          <w:tcPr>
            <w:tcW w:w="460" w:type="pct"/>
            <w:vAlign w:val="center"/>
            <w:hideMark/>
          </w:tcPr>
          <w:p w14:paraId="6B410CF6"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399B17B4" w14:textId="467AB163" w:rsidR="00132FDA" w:rsidRPr="000850DA" w:rsidRDefault="001C1F15" w:rsidP="00132FDA">
            <w:pPr>
              <w:spacing w:line="240" w:lineRule="auto"/>
              <w:rPr>
                <w:rFonts w:eastAsiaTheme="minorEastAsia" w:cs="Times New Roman"/>
              </w:rPr>
            </w:pPr>
            <w:r w:rsidRPr="000850DA">
              <w:rPr>
                <w:rFonts w:eastAsiaTheme="minorEastAsia" w:cs="Times New Roman"/>
              </w:rPr>
              <w:t>Pyrimidine metabolism</w:t>
            </w:r>
          </w:p>
        </w:tc>
        <w:tc>
          <w:tcPr>
            <w:tcW w:w="765" w:type="pct"/>
            <w:vAlign w:val="center"/>
          </w:tcPr>
          <w:p w14:paraId="02F1B35A" w14:textId="3680DC43" w:rsidR="00132FDA" w:rsidRPr="000850DA" w:rsidRDefault="001C1F15" w:rsidP="00132FDA">
            <w:pPr>
              <w:spacing w:line="240" w:lineRule="auto"/>
              <w:rPr>
                <w:rFonts w:eastAsiaTheme="minorEastAsia" w:cs="Times New Roman"/>
                <w:bCs/>
              </w:rPr>
            </w:pPr>
            <w:r w:rsidRPr="000850DA">
              <w:rPr>
                <w:rFonts w:eastAsiaTheme="minorEastAsia" w:cs="Times New Roman"/>
                <w:bCs/>
              </w:rPr>
              <w:t>C02067</w:t>
            </w:r>
          </w:p>
        </w:tc>
      </w:tr>
      <w:tr w:rsidR="00132FDA" w:rsidRPr="000850DA" w14:paraId="18D7634C" w14:textId="448F7AAF" w:rsidTr="00132FDA">
        <w:trPr>
          <w:trHeight w:val="306"/>
        </w:trPr>
        <w:tc>
          <w:tcPr>
            <w:tcW w:w="1458" w:type="pct"/>
            <w:vAlign w:val="center"/>
            <w:hideMark/>
          </w:tcPr>
          <w:p w14:paraId="43D373CC"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Ramipril</w:t>
            </w:r>
          </w:p>
        </w:tc>
        <w:tc>
          <w:tcPr>
            <w:tcW w:w="460" w:type="pct"/>
            <w:vAlign w:val="center"/>
            <w:hideMark/>
          </w:tcPr>
          <w:p w14:paraId="220E39B2"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1.78</w:t>
            </w:r>
          </w:p>
        </w:tc>
        <w:tc>
          <w:tcPr>
            <w:tcW w:w="460" w:type="pct"/>
            <w:vAlign w:val="center"/>
            <w:hideMark/>
          </w:tcPr>
          <w:p w14:paraId="16C81A50"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1.97</w:t>
            </w:r>
          </w:p>
        </w:tc>
        <w:tc>
          <w:tcPr>
            <w:tcW w:w="460" w:type="pct"/>
            <w:vAlign w:val="center"/>
            <w:hideMark/>
          </w:tcPr>
          <w:p w14:paraId="15A62ED4"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vAlign w:val="center"/>
            <w:hideMark/>
          </w:tcPr>
          <w:p w14:paraId="235F4499"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765" w:type="pct"/>
            <w:vAlign w:val="center"/>
          </w:tcPr>
          <w:p w14:paraId="4F6251EE" w14:textId="2EE2EF13" w:rsidR="00132FDA" w:rsidRPr="000850DA" w:rsidRDefault="004104E4" w:rsidP="00132FDA">
            <w:pPr>
              <w:spacing w:line="240" w:lineRule="auto"/>
              <w:rPr>
                <w:rFonts w:eastAsiaTheme="minorEastAsia" w:cs="Times New Roman"/>
                <w:bCs/>
              </w:rPr>
            </w:pPr>
            <w:r w:rsidRPr="000850DA">
              <w:rPr>
                <w:rFonts w:eastAsiaTheme="minorEastAsia" w:cs="Times New Roman"/>
                <w:b/>
              </w:rPr>
              <w:t>—</w:t>
            </w:r>
          </w:p>
        </w:tc>
      </w:tr>
      <w:tr w:rsidR="00132FDA" w:rsidRPr="000850DA" w14:paraId="0C282410" w14:textId="773091F3" w:rsidTr="00132FDA">
        <w:trPr>
          <w:trHeight w:val="306"/>
        </w:trPr>
        <w:tc>
          <w:tcPr>
            <w:tcW w:w="1458" w:type="pct"/>
            <w:tcBorders>
              <w:bottom w:val="single" w:sz="4" w:space="0" w:color="auto"/>
            </w:tcBorders>
            <w:vAlign w:val="center"/>
            <w:hideMark/>
          </w:tcPr>
          <w:p w14:paraId="1A09198D"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lastRenderedPageBreak/>
              <w:t>Uric acid</w:t>
            </w:r>
          </w:p>
        </w:tc>
        <w:tc>
          <w:tcPr>
            <w:tcW w:w="460" w:type="pct"/>
            <w:tcBorders>
              <w:bottom w:val="single" w:sz="4" w:space="0" w:color="auto"/>
            </w:tcBorders>
            <w:vAlign w:val="center"/>
            <w:hideMark/>
          </w:tcPr>
          <w:p w14:paraId="6A25FFE0"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460" w:type="pct"/>
            <w:tcBorders>
              <w:bottom w:val="single" w:sz="4" w:space="0" w:color="auto"/>
            </w:tcBorders>
            <w:vAlign w:val="center"/>
            <w:hideMark/>
          </w:tcPr>
          <w:p w14:paraId="4ED6236B" w14:textId="77777777" w:rsidR="00132FDA" w:rsidRPr="000850DA" w:rsidRDefault="00132FDA" w:rsidP="00132FDA">
            <w:pPr>
              <w:spacing w:line="240" w:lineRule="auto"/>
              <w:rPr>
                <w:rFonts w:eastAsiaTheme="minorEastAsia" w:cs="Times New Roman"/>
              </w:rPr>
            </w:pPr>
            <w:r w:rsidRPr="000850DA">
              <w:rPr>
                <w:rFonts w:eastAsiaTheme="minorEastAsia" w:cs="Times New Roman"/>
              </w:rPr>
              <w:t>2.16</w:t>
            </w:r>
          </w:p>
        </w:tc>
        <w:tc>
          <w:tcPr>
            <w:tcW w:w="460" w:type="pct"/>
            <w:tcBorders>
              <w:bottom w:val="single" w:sz="4" w:space="0" w:color="auto"/>
            </w:tcBorders>
            <w:vAlign w:val="center"/>
            <w:hideMark/>
          </w:tcPr>
          <w:p w14:paraId="0819A10F" w14:textId="77777777" w:rsidR="00132FDA" w:rsidRPr="000850DA" w:rsidRDefault="00132FDA" w:rsidP="00132FDA">
            <w:pPr>
              <w:spacing w:line="240" w:lineRule="auto"/>
              <w:rPr>
                <w:rFonts w:eastAsiaTheme="minorEastAsia" w:cs="Times New Roman"/>
              </w:rPr>
            </w:pPr>
            <w:r w:rsidRPr="000850DA">
              <w:rPr>
                <w:rFonts w:eastAsiaTheme="minorEastAsia" w:cs="Times New Roman"/>
                <w:b/>
              </w:rPr>
              <w:t>—</w:t>
            </w:r>
          </w:p>
        </w:tc>
        <w:tc>
          <w:tcPr>
            <w:tcW w:w="1396" w:type="pct"/>
            <w:tcBorders>
              <w:bottom w:val="single" w:sz="4" w:space="0" w:color="auto"/>
            </w:tcBorders>
            <w:vAlign w:val="center"/>
            <w:hideMark/>
          </w:tcPr>
          <w:p w14:paraId="5A44601D" w14:textId="6888C3F6" w:rsidR="00132FDA" w:rsidRPr="000850DA" w:rsidRDefault="004104E4" w:rsidP="00132FDA">
            <w:pPr>
              <w:spacing w:line="240" w:lineRule="auto"/>
              <w:rPr>
                <w:rFonts w:eastAsiaTheme="minorEastAsia" w:cs="Times New Roman"/>
              </w:rPr>
            </w:pPr>
            <w:r w:rsidRPr="000850DA">
              <w:rPr>
                <w:rFonts w:eastAsiaTheme="minorEastAsia" w:cs="Times New Roman"/>
              </w:rPr>
              <w:t>Purine metabolism</w:t>
            </w:r>
          </w:p>
        </w:tc>
        <w:tc>
          <w:tcPr>
            <w:tcW w:w="765" w:type="pct"/>
            <w:tcBorders>
              <w:bottom w:val="single" w:sz="4" w:space="0" w:color="auto"/>
            </w:tcBorders>
            <w:vAlign w:val="center"/>
          </w:tcPr>
          <w:p w14:paraId="1D5C044D" w14:textId="24756153" w:rsidR="00132FDA" w:rsidRPr="000850DA" w:rsidRDefault="004104E4" w:rsidP="00132FDA">
            <w:pPr>
              <w:spacing w:line="240" w:lineRule="auto"/>
              <w:rPr>
                <w:rFonts w:eastAsiaTheme="minorEastAsia" w:cs="Times New Roman"/>
                <w:bCs/>
              </w:rPr>
            </w:pPr>
            <w:r w:rsidRPr="000850DA">
              <w:rPr>
                <w:rFonts w:eastAsiaTheme="minorEastAsia" w:cs="Times New Roman"/>
                <w:bCs/>
              </w:rPr>
              <w:t>C00366</w:t>
            </w:r>
          </w:p>
        </w:tc>
      </w:tr>
    </w:tbl>
    <w:p w14:paraId="4003C148" w14:textId="647DABB2" w:rsidR="0059456E" w:rsidRPr="000850DA" w:rsidRDefault="00CE3879" w:rsidP="00634A0D">
      <w:pPr>
        <w:spacing w:line="240" w:lineRule="auto"/>
        <w:rPr>
          <w:rFonts w:eastAsiaTheme="minorEastAsia"/>
        </w:rPr>
      </w:pPr>
      <w:r w:rsidRPr="000850DA">
        <w:rPr>
          <w:rFonts w:eastAsiaTheme="minorEastAsia"/>
          <w:b/>
          <w:bCs/>
        </w:rPr>
        <w:t xml:space="preserve">Abbreviations: </w:t>
      </w:r>
      <w:r w:rsidR="00634A0D" w:rsidRPr="000850DA">
        <w:rPr>
          <w:rFonts w:eastAsiaTheme="minorEastAsia"/>
        </w:rPr>
        <w:t>SS</w:t>
      </w:r>
      <w:r w:rsidR="00A4504C" w:rsidRPr="000850DA">
        <w:rPr>
          <w:rFonts w:eastAsiaTheme="minorEastAsia" w:hint="eastAsia"/>
        </w:rPr>
        <w:t>,</w:t>
      </w:r>
      <w:r w:rsidR="00634A0D" w:rsidRPr="000850DA">
        <w:rPr>
          <w:rFonts w:eastAsiaTheme="minorEastAsia"/>
        </w:rPr>
        <w:t xml:space="preserve"> septic shock survivors</w:t>
      </w:r>
      <w:r w:rsidR="00A4504C" w:rsidRPr="000850DA">
        <w:rPr>
          <w:rFonts w:eastAsiaTheme="minorEastAsia" w:hint="eastAsia"/>
        </w:rPr>
        <w:t>;</w:t>
      </w:r>
      <w:r w:rsidR="00634A0D" w:rsidRPr="000850DA">
        <w:rPr>
          <w:rFonts w:eastAsiaTheme="minorEastAsia"/>
        </w:rPr>
        <w:t xml:space="preserve"> SNS</w:t>
      </w:r>
      <w:r w:rsidR="00A4504C" w:rsidRPr="000850DA">
        <w:rPr>
          <w:rFonts w:eastAsiaTheme="minorEastAsia" w:hint="eastAsia"/>
        </w:rPr>
        <w:t>,</w:t>
      </w:r>
      <w:r w:rsidR="00634A0D" w:rsidRPr="000850DA">
        <w:rPr>
          <w:rFonts w:eastAsiaTheme="minorEastAsia"/>
        </w:rPr>
        <w:t xml:space="preserve"> septic shock non-survivors</w:t>
      </w:r>
      <w:r w:rsidR="00A4504C" w:rsidRPr="000850DA">
        <w:rPr>
          <w:rFonts w:eastAsiaTheme="minorEastAsia" w:hint="eastAsia"/>
        </w:rPr>
        <w:t>;</w:t>
      </w:r>
      <w:r w:rsidR="00634A0D" w:rsidRPr="000850DA">
        <w:rPr>
          <w:rFonts w:eastAsiaTheme="minorEastAsia"/>
        </w:rPr>
        <w:t xml:space="preserve"> SIRS</w:t>
      </w:r>
      <w:r w:rsidR="00A4504C" w:rsidRPr="000850DA">
        <w:rPr>
          <w:rFonts w:eastAsiaTheme="minorEastAsia" w:hint="eastAsia"/>
        </w:rPr>
        <w:t>,</w:t>
      </w:r>
      <w:r w:rsidR="00634A0D" w:rsidRPr="000850DA">
        <w:rPr>
          <w:rFonts w:eastAsiaTheme="minorEastAsia"/>
        </w:rPr>
        <w:t xml:space="preserve"> non-infected SIRS control</w:t>
      </w:r>
      <w:r w:rsidR="00A4504C" w:rsidRPr="000850DA">
        <w:rPr>
          <w:rFonts w:eastAsiaTheme="minorEastAsia" w:hint="eastAsia"/>
        </w:rPr>
        <w:t>;</w:t>
      </w:r>
      <w:r w:rsidR="00634A0D" w:rsidRPr="000850DA">
        <w:rPr>
          <w:rFonts w:eastAsiaTheme="minorEastAsia"/>
        </w:rPr>
        <w:t xml:space="preserve"> FC fold chang</w:t>
      </w:r>
      <w:r w:rsidR="00A4504C" w:rsidRPr="000850DA">
        <w:rPr>
          <w:rFonts w:eastAsiaTheme="minorEastAsia" w:hint="eastAsia"/>
        </w:rPr>
        <w:t>e</w:t>
      </w:r>
      <w:r w:rsidR="0098080D" w:rsidRPr="000850DA">
        <w:rPr>
          <w:rFonts w:eastAsiaTheme="minorEastAsia" w:hint="eastAsia"/>
        </w:rPr>
        <w:t xml:space="preserve">; KEGG, </w:t>
      </w:r>
      <w:r w:rsidR="0098080D" w:rsidRPr="000850DA">
        <w:t>Kyoto Encyclopedia of Genes and Genomes</w:t>
      </w:r>
      <w:r w:rsidR="0098080D" w:rsidRPr="000850DA">
        <w:rPr>
          <w:rFonts w:hint="eastAsia"/>
        </w:rPr>
        <w:t>.</w:t>
      </w:r>
    </w:p>
    <w:p w14:paraId="1F825DF0" w14:textId="77777777" w:rsidR="0059456E" w:rsidRPr="000850DA" w:rsidRDefault="0059456E">
      <w:pPr>
        <w:widowControl/>
        <w:spacing w:line="240" w:lineRule="auto"/>
        <w:jc w:val="left"/>
        <w:rPr>
          <w:rFonts w:eastAsiaTheme="minorEastAsia"/>
        </w:rPr>
      </w:pPr>
      <w:r w:rsidRPr="000850DA">
        <w:rPr>
          <w:rFonts w:eastAsiaTheme="minorEastAsia"/>
        </w:rPr>
        <w:br w:type="page"/>
      </w:r>
    </w:p>
    <w:p w14:paraId="05746188" w14:textId="6F4F8D6E" w:rsidR="00F30FC2" w:rsidRPr="000850DA" w:rsidRDefault="007B2C64">
      <w:pPr>
        <w:widowControl/>
        <w:spacing w:line="240" w:lineRule="auto"/>
        <w:jc w:val="left"/>
        <w:rPr>
          <w:rFonts w:eastAsiaTheme="minorEastAsia"/>
        </w:rPr>
      </w:pPr>
      <w:r>
        <w:rPr>
          <w:rFonts w:eastAsiaTheme="minorEastAsia"/>
          <w:noProof/>
        </w:rPr>
        <w:lastRenderedPageBreak/>
        <w:drawing>
          <wp:inline distT="0" distB="0" distL="0" distR="0" wp14:anchorId="24E621FC" wp14:editId="0397BD8D">
            <wp:extent cx="5267325" cy="5462905"/>
            <wp:effectExtent l="0" t="0" r="9525" b="4445"/>
            <wp:docPr id="870109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5462905"/>
                    </a:xfrm>
                    <a:prstGeom prst="rect">
                      <a:avLst/>
                    </a:prstGeom>
                    <a:noFill/>
                    <a:ln>
                      <a:noFill/>
                    </a:ln>
                  </pic:spPr>
                </pic:pic>
              </a:graphicData>
            </a:graphic>
          </wp:inline>
        </w:drawing>
      </w:r>
    </w:p>
    <w:p w14:paraId="48D8235A" w14:textId="3290584D" w:rsidR="00F30FC2" w:rsidRPr="000850DA" w:rsidRDefault="00F30FC2" w:rsidP="00F30FC2">
      <w:pPr>
        <w:spacing w:line="240" w:lineRule="auto"/>
        <w:rPr>
          <w:rFonts w:eastAsiaTheme="minorEastAsia"/>
          <w:color w:val="231F20"/>
        </w:rPr>
      </w:pPr>
      <w:proofErr w:type="spellStart"/>
      <w:r w:rsidRPr="000850DA">
        <w:rPr>
          <w:rFonts w:eastAsiaTheme="minorEastAsia" w:cs="Times New Roman" w:hint="eastAsia"/>
          <w:b/>
          <w:bCs/>
        </w:rPr>
        <w:t>eFigure</w:t>
      </w:r>
      <w:proofErr w:type="spellEnd"/>
      <w:r w:rsidRPr="000850DA">
        <w:rPr>
          <w:rFonts w:eastAsiaTheme="minorEastAsia" w:cs="Times New Roman" w:hint="eastAsia"/>
          <w:b/>
          <w:bCs/>
        </w:rPr>
        <w:t xml:space="preserve"> 1</w:t>
      </w:r>
      <w:r w:rsidRPr="000850DA">
        <w:rPr>
          <w:rFonts w:eastAsiaTheme="minorEastAsia" w:cs="Times New Roman" w:hint="eastAsia"/>
        </w:rPr>
        <w:t xml:space="preserve"> </w:t>
      </w:r>
      <w:r w:rsidR="00E11B17" w:rsidRPr="000850DA">
        <w:rPr>
          <w:rFonts w:eastAsiaTheme="minorEastAsia" w:cs="Times New Roman" w:hint="eastAsia"/>
        </w:rPr>
        <w:t>F</w:t>
      </w:r>
      <w:r w:rsidR="00E11B17" w:rsidRPr="000850DA">
        <w:rPr>
          <w:rFonts w:cs="Times New Roman" w:hint="eastAsia"/>
        </w:rPr>
        <w:t>l</w:t>
      </w:r>
      <w:r w:rsidR="00E11B17" w:rsidRPr="000850DA">
        <w:rPr>
          <w:rFonts w:cs="Times New Roman"/>
        </w:rPr>
        <w:t>owchart</w:t>
      </w:r>
      <w:r w:rsidR="009E2E0A" w:rsidRPr="000850DA">
        <w:t xml:space="preserve"> of </w:t>
      </w:r>
      <w:r w:rsidR="009E2E0A" w:rsidRPr="000850DA">
        <w:rPr>
          <w:rFonts w:hint="eastAsia"/>
        </w:rPr>
        <w:t>s</w:t>
      </w:r>
      <w:r w:rsidR="009E2E0A" w:rsidRPr="000850DA">
        <w:t xml:space="preserve">ample </w:t>
      </w:r>
      <w:r w:rsidR="009E2E0A" w:rsidRPr="000850DA">
        <w:rPr>
          <w:rFonts w:hint="eastAsia"/>
        </w:rPr>
        <w:t>p</w:t>
      </w:r>
      <w:r w:rsidR="009E2E0A" w:rsidRPr="000850DA">
        <w:t xml:space="preserve">reparation and UPLC-QTOF/MS </w:t>
      </w:r>
      <w:r w:rsidR="009E2E0A" w:rsidRPr="000850DA">
        <w:rPr>
          <w:rFonts w:hint="eastAsia"/>
        </w:rPr>
        <w:t>a</w:t>
      </w:r>
      <w:r w:rsidR="009E2E0A" w:rsidRPr="000850DA">
        <w:t>nalysis</w:t>
      </w:r>
      <w:r w:rsidR="009E2E0A" w:rsidRPr="000850DA">
        <w:rPr>
          <w:rFonts w:hint="eastAsia"/>
        </w:rPr>
        <w:t>.</w:t>
      </w:r>
    </w:p>
    <w:p w14:paraId="5A8AAE6D" w14:textId="155275BD" w:rsidR="00F30FC2" w:rsidRPr="000850DA" w:rsidRDefault="00F30FC2">
      <w:pPr>
        <w:widowControl/>
        <w:spacing w:line="240" w:lineRule="auto"/>
        <w:jc w:val="left"/>
        <w:rPr>
          <w:rFonts w:eastAsiaTheme="minorEastAsia"/>
        </w:rPr>
      </w:pPr>
      <w:r w:rsidRPr="000850DA">
        <w:rPr>
          <w:rFonts w:eastAsiaTheme="minorEastAsia"/>
        </w:rPr>
        <w:br w:type="page"/>
      </w:r>
    </w:p>
    <w:p w14:paraId="6D21A9EC" w14:textId="2C84685F" w:rsidR="0059456E" w:rsidRPr="000850DA" w:rsidRDefault="000F15F1" w:rsidP="0059456E">
      <w:pPr>
        <w:spacing w:line="240" w:lineRule="auto"/>
        <w:rPr>
          <w:rFonts w:eastAsiaTheme="minorEastAsia"/>
          <w:color w:val="231F20"/>
        </w:rPr>
      </w:pPr>
      <w:r w:rsidRPr="000850DA">
        <w:rPr>
          <w:rFonts w:eastAsiaTheme="minorEastAsia" w:hint="eastAsia"/>
          <w:noProof/>
          <w:color w:val="231F20"/>
        </w:rPr>
        <w:lastRenderedPageBreak/>
        <w:drawing>
          <wp:inline distT="0" distB="0" distL="0" distR="0" wp14:anchorId="57D4BD18" wp14:editId="4FA487FB">
            <wp:extent cx="5266690" cy="6963410"/>
            <wp:effectExtent l="0" t="0" r="0" b="8890"/>
            <wp:docPr id="1122686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690" cy="6963410"/>
                    </a:xfrm>
                    <a:prstGeom prst="rect">
                      <a:avLst/>
                    </a:prstGeom>
                    <a:noFill/>
                    <a:ln>
                      <a:noFill/>
                    </a:ln>
                  </pic:spPr>
                </pic:pic>
              </a:graphicData>
            </a:graphic>
          </wp:inline>
        </w:drawing>
      </w:r>
    </w:p>
    <w:p w14:paraId="2A918AA8" w14:textId="2429470B" w:rsidR="003F4B90" w:rsidRPr="000850DA" w:rsidRDefault="003F4B90" w:rsidP="003F4B90">
      <w:pPr>
        <w:spacing w:line="240" w:lineRule="auto"/>
        <w:rPr>
          <w:rFonts w:eastAsiaTheme="minorEastAsia"/>
          <w:color w:val="231F20"/>
        </w:rPr>
      </w:pPr>
      <w:proofErr w:type="spellStart"/>
      <w:r w:rsidRPr="000850DA">
        <w:rPr>
          <w:rFonts w:eastAsiaTheme="minorEastAsia" w:cs="Times New Roman" w:hint="eastAsia"/>
          <w:b/>
          <w:bCs/>
        </w:rPr>
        <w:t>eFigure</w:t>
      </w:r>
      <w:proofErr w:type="spellEnd"/>
      <w:r w:rsidRPr="000850DA">
        <w:rPr>
          <w:rFonts w:eastAsiaTheme="minorEastAsia" w:cs="Times New Roman" w:hint="eastAsia"/>
          <w:b/>
          <w:bCs/>
        </w:rPr>
        <w:t xml:space="preserve"> </w:t>
      </w:r>
      <w:r w:rsidR="00686A89" w:rsidRPr="000850DA">
        <w:rPr>
          <w:rFonts w:eastAsiaTheme="minorEastAsia" w:cs="Times New Roman" w:hint="eastAsia"/>
          <w:b/>
          <w:bCs/>
        </w:rPr>
        <w:t>2</w:t>
      </w:r>
      <w:r w:rsidRPr="000850DA">
        <w:rPr>
          <w:rFonts w:eastAsiaTheme="minorEastAsia" w:cs="Times New Roman" w:hint="eastAsia"/>
          <w:b/>
          <w:bCs/>
        </w:rPr>
        <w:t xml:space="preserve"> </w:t>
      </w:r>
      <w:r w:rsidRPr="000850DA">
        <w:rPr>
          <w:color w:val="000000"/>
        </w:rPr>
        <w:t xml:space="preserve">Principal component analysis </w:t>
      </w:r>
      <w:r w:rsidRPr="000850DA">
        <w:t>score scatter plots (a) in positive model and (b) in negative model.</w:t>
      </w:r>
    </w:p>
    <w:p w14:paraId="0E81879A" w14:textId="48B4BF3A" w:rsidR="00012CFA" w:rsidRPr="000850DA" w:rsidRDefault="00CE3879" w:rsidP="0059456E">
      <w:pPr>
        <w:spacing w:line="240" w:lineRule="auto"/>
        <w:rPr>
          <w:rFonts w:eastAsiaTheme="minorEastAsia"/>
          <w:color w:val="231F20"/>
        </w:rPr>
      </w:pPr>
      <w:r w:rsidRPr="000850DA">
        <w:rPr>
          <w:rFonts w:eastAsiaTheme="minorEastAsia"/>
          <w:b/>
          <w:bCs/>
        </w:rPr>
        <w:t xml:space="preserve">Abbreviations: </w:t>
      </w:r>
      <w:r w:rsidR="00012CFA" w:rsidRPr="000850DA">
        <w:rPr>
          <w:color w:val="231F20"/>
        </w:rPr>
        <w:t>SS,</w:t>
      </w:r>
      <w:r w:rsidR="00012CFA" w:rsidRPr="000850DA">
        <w:rPr>
          <w:color w:val="000000"/>
        </w:rPr>
        <w:t xml:space="preserve"> septic shock survivors</w:t>
      </w:r>
      <w:r w:rsidR="00012CFA" w:rsidRPr="000850DA">
        <w:rPr>
          <w:color w:val="231F20"/>
        </w:rPr>
        <w:t xml:space="preserve">; SNS, </w:t>
      </w:r>
      <w:r w:rsidR="00012CFA" w:rsidRPr="000850DA">
        <w:rPr>
          <w:color w:val="000000"/>
        </w:rPr>
        <w:t>septic shock non-survivors</w:t>
      </w:r>
      <w:r w:rsidR="00012CFA" w:rsidRPr="000850DA">
        <w:rPr>
          <w:color w:val="231F20"/>
        </w:rPr>
        <w:t>; SIRS, non-infected SIRS controls; QC, quality control.</w:t>
      </w:r>
    </w:p>
    <w:p w14:paraId="74EA3821" w14:textId="710E350C" w:rsidR="0059456E" w:rsidRPr="000850DA" w:rsidRDefault="0059456E" w:rsidP="0059456E">
      <w:pPr>
        <w:widowControl/>
        <w:spacing w:line="240" w:lineRule="auto"/>
        <w:jc w:val="left"/>
        <w:rPr>
          <w:rFonts w:eastAsiaTheme="minorEastAsia"/>
          <w:color w:val="231F20"/>
        </w:rPr>
      </w:pPr>
      <w:r w:rsidRPr="000850DA">
        <w:rPr>
          <w:rFonts w:eastAsiaTheme="minorEastAsia"/>
          <w:color w:val="231F20"/>
        </w:rPr>
        <w:br w:type="page"/>
      </w:r>
    </w:p>
    <w:p w14:paraId="5FDCA97A" w14:textId="7391A156" w:rsidR="00D45A45" w:rsidRPr="000850DA" w:rsidRDefault="00013672" w:rsidP="0059456E">
      <w:pPr>
        <w:spacing w:line="240" w:lineRule="auto"/>
        <w:rPr>
          <w:rFonts w:eastAsiaTheme="minorEastAsia" w:cs="Times New Roman"/>
        </w:rPr>
      </w:pPr>
      <w:r w:rsidRPr="000850DA">
        <w:rPr>
          <w:rFonts w:eastAsiaTheme="minorEastAsia" w:cs="Times New Roman"/>
          <w:noProof/>
        </w:rPr>
        <w:lastRenderedPageBreak/>
        <w:drawing>
          <wp:inline distT="0" distB="0" distL="0" distR="0" wp14:anchorId="422D695E" wp14:editId="2196AEE2">
            <wp:extent cx="5523570" cy="5749471"/>
            <wp:effectExtent l="0" t="0" r="1270" b="3810"/>
            <wp:docPr id="1586834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5054" cy="5751016"/>
                    </a:xfrm>
                    <a:prstGeom prst="rect">
                      <a:avLst/>
                    </a:prstGeom>
                    <a:noFill/>
                    <a:ln>
                      <a:noFill/>
                    </a:ln>
                  </pic:spPr>
                </pic:pic>
              </a:graphicData>
            </a:graphic>
          </wp:inline>
        </w:drawing>
      </w:r>
    </w:p>
    <w:p w14:paraId="00364276" w14:textId="68BAD7FA" w:rsidR="003F4B90" w:rsidRPr="000850DA" w:rsidRDefault="003F4B90" w:rsidP="0059456E">
      <w:pPr>
        <w:spacing w:line="240" w:lineRule="auto"/>
        <w:rPr>
          <w:rFonts w:eastAsiaTheme="minorEastAsia" w:cs="Times New Roman"/>
        </w:rPr>
      </w:pPr>
      <w:proofErr w:type="spellStart"/>
      <w:r w:rsidRPr="000850DA">
        <w:rPr>
          <w:rFonts w:eastAsiaTheme="minorEastAsia" w:cs="Times New Roman" w:hint="eastAsia"/>
          <w:b/>
          <w:bCs/>
        </w:rPr>
        <w:t>e</w:t>
      </w:r>
      <w:r w:rsidRPr="000850DA">
        <w:rPr>
          <w:rFonts w:eastAsiaTheme="minorEastAsia" w:cs="Times New Roman"/>
          <w:b/>
          <w:bCs/>
        </w:rPr>
        <w:t>Figure</w:t>
      </w:r>
      <w:proofErr w:type="spellEnd"/>
      <w:r w:rsidRPr="000850DA">
        <w:rPr>
          <w:rFonts w:eastAsiaTheme="minorEastAsia" w:cs="Times New Roman"/>
          <w:b/>
          <w:bCs/>
        </w:rPr>
        <w:t xml:space="preserve"> </w:t>
      </w:r>
      <w:r w:rsidR="00686A89" w:rsidRPr="000850DA">
        <w:rPr>
          <w:rFonts w:eastAsiaTheme="minorEastAsia" w:cs="Times New Roman" w:hint="eastAsia"/>
          <w:b/>
          <w:bCs/>
        </w:rPr>
        <w:t>3</w:t>
      </w:r>
      <w:r w:rsidRPr="000850DA">
        <w:rPr>
          <w:rFonts w:eastAsiaTheme="minorEastAsia" w:cs="Times New Roman"/>
          <w:b/>
          <w:bCs/>
        </w:rPr>
        <w:t xml:space="preserve"> </w:t>
      </w:r>
      <w:r w:rsidRPr="000850DA">
        <w:rPr>
          <w:rFonts w:eastAsiaTheme="minorEastAsia" w:cs="Times New Roman"/>
        </w:rPr>
        <w:t>Orthogonal Partial least square discriminant analysis (OPLS-DA) score plots of septic patients versus non-infected SIRS controls and septic survivors versus septic non-survivors. OPLS-DA score plots for septic shock survivors (SS) versus non-infected SIRS controls (SIRS) separation (a) in positive mode and (b) in negative mode; OPLS-DA score plots for septic shock non-survivors (SNS) versus non-infected SIRS controls (SIRS) separation (c) in positive mode and (d) in negative mode. OPLS-DA score plots for septic shock survivors (SS) versus septic shock non-survivors (SNS) separation (e) in positive mode and (f) in negative mode.</w:t>
      </w:r>
    </w:p>
    <w:p w14:paraId="0928C647" w14:textId="70636076" w:rsidR="00D45A45" w:rsidRPr="000850DA" w:rsidRDefault="00D45A45">
      <w:pPr>
        <w:widowControl/>
        <w:spacing w:line="240" w:lineRule="auto"/>
        <w:jc w:val="left"/>
        <w:rPr>
          <w:rFonts w:eastAsiaTheme="minorEastAsia" w:cs="Times New Roman"/>
        </w:rPr>
      </w:pPr>
      <w:r w:rsidRPr="000850DA">
        <w:rPr>
          <w:rFonts w:eastAsiaTheme="minorEastAsia" w:cs="Times New Roman"/>
        </w:rPr>
        <w:br w:type="page"/>
      </w:r>
    </w:p>
    <w:p w14:paraId="4520186C" w14:textId="68F2A29F" w:rsidR="0059456E" w:rsidRPr="000850DA" w:rsidRDefault="000F15F1" w:rsidP="000F15F1">
      <w:pPr>
        <w:spacing w:line="240" w:lineRule="auto"/>
        <w:jc w:val="center"/>
        <w:rPr>
          <w:rFonts w:eastAsiaTheme="minorEastAsia"/>
        </w:rPr>
      </w:pPr>
      <w:r w:rsidRPr="000850DA">
        <w:rPr>
          <w:rFonts w:eastAsiaTheme="minorEastAsia"/>
          <w:noProof/>
        </w:rPr>
        <w:lastRenderedPageBreak/>
        <w:drawing>
          <wp:inline distT="0" distB="0" distL="0" distR="0" wp14:anchorId="199BF245" wp14:editId="4EF6082D">
            <wp:extent cx="5917048" cy="7330440"/>
            <wp:effectExtent l="0" t="0" r="7620" b="3810"/>
            <wp:docPr id="138228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425" r="7838"/>
                    <a:stretch/>
                  </pic:blipFill>
                  <pic:spPr bwMode="auto">
                    <a:xfrm>
                      <a:off x="0" y="0"/>
                      <a:ext cx="5920880" cy="7335187"/>
                    </a:xfrm>
                    <a:prstGeom prst="rect">
                      <a:avLst/>
                    </a:prstGeom>
                    <a:noFill/>
                    <a:ln>
                      <a:noFill/>
                    </a:ln>
                    <a:extLst>
                      <a:ext uri="{53640926-AAD7-44D8-BBD7-CCE9431645EC}">
                        <a14:shadowObscured xmlns:a14="http://schemas.microsoft.com/office/drawing/2010/main"/>
                      </a:ext>
                    </a:extLst>
                  </pic:spPr>
                </pic:pic>
              </a:graphicData>
            </a:graphic>
          </wp:inline>
        </w:drawing>
      </w:r>
    </w:p>
    <w:p w14:paraId="70D2F909" w14:textId="3A1442AF" w:rsidR="003F4B90" w:rsidRPr="000850DA" w:rsidRDefault="003F4B90" w:rsidP="003F4B90">
      <w:pPr>
        <w:spacing w:line="240" w:lineRule="auto"/>
        <w:rPr>
          <w:rFonts w:eastAsiaTheme="minorEastAsia"/>
        </w:rPr>
      </w:pPr>
      <w:proofErr w:type="spellStart"/>
      <w:r w:rsidRPr="000850DA">
        <w:rPr>
          <w:rFonts w:eastAsiaTheme="minorEastAsia" w:cs="Times New Roman" w:hint="eastAsia"/>
          <w:b/>
          <w:bCs/>
        </w:rPr>
        <w:t>eFigure</w:t>
      </w:r>
      <w:proofErr w:type="spellEnd"/>
      <w:r w:rsidRPr="000850DA">
        <w:rPr>
          <w:rFonts w:eastAsiaTheme="minorEastAsia" w:cs="Times New Roman" w:hint="eastAsia"/>
          <w:b/>
          <w:bCs/>
        </w:rPr>
        <w:t xml:space="preserve"> </w:t>
      </w:r>
      <w:r w:rsidR="00CB4897" w:rsidRPr="000850DA">
        <w:rPr>
          <w:rFonts w:eastAsiaTheme="minorEastAsia" w:cs="Times New Roman" w:hint="eastAsia"/>
          <w:b/>
          <w:bCs/>
        </w:rPr>
        <w:t>4</w:t>
      </w:r>
      <w:r w:rsidRPr="000850DA">
        <w:rPr>
          <w:b/>
          <w:bCs/>
          <w:kern w:val="0"/>
        </w:rPr>
        <w:t xml:space="preserve"> </w:t>
      </w:r>
      <w:r w:rsidRPr="000850DA">
        <w:rPr>
          <w:kern w:val="0"/>
        </w:rPr>
        <w:t>Cluster analysis of the differential metabolites in</w:t>
      </w:r>
      <w:r w:rsidRPr="000850DA">
        <w:t xml:space="preserve"> </w:t>
      </w:r>
      <w:r w:rsidRPr="000850DA">
        <w:rPr>
          <w:color w:val="000000"/>
        </w:rPr>
        <w:t>septic survivors</w:t>
      </w:r>
      <w:r w:rsidRPr="000850DA">
        <w:t xml:space="preserve"> versus </w:t>
      </w:r>
      <w:r w:rsidRPr="000850DA">
        <w:rPr>
          <w:color w:val="231F20"/>
        </w:rPr>
        <w:t>non-infected SIRS controls</w:t>
      </w:r>
      <w:r w:rsidRPr="000850DA">
        <w:t xml:space="preserve">. </w:t>
      </w:r>
      <w:r w:rsidRPr="000850DA">
        <w:rPr>
          <w:kern w:val="0"/>
        </w:rPr>
        <w:t>Cluster analysis</w:t>
      </w:r>
      <w:r w:rsidRPr="000850DA">
        <w:t xml:space="preserve"> for </w:t>
      </w:r>
      <w:r w:rsidRPr="000850DA">
        <w:rPr>
          <w:color w:val="000000"/>
        </w:rPr>
        <w:t>septic shock survivors</w:t>
      </w:r>
      <w:r w:rsidRPr="000850DA">
        <w:t xml:space="preserve"> (SS) versus </w:t>
      </w:r>
      <w:r w:rsidRPr="000850DA">
        <w:rPr>
          <w:color w:val="231F20"/>
        </w:rPr>
        <w:t>non-infected SIRS controls</w:t>
      </w:r>
      <w:r w:rsidRPr="000850DA">
        <w:t xml:space="preserve"> (</w:t>
      </w:r>
      <w:r w:rsidRPr="000850DA">
        <w:rPr>
          <w:color w:val="231F20"/>
        </w:rPr>
        <w:t>SIRS</w:t>
      </w:r>
      <w:r w:rsidRPr="000850DA">
        <w:t>) separation (a) in positive mode and (b) in negative mode.</w:t>
      </w:r>
    </w:p>
    <w:p w14:paraId="223BFA54" w14:textId="71FF31B8" w:rsidR="0059456E" w:rsidRPr="000850DA" w:rsidRDefault="0059456E" w:rsidP="0059456E">
      <w:pPr>
        <w:widowControl/>
        <w:spacing w:line="240" w:lineRule="auto"/>
        <w:jc w:val="left"/>
        <w:rPr>
          <w:rFonts w:eastAsiaTheme="minorEastAsia"/>
        </w:rPr>
      </w:pPr>
      <w:r w:rsidRPr="000850DA">
        <w:rPr>
          <w:rFonts w:eastAsiaTheme="minorEastAsia"/>
        </w:rPr>
        <w:br w:type="page"/>
      </w:r>
    </w:p>
    <w:p w14:paraId="0D09ADEC" w14:textId="756753EF" w:rsidR="0059456E" w:rsidRPr="000850DA" w:rsidRDefault="007D7C5B" w:rsidP="000F15F1">
      <w:pPr>
        <w:spacing w:line="240" w:lineRule="auto"/>
        <w:jc w:val="center"/>
        <w:rPr>
          <w:rFonts w:eastAsiaTheme="minorEastAsia"/>
        </w:rPr>
      </w:pPr>
      <w:r>
        <w:rPr>
          <w:rFonts w:eastAsiaTheme="minorEastAsia" w:hint="eastAsia"/>
          <w:noProof/>
        </w:rPr>
        <w:lastRenderedPageBreak/>
        <w:drawing>
          <wp:inline distT="0" distB="0" distL="0" distR="0" wp14:anchorId="25B8F522" wp14:editId="19EE6F0A">
            <wp:extent cx="5395393" cy="7058947"/>
            <wp:effectExtent l="0" t="0" r="0" b="8890"/>
            <wp:docPr id="1322013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29" r="7735"/>
                    <a:stretch>
                      <a:fillRect/>
                    </a:stretch>
                  </pic:blipFill>
                  <pic:spPr bwMode="auto">
                    <a:xfrm>
                      <a:off x="0" y="0"/>
                      <a:ext cx="5402811" cy="7068652"/>
                    </a:xfrm>
                    <a:prstGeom prst="rect">
                      <a:avLst/>
                    </a:prstGeom>
                    <a:noFill/>
                    <a:ln>
                      <a:noFill/>
                    </a:ln>
                    <a:extLst>
                      <a:ext uri="{53640926-AAD7-44D8-BBD7-CCE9431645EC}">
                        <a14:shadowObscured xmlns:a14="http://schemas.microsoft.com/office/drawing/2010/main"/>
                      </a:ext>
                    </a:extLst>
                  </pic:spPr>
                </pic:pic>
              </a:graphicData>
            </a:graphic>
          </wp:inline>
        </w:drawing>
      </w:r>
    </w:p>
    <w:p w14:paraId="0AB08F90" w14:textId="15E1338C" w:rsidR="003F4B90" w:rsidRPr="003F4B90" w:rsidRDefault="003F4B90" w:rsidP="003F4B90">
      <w:pPr>
        <w:spacing w:line="240" w:lineRule="auto"/>
        <w:rPr>
          <w:rFonts w:eastAsiaTheme="minorEastAsia"/>
        </w:rPr>
      </w:pPr>
      <w:proofErr w:type="spellStart"/>
      <w:r w:rsidRPr="000850DA">
        <w:rPr>
          <w:rFonts w:eastAsiaTheme="minorEastAsia" w:cs="Times New Roman" w:hint="eastAsia"/>
          <w:b/>
          <w:bCs/>
        </w:rPr>
        <w:t>eFigure</w:t>
      </w:r>
      <w:proofErr w:type="spellEnd"/>
      <w:r w:rsidRPr="000850DA">
        <w:rPr>
          <w:rFonts w:eastAsiaTheme="minorEastAsia" w:cs="Times New Roman" w:hint="eastAsia"/>
          <w:b/>
          <w:bCs/>
        </w:rPr>
        <w:t xml:space="preserve"> </w:t>
      </w:r>
      <w:r w:rsidR="00CB4897" w:rsidRPr="000850DA">
        <w:rPr>
          <w:rFonts w:eastAsiaTheme="minorEastAsia" w:cs="Times New Roman" w:hint="eastAsia"/>
          <w:b/>
          <w:bCs/>
        </w:rPr>
        <w:t>5</w:t>
      </w:r>
      <w:r w:rsidRPr="000850DA">
        <w:rPr>
          <w:b/>
          <w:bCs/>
          <w:kern w:val="0"/>
        </w:rPr>
        <w:t xml:space="preserve"> </w:t>
      </w:r>
      <w:r w:rsidRPr="000850DA">
        <w:rPr>
          <w:kern w:val="0"/>
        </w:rPr>
        <w:t>Cluster analysis of the differential metabolites in</w:t>
      </w:r>
      <w:r w:rsidRPr="000850DA">
        <w:t xml:space="preserve"> </w:t>
      </w:r>
      <w:r w:rsidRPr="000850DA">
        <w:rPr>
          <w:color w:val="000000"/>
        </w:rPr>
        <w:t xml:space="preserve">septic non-survivors </w:t>
      </w:r>
      <w:r w:rsidRPr="000850DA">
        <w:t>versus</w:t>
      </w:r>
      <w:r w:rsidRPr="000850DA">
        <w:rPr>
          <w:color w:val="000000"/>
        </w:rPr>
        <w:t xml:space="preserve"> </w:t>
      </w:r>
      <w:r w:rsidRPr="000850DA">
        <w:rPr>
          <w:color w:val="231F20"/>
        </w:rPr>
        <w:t>non-infected SIRS controls</w:t>
      </w:r>
      <w:r w:rsidRPr="000850DA">
        <w:t xml:space="preserve">. </w:t>
      </w:r>
      <w:r w:rsidRPr="000850DA">
        <w:rPr>
          <w:kern w:val="0"/>
        </w:rPr>
        <w:t>Cluster analysis</w:t>
      </w:r>
      <w:r w:rsidRPr="000850DA">
        <w:t xml:space="preserve"> for </w:t>
      </w:r>
      <w:r w:rsidRPr="000850DA">
        <w:rPr>
          <w:color w:val="000000"/>
        </w:rPr>
        <w:t>septic shock non-survivors</w:t>
      </w:r>
      <w:r w:rsidRPr="000850DA">
        <w:t xml:space="preserve"> (SNS) versus </w:t>
      </w:r>
      <w:r w:rsidRPr="000850DA">
        <w:rPr>
          <w:color w:val="231F20"/>
        </w:rPr>
        <w:t>non-infected SIRS controls</w:t>
      </w:r>
      <w:r w:rsidRPr="000850DA">
        <w:t xml:space="preserve"> (</w:t>
      </w:r>
      <w:r w:rsidRPr="000850DA">
        <w:rPr>
          <w:color w:val="231F20"/>
        </w:rPr>
        <w:t>SIRS</w:t>
      </w:r>
      <w:r w:rsidRPr="000850DA">
        <w:t>) separation (a) in positive mode and (b) in negative mode.</w:t>
      </w:r>
    </w:p>
    <w:sectPr w:rsidR="003F4B90" w:rsidRPr="003F4B90" w:rsidSect="008437C3">
      <w:footerReference w:type="even" r:id="rId13"/>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6F789" w14:textId="77777777" w:rsidR="00DF3944" w:rsidRDefault="00DF3944" w:rsidP="00487DF4">
      <w:r>
        <w:separator/>
      </w:r>
    </w:p>
  </w:endnote>
  <w:endnote w:type="continuationSeparator" w:id="0">
    <w:p w14:paraId="684D84C3" w14:textId="77777777" w:rsidR="00DF3944" w:rsidRDefault="00DF3944" w:rsidP="00487DF4">
      <w:r>
        <w:continuationSeparator/>
      </w:r>
    </w:p>
  </w:endnote>
  <w:endnote w:type="continuationNotice" w:id="1">
    <w:p w14:paraId="56D02BD3" w14:textId="77777777" w:rsidR="00DF3944" w:rsidRDefault="00DF3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1611548490"/>
      <w:docPartObj>
        <w:docPartGallery w:val="Page Numbers (Bottom of Page)"/>
        <w:docPartUnique/>
      </w:docPartObj>
    </w:sdtPr>
    <w:sdtEndPr>
      <w:rPr>
        <w:rStyle w:val="aa"/>
      </w:rPr>
    </w:sdtEndPr>
    <w:sdtContent>
      <w:p w14:paraId="33026981" w14:textId="65755053" w:rsidR="00A93975" w:rsidRDefault="00A93975" w:rsidP="008437C3">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21F79B02" w14:textId="77777777" w:rsidR="00A93975" w:rsidRDefault="00A9397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464F7" w14:textId="77777777" w:rsidR="00DF3944" w:rsidRDefault="00DF3944" w:rsidP="00487DF4">
      <w:r>
        <w:separator/>
      </w:r>
    </w:p>
  </w:footnote>
  <w:footnote w:type="continuationSeparator" w:id="0">
    <w:p w14:paraId="42F17A7B" w14:textId="77777777" w:rsidR="00DF3944" w:rsidRDefault="00DF3944" w:rsidP="00487DF4">
      <w:r>
        <w:continuationSeparator/>
      </w:r>
    </w:p>
  </w:footnote>
  <w:footnote w:type="continuationNotice" w:id="1">
    <w:p w14:paraId="7823697A" w14:textId="77777777" w:rsidR="00DF3944" w:rsidRDefault="00DF39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F0472"/>
    <w:multiLevelType w:val="multilevel"/>
    <w:tmpl w:val="07A223AE"/>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1" w15:restartNumberingAfterBreak="0">
    <w:nsid w:val="1FC74E40"/>
    <w:multiLevelType w:val="hybridMultilevel"/>
    <w:tmpl w:val="793A48A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AAB0E83"/>
    <w:multiLevelType w:val="hybridMultilevel"/>
    <w:tmpl w:val="3E964BA0"/>
    <w:lvl w:ilvl="0" w:tplc="D0142A9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AB6D80"/>
    <w:multiLevelType w:val="hybridMultilevel"/>
    <w:tmpl w:val="2BDCE748"/>
    <w:lvl w:ilvl="0" w:tplc="531CEBD0">
      <w:start w:val="1"/>
      <w:numFmt w:val="decimal"/>
      <w:lvlText w:val="[%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2E77778"/>
    <w:multiLevelType w:val="multilevel"/>
    <w:tmpl w:val="01C8D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EC26F5"/>
    <w:multiLevelType w:val="multilevel"/>
    <w:tmpl w:val="79F4E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0E524E"/>
    <w:multiLevelType w:val="hybridMultilevel"/>
    <w:tmpl w:val="99DE5CE6"/>
    <w:lvl w:ilvl="0" w:tplc="0409000F">
      <w:start w:val="1"/>
      <w:numFmt w:val="decimal"/>
      <w:lvlText w:val="%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8054E91"/>
    <w:multiLevelType w:val="multilevel"/>
    <w:tmpl w:val="AB94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645C9D"/>
    <w:multiLevelType w:val="hybridMultilevel"/>
    <w:tmpl w:val="72301F5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6CB941A5"/>
    <w:multiLevelType w:val="multilevel"/>
    <w:tmpl w:val="2E44361A"/>
    <w:lvl w:ilvl="0">
      <w:start w:val="1"/>
      <w:numFmt w:val="decimal"/>
      <w:lvlText w:val="%1."/>
      <w:lvlJc w:val="left"/>
      <w:pPr>
        <w:ind w:left="360" w:hanging="360"/>
      </w:pPr>
      <w:rPr>
        <w:rFonts w:cs="Times New Roman"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239749776">
    <w:abstractNumId w:val="2"/>
  </w:num>
  <w:num w:numId="2" w16cid:durableId="885024140">
    <w:abstractNumId w:val="0"/>
  </w:num>
  <w:num w:numId="3" w16cid:durableId="1900701433">
    <w:abstractNumId w:val="3"/>
  </w:num>
  <w:num w:numId="4" w16cid:durableId="697698681">
    <w:abstractNumId w:val="5"/>
  </w:num>
  <w:num w:numId="5" w16cid:durableId="492835173">
    <w:abstractNumId w:val="7"/>
  </w:num>
  <w:num w:numId="6" w16cid:durableId="839582652">
    <w:abstractNumId w:val="4"/>
  </w:num>
  <w:num w:numId="7" w16cid:durableId="1704109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3288544">
    <w:abstractNumId w:val="6"/>
  </w:num>
  <w:num w:numId="9" w16cid:durableId="870264538">
    <w:abstractNumId w:val="1"/>
  </w:num>
  <w:num w:numId="10" w16cid:durableId="221252003">
    <w:abstractNumId w:val="8"/>
  </w:num>
  <w:num w:numId="11" w16cid:durableId="11866773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yMDSwMLUwNjM3sjRX0lEKTi0uzszPAykwrAUAd8zZ7CwAAAA="/>
    <w:docVar w:name="NE.Ref{09E15262-C373-480C-8986-96D08F27EC33}" w:val=" ADDIN NE.Ref.{09E15262-C373-480C-8986-96D08F27EC33}&lt;Citation&gt;&lt;Group&gt;&lt;References&gt;&lt;Item&gt;&lt;ID&gt;6767&lt;/ID&gt;&lt;UID&gt;{6DF970BC-B091-4530-8913-3EB915E599C6}&lt;/UID&gt;&lt;Title&gt;Plasma Glutamine Levels in Relation to Intensive Care Unit Patient Outcome&lt;/Title&gt;&lt;Template&gt;Journal Article&lt;/Template&gt;&lt;Star&gt;0&lt;/Star&gt;&lt;Tag&gt;0&lt;/Tag&gt;&lt;Author&gt;Blaauw, R; Nel, D G; Schleicher, G K&lt;/Author&gt;&lt;Year&gt;2020&lt;/Year&gt;&lt;Details&gt;&lt;_accession_num&gt;32028696&lt;/_accession_num&gt;&lt;_author_adr&gt;Division of Human Nutrition, Faculty of Medicine and Health Sciences,  Stellenbosch University, Cape Town 8000, South Africa.; Centre for Statistical Consultation, Stellenbosch University, Cape Town 8000,  South Africa.; Wits Donald Gordon Medical Centre ICU, Johannesburg 2193, South Africa.&lt;/_author_adr&gt;&lt;_collection_scope&gt;SCIE&lt;/_collection_scope&gt;&lt;_created&gt;65752548&lt;/_created&gt;&lt;_date&gt;2020-02-03&lt;/_date&gt;&lt;_date_display&gt;2020 Feb 3&lt;/_date_display&gt;&lt;_db_updated&gt;PubMed&lt;/_db_updated&gt;&lt;_doi&gt;10.3390/nu12020402&lt;/_doi&gt;&lt;_impact_factor&gt;   6.706&lt;/_impact_factor&gt;&lt;_isbn&gt;2072-6643 (Electronic); 2072-6643 (Linking)&lt;/_isbn&gt;&lt;_issue&gt;2&lt;/_issue&gt;&lt;_journal&gt;Nutrients&lt;/_journal&gt;&lt;_keywords&gt;clinical outcome; critically ill adult patients; plasma glutamine&lt;/_keywords&gt;&lt;_language&gt;eng&lt;/_language&gt;&lt;_modified&gt;65752548&lt;/_modified&gt;&lt;_subject_headings&gt;Adult; Area Under Curve; Biomarkers/blood; C-Reactive Protein/metabolism; Creatinine/blood; *Critical Care; *Critical Illness; Female; Glutamine/*blood; Hospital Mortality; Humans; Infections/blood; *Intensive Care Units; Liver Failure/blood; Male; Middle Aged; Nutritional Support; ROC Curve; Respiration, Artificial; Sepsis/blood; Serum Albumin/metabolism; Severity of Illness Index; South Africa; Urea/blood&lt;/_subject_headings&gt;&lt;_tertiary_title&gt;Nutrients&lt;/_tertiary_title&gt;&lt;_type_work&gt;Journal Article&lt;/_type_work&gt;&lt;_url&gt;http://www.ncbi.nlm.nih.gov/entrez/query.fcgi?cmd=Retrieve&amp;amp;db=pubmed&amp;amp;dopt=Abstract&amp;amp;list_uids=32028696&amp;amp;query_hl=1&lt;/_url&gt;&lt;_volume&gt;12&lt;/_volume&gt;&lt;/Details&gt;&lt;Extra&gt;&lt;DBUID&gt;{F96A950B-833F-4880-A151-76DA2D6A2879}&lt;/DBUID&gt;&lt;/Extra&gt;&lt;/Item&gt;&lt;/References&gt;&lt;/Group&gt;&lt;/Citation&gt;_x000a_"/>
    <w:docVar w:name="NE.Ref{0D122B81-FCC8-43E0-8291-49B1D8F29A98}" w:val=" ADDIN NE.Ref.{0D122B81-FCC8-43E0-8291-49B1D8F29A98}&lt;Citation&gt;&lt;Group&gt;&lt;References&gt;&lt;Item&gt;&lt;ID&gt;6751&lt;/ID&gt;&lt;UID&gt;{9AC7517B-DCCF-4865-8012-A51980D6B33B}&lt;/UID&gt;&lt;Title&gt;Role of Omega-3 Fatty Acids in the Etiology, Treatment, and Prevention of  Depression: Current Status and Future Directions&lt;/Title&gt;&lt;Template&gt;Journal Article&lt;/Template&gt;&lt;Star&gt;0&lt;/Star&gt;&lt;Tag&gt;0&lt;/Tag&gt;&lt;Author&gt;McNamara, R K&lt;/Author&gt;&lt;Year&gt;2016&lt;/Year&gt;&lt;Details&gt;&lt;_accession_num&gt;27766299&lt;/_accession_num&gt;&lt;_author_adr&gt;Department of Psychiatry and Behavioral Neuroscience, Division of Bipolar  Disorders Research, University of Cincinnati College of Medicine, Cincinnati, OH  45219-0516.&lt;/_author_adr&gt;&lt;_created&gt;65751698&lt;/_created&gt;&lt;_date&gt;2016-09-01&lt;/_date&gt;&lt;_date_display&gt;2016 Sep&lt;/_date_display&gt;&lt;_db_updated&gt;PubMed&lt;/_db_updated&gt;&lt;_doi&gt;10.1016/j.jnim.2016.04.004&lt;/_doi&gt;&lt;_isbn&gt;2352-3859 (Print); 2352-3859 (Electronic)&lt;/_isbn&gt;&lt;_journal&gt;J Nutr Intermed Metab&lt;/_journal&gt;&lt;_keywords&gt;Docosahexaenoic acid (DHA); Eicosapentaenoic acid (EPA); Long-chain omega-3 fatty acids; Major depressive disorder&lt;/_keywords&gt;&lt;_language&gt;eng&lt;/_language&gt;&lt;_modified&gt;65751698&lt;/_modified&gt;&lt;_pages&gt;96-106&lt;/_pages&gt;&lt;_tertiary_title&gt;Journal of nutrition &amp;amp; intermediary metabolism&lt;/_tertiary_title&gt;&lt;_type_work&gt;Journal Article&lt;/_type_work&gt;&lt;_url&gt;http://www.ncbi.nlm.nih.gov/entrez/query.fcgi?cmd=Retrieve&amp;amp;db=pubmed&amp;amp;dopt=Abstract&amp;amp;list_uids=27766299&amp;amp;query_hl=1&lt;/_url&gt;&lt;_volume&gt;5&lt;/_volume&gt;&lt;/Details&gt;&lt;Extra&gt;&lt;DBUID&gt;{F96A950B-833F-4880-A151-76DA2D6A2879}&lt;/DBUID&gt;&lt;/Extra&gt;&lt;/Item&gt;&lt;/References&gt;&lt;/Group&gt;&lt;/Citation&gt;_x000a_"/>
    <w:docVar w:name="NE.Ref{102DDC6F-9DCF-4AC6-AC70-A24E47FB3906}" w:val=" ADDIN NE.Ref.{102DDC6F-9DCF-4AC6-AC70-A24E47FB3906}&lt;Citation&gt;&lt;Group&gt;&lt;References&gt;&lt;Item&gt;&lt;ID&gt;6747&lt;/ID&gt;&lt;UID&gt;{C39BADBC-0D6A-426D-92EA-A2105874B375}&lt;/UID&gt;&lt;Title&gt;Effects of beta-hydroxy-beta-methylbutyrate treatment in different types of skeletal  muscle of intact and septic rats&lt;/Title&gt;&lt;Template&gt;Journal Article&lt;/Template&gt;&lt;Star&gt;0&lt;/Star&gt;&lt;Tag&gt;0&lt;/Tag&gt;&lt;Author&gt;Kovarik, M; Muthny, T; Sispera, L; Holecek, M&lt;/Author&gt;&lt;Year&gt;2010&lt;/Year&gt;&lt;Details&gt;&lt;_accession_num&gt;20725872&lt;/_accession_num&gt;&lt;_author_adr&gt;Department of Physiology, Faculty of Medicine, Charles University, Simkova 870,  500 38, Hradec Kralove, Czech Republic. mirek.kovarik@post.cz&lt;/_author_adr&gt;&lt;_collection_scope&gt;SCIE&lt;/_collection_scope&gt;&lt;_created&gt;65751697&lt;/_created&gt;&lt;_date&gt;2010-12-01&lt;/_date&gt;&lt;_date_display&gt;2010 Dec&lt;/_date_display&gt;&lt;_db_updated&gt;PubMed&lt;/_db_updated&gt;&lt;_doi&gt;10.1007/s13105-010-0037-3&lt;/_doi&gt;&lt;_impact_factor&gt;   5.080&lt;/_impact_factor&gt;&lt;_isbn&gt;1138-7548 (Print); 1138-7548 (Linking)&lt;/_isbn&gt;&lt;_issue&gt;4&lt;/_issue&gt;&lt;_journal&gt;J Physiol Biochem&lt;/_journal&gt;&lt;_language&gt;eng&lt;/_language&gt;&lt;_modified&gt;65751697&lt;/_modified&gt;&lt;_pages&gt;311-9&lt;/_pages&gt;&lt;_subject_headings&gt;Animals; Cathepsin B/chemistry; Cathepsin L/chemistry; Leucine/chemistry; Lysosomes/metabolism; Male; Muscle, Skeletal/drug effects/*metabolism; Oxygen/chemistry; Proteasome Endopeptidase Complex/chemistry; Rats; Rats, Wistar; Sepsis/drug therapy/*metabolism; Time Factors; Valerates/*pharmacology&lt;/_subject_headings&gt;&lt;_tertiary_title&gt;Journal of physiology and biochemistry&lt;/_tertiary_title&gt;&lt;_type_work&gt;Journal Article; Research Support, Non-U.S. Gov&amp;apos;t&lt;/_type_work&gt;&lt;_url&gt;http://www.ncbi.nlm.nih.gov/entrez/query.fcgi?cmd=Retrieve&amp;amp;db=pubmed&amp;amp;dopt=Abstract&amp;amp;list_uids=20725872&amp;amp;query_hl=1&lt;/_url&gt;&lt;_volume&gt;66&lt;/_volume&gt;&lt;/Details&gt;&lt;Extra&gt;&lt;DBUID&gt;{F96A950B-833F-4880-A151-76DA2D6A2879}&lt;/DBUID&gt;&lt;/Extra&gt;&lt;/Item&gt;&lt;/References&gt;&lt;/Group&gt;&lt;Group&gt;&lt;References&gt;&lt;Item&gt;&lt;ID&gt;6749&lt;/ID&gt;&lt;UID&gt;{1430B36F-9807-4475-8EF8-036C17A238E4}&lt;/UID&gt;&lt;Title&gt;Serum creatinine as a marker of muscle mass in chronic kidney disease: results of  a cross-sectional study and review of literature&lt;/Title&gt;&lt;Template&gt;Journal Article&lt;/Template&gt;&lt;Star&gt;0&lt;/Star&gt;&lt;Tag&gt;0&lt;/Tag&gt;&lt;Author&gt;Patel, S S; Molnar, M Z; Tayek, J A; Ix, J H; Noori, N; Benner, D; Heymsfield, S; Kopple, J D; Kovesdy, C P; Kalantar-Zadeh, K&lt;/Author&gt;&lt;Year&gt;2013&lt;/Year&gt;&lt;Details&gt;&lt;_accession_num&gt;22777757&lt;/_accession_num&gt;&lt;_author_adr&gt;Division of Nephrology and Hypertension, Los Angeles Biomedical Research  Institute at Harbor-UCLA Medical Center, Torrance, CA, USA.&lt;/_author_adr&gt;&lt;_created&gt;65751698&lt;/_created&gt;&lt;_date&gt;2013-03-01&lt;/_date&gt;&lt;_date_display&gt;2013 Mar&lt;/_date_display&gt;&lt;_db_updated&gt;PubMed&lt;/_db_updated&gt;&lt;_doi&gt;10.1007/s13539-012-0079-1&lt;/_doi&gt;&lt;_impact_factor&gt;  12.063&lt;/_impact_factor&gt;&lt;_isbn&gt;2190-5991 (Print); 2190-6009 (Electronic); 2190-5991 (Linking)&lt;/_isbn&gt;&lt;_issue&gt;1&lt;/_issue&gt;&lt;_journal&gt;J Cachexia Sarcopenia Muscle&lt;/_journal&gt;&lt;_language&gt;eng&lt;/_language&gt;&lt;_modified&gt;65751698&lt;/_modified&gt;&lt;_pages&gt;19-29&lt;/_pages&gt;&lt;_tertiary_title&gt;Journal of cachexia, sarcopenia and muscle&lt;/_tertiary_title&gt;&lt;_type_work&gt;Journal Article&lt;/_type_work&gt;&lt;_url&gt;http://www.ncbi.nlm.nih.gov/entrez/query.fcgi?cmd=Retrieve&amp;amp;db=pubmed&amp;amp;dopt=Abstract&amp;amp;list_uids=22777757&amp;amp;query_hl=1&lt;/_url&gt;&lt;_volume&gt;4&lt;/_volume&gt;&lt;/Details&gt;&lt;Extra&gt;&lt;DBUID&gt;{F96A950B-833F-4880-A151-76DA2D6A2879}&lt;/DBUID&gt;&lt;/Extra&gt;&lt;/Item&gt;&lt;/References&gt;&lt;/Group&gt;&lt;Group&gt;&lt;References&gt;&lt;Item&gt;&lt;ID&gt;6769&lt;/ID&gt;&lt;UID&gt;{D6C44F11-5A2F-4FFF-A108-5D63E2587F1D}&lt;/UID&gt;&lt;Title&gt;Metabolic profiling of serum samples by 1H nuclear magnetic resonance  spectroscopy as a potential diagnostic approach for septic shock&lt;/Title&gt;&lt;Template&gt;Journal Article&lt;/Template&gt;&lt;Star&gt;0&lt;/Star&gt;&lt;Tag&gt;0&lt;/Tag&gt;&lt;Author&gt;Mickiewicz, B; Duggan, G E; Winston, B W; Doig, C; Kubes, P; Vogel, H J&lt;/Author&gt;&lt;Year&gt;2014&lt;/Year&gt;&lt;Details&gt;&lt;_accession_num&gt;24368342&lt;/_accession_num&gt;&lt;_author_adr&gt;1Bio-NMR-Centre, Department of Biological Sciences, University of Calgary,  Calgary, AB, Canada. 2Critical Care Epidemiologic and Biologic Tissue Resource  (CCEPTR), Department of Critical Care Medicine, University of Calgary, Calgary,  AB, Canada. 3Department of Community Health Sciences, University of Calgary,  Calgary, AB, Canada. 4Department of Physiology and Biophysics, University of  Calgary, Calgary, AB, Canada.&lt;/_author_adr&gt;&lt;_collection_scope&gt;SCI;SCIE&lt;/_collection_scope&gt;&lt;_created&gt;65753067&lt;/_created&gt;&lt;_date&gt;2014-05-01&lt;/_date&gt;&lt;_date_display&gt;2014 May&lt;/_date_display&gt;&lt;_db_updated&gt;PubMed&lt;/_db_updated&gt;&lt;_doi&gt;10.1097/CCM.0000000000000142&lt;/_doi&gt;&lt;_impact_factor&gt;   9.296&lt;/_impact_factor&gt;&lt;_isbn&gt;1530-0293 (Electronic); 0090-3493 (Linking)&lt;/_isbn&gt;&lt;_issue&gt;5&lt;/_issue&gt;&lt;_journal&gt;Crit Care Med&lt;/_journal&gt;&lt;_language&gt;eng&lt;/_language&gt;&lt;_modified&gt;65753067&lt;/_modified&gt;&lt;_pages&gt;1140-9&lt;/_pages&gt;&lt;_subject_headings&gt;APACHE; Aged; Biomarkers/blood; Case-Control Studies; Early Diagnosis; Female; Humans; Intensive Care Units; Least-Squares Analysis; Magnetic Resonance Spectroscopy/*methods; Male; Metabolome/*physiology; Metabolomics/methods; Middle Aged; Predictive Value of Tests; Prognosis; ROC Curve; Shock, Septic/blood/*diagnosis; Tissue Banks&lt;/_subject_headings&gt;&lt;_tertiary_title&gt;Critical care medicine&lt;/_tertiary_title&gt;&lt;_type_work&gt;Journal Article; Research Support, Non-U.S. Gov&amp;apos;t&lt;/_type_work&gt;&lt;_url&gt;http://www.ncbi.nlm.nih.gov/entrez/query.fcgi?cmd=Retrieve&amp;amp;db=pubmed&amp;amp;dopt=Abstract&amp;amp;list_uids=24368342&amp;amp;query_hl=1&lt;/_url&gt;&lt;_volume&gt;42&lt;/_volume&gt;&lt;/Details&gt;&lt;Extra&gt;&lt;DBUID&gt;{F96A950B-833F-4880-A151-76DA2D6A2879}&lt;/DBUID&gt;&lt;/Extra&gt;&lt;/Item&gt;&lt;/References&gt;&lt;/Group&gt;&lt;/Citation&gt;_x000a_"/>
    <w:docVar w:name="NE.Ref{180F9C1F-D207-4204-A31C-DEECEBAE6EAB}" w:val=" ADDIN NE.Ref.{180F9C1F-D207-4204-A31C-DEECEBAE6EAB}&lt;Citation&gt;&lt;Group&gt;&lt;References&gt;&lt;Item&gt;&lt;ID&gt;6742&lt;/ID&gt;&lt;UID&gt;{DE69D61C-0D2C-4278-8638-0B2FEE8A8F6C}&lt;/UID&gt;&lt;Title&gt;Biomarker Phenotype for Early Diagnosis and Triage of Sepsis to the Pediatric  Intensive Care Unit&lt;/Title&gt;&lt;Template&gt;Journal Article&lt;/Template&gt;&lt;Star&gt;0&lt;/Star&gt;&lt;Tag&gt;0&lt;/Tag&gt;&lt;Author&gt;Mickiewicz, B; Thompson, G C; Blackwood, J; Jenne, C N; Winston, B W; Vogel, H J; Joffe, A R&lt;/Author&gt;&lt;Year&gt;2018&lt;/Year&gt;&lt;Details&gt;&lt;_accession_num&gt;30413795&lt;/_accession_num&gt;&lt;_author_adr&gt;Bio-NMR-Centre, Department of Biological Sciences, Faculty of Science, University  of Calgary, Calgary, AB, Canada.; Department of Pediatrics, University of Calgary, Calgary, AB, Canada.; Department of Pediatrics, University of Calgary, Calgary, AB, Canada.; Department of Microbiology, Immunology and Infectious Diseases, Cumming School of  Medicine, University of Calgary, Calgary, AB, Canada.; Department of Critical Care Medicine, Department of Medicine, Department of  Biochemistry and Molecular Biology, Cumming School of Medicine, University of  Calgary, Calgary, AB, Canada.; Bio-NMR-Centre, Department of Biological Sciences, Faculty of Science, University  of Calgary, Calgary, AB, Canada.; Division of Pediatric Critical Care Medicine, Department of Pediatrics,  University of Alberta, Edmonton, AB, Canada. ari.joffe@ahs.ca.&lt;/_author_adr&gt;&lt;_created&gt;65751692&lt;/_created&gt;&lt;_date&gt;2018-11-09&lt;/_date&gt;&lt;_date_display&gt;2018 Nov 9&lt;/_date_display&gt;&lt;_db_updated&gt;PubMed&lt;/_db_updated&gt;&lt;_doi&gt;10.1038/s41598-018-35000-7&lt;/_doi&gt;&lt;_impact_factor&gt;   4.996&lt;/_impact_factor&gt;&lt;_isbn&gt;2045-2322 (Electronic); 2045-2322 (Linking)&lt;/_isbn&gt;&lt;_issue&gt;1&lt;/_issue&gt;&lt;_journal&gt;Sci Rep&lt;/_journal&gt;&lt;_language&gt;eng&lt;/_language&gt;&lt;_modified&gt;65751692&lt;/_modified&gt;&lt;_pages&gt;16606&lt;/_pages&gt;&lt;_subject_headings&gt;Adolescent; Biomarkers/*blood; Canada/epidemiology; Child; Child, Preschool; Cohort Studies; *Early Diagnosis; Female; Hospitalization; Humans; Incidence; Infant; Infant, Newborn; Inflammation/*blood/epidemiology; Intensive Care Units, Pediatric/*statistics &amp;amp; numerical data; Male; *Metabolome; Phenotype; Sepsis/blood/*diagnosis/metabolism/therapy; Triage/*statistics &amp;amp; numerical data&lt;/_subject_headings&gt;&lt;_tertiary_title&gt;Scientific reports&lt;/_tertiary_title&gt;&lt;_type_work&gt;Journal Article; Research Support, Non-U.S. Gov&amp;apos;t&lt;/_type_work&gt;&lt;_url&gt;http://www.ncbi.nlm.nih.gov/entrez/query.fcgi?cmd=Retrieve&amp;amp;db=pubmed&amp;amp;dopt=Abstract&amp;amp;list_uids=30413795&amp;amp;query_hl=1&lt;/_url&gt;&lt;_volume&gt;8&lt;/_volume&gt;&lt;/Details&gt;&lt;Extra&gt;&lt;DBUID&gt;{F96A950B-833F-4880-A151-76DA2D6A2879}&lt;/DBUID&gt;&lt;/Extra&gt;&lt;/Item&gt;&lt;/References&gt;&lt;/Group&gt;&lt;Group&gt;&lt;References&gt;&lt;Item&gt;&lt;ID&gt;6764&lt;/ID&gt;&lt;UID&gt;{B0617686-1A01-4C5E-A803-6EE980D27BF6}&lt;/UID&gt;&lt;Title&gt;1H-NMR metabolomics-based surrogates to impute common clinical risk factors and  endpoints&lt;/Title&gt;&lt;Template&gt;Journal Article&lt;/Template&gt;&lt;Star&gt;0&lt;/Star&gt;&lt;Tag&gt;0&lt;/Tag&gt;&lt;Author&gt;Bizzarri, D; Reinders, MJT; Beekman, M; Slagboom, P E; Bbmri-Nl; van den Akker, E B&lt;/Author&gt;&lt;Year&gt;2022&lt;/Year&gt;&lt;Details&gt;&lt;_accession_num&gt;34942446&lt;/_accession_num&gt;&lt;_author_adr&gt;Molecular Epidemiology, LUMC, Leiden, the Netherlands; Leiden Computational  Biology Center, LUMC, Leiden, the Netherlands.; Leiden Computational Biology Center, LUMC, Leiden, the Netherlands; Delft  Bioinformatics Lab, TU Delft, Delft, the Netherlands.; Molecular Epidemiology, LUMC, Leiden, the Netherlands.; Molecular Epidemiology, LUMC, Leiden, the Netherlands; Max Planck Institute for  the Biology of Ageing, Cologne, Germany.; BBMRI-NL: https://www.bbmri.nl; see Consortium Banner Supplement S1.; Molecular Epidemiology, LUMC, Leiden, the Netherlands; Leiden Computational  Biology Center, LUMC, Leiden, the Netherlands; Delft Bioinformatics Lab, TU  Delft, Delft, the Netherlands. Electronic address: e.b.van_den_akker@lumc.nl.&lt;/_author_adr&gt;&lt;_date_display&gt;2022 Jan&lt;/_date_display&gt;&lt;_date&gt;2022-01-01&lt;/_date&gt;&lt;_doi&gt;10.1016/j.ebiom.2021.103764&lt;/_doi&gt;&lt;_isbn&gt;2352-3964 (Electronic); 2352-3964 (Linking)&lt;/_isbn&gt;&lt;_journal&gt;EBioMedicine&lt;/_journal&gt;&lt;_keywords&gt;(1)H-NMR metabolomics; Association studies; Epidemiology; Missing values; Regression models; Surrogate clinical variables&lt;/_keywords&gt;&lt;_language&gt;eng&lt;/_language&gt;&lt;_ori_publication&gt;Copyright (c) 2021 The Author(s). Published by Elsevier B.V. All rights reserved.&lt;/_ori_publication&gt;&lt;_pages&gt;103764&lt;/_pages&gt;&lt;_subject_headings&gt;Aged; Humans; Magnetic Resonance Spectroscopy; *Metabolomics; Proton Magnetic Resonance Spectroscopy; Risk Factors&lt;/_subject_headings&gt;&lt;_tertiary_title&gt;EBioMedicine&lt;/_tertiary_title&gt;&lt;_type_work&gt;Journal Article&lt;/_type_work&gt;&lt;_url&gt;http://www.ncbi.nlm.nih.gov/entrez/query.fcgi?cmd=Retrieve&amp;amp;db=pubmed&amp;amp;dopt=Abstract&amp;amp;list_uids=34942446&amp;amp;query_hl=1&lt;/_url&gt;&lt;_volume&gt;75&lt;/_volume&gt;&lt;_created&gt;65752544&lt;/_created&gt;&lt;_modified&gt;65752544&lt;/_modified&gt;&lt;_db_updated&gt;PubMed&lt;/_db_updated&gt;&lt;_impact_factor&gt;  11.205&lt;/_impact_factor&gt;&lt;_collection_scope&gt;SCIE&lt;/_collection_scope&gt;&lt;/Details&gt;&lt;Extra&gt;&lt;DBUID&gt;{F96A950B-833F-4880-A151-76DA2D6A2879}&lt;/DBUID&gt;&lt;/Extra&gt;&lt;/Item&gt;&lt;/References&gt;&lt;/Group&gt;&lt;/Citation&gt;_x000a_"/>
    <w:docVar w:name="NE.Ref{18A55CE7-E882-4E32-8C4E-D8C8E3FAB7CF}" w:val=" ADDIN NE.Ref.{18A55CE7-E882-4E32-8C4E-D8C8E3FAB7CF}&lt;Citation&gt;&lt;Group&gt;&lt;References&gt;&lt;Item&gt;&lt;ID&gt;6743&lt;/ID&gt;&lt;UID&gt;{DF902A9E-AB54-46A0-8E97-703FEE5757AC}&lt;/UID&gt;&lt;Title&gt;International pediatric sepsis consensus conference: definitions for sepsis and  organ dysfunction in pediatrics&lt;/Title&gt;&lt;Template&gt;Journal Article&lt;/Template&gt;&lt;Star&gt;0&lt;/Star&gt;&lt;Tag&gt;0&lt;/Tag&gt;&lt;Author&gt;Goldstein, B; Giroir, B; Randolph, A&lt;/Author&gt;&lt;Year&gt;2005&lt;/Year&gt;&lt;Details&gt;&lt;_accession_num&gt;15636651&lt;/_accession_num&gt;&lt;_author_adr&gt;FCCM Oregon Health &amp;amp; Science University, Portland, OR, USA.&lt;/_author_adr&gt;&lt;_date_display&gt;2005 Jan&lt;/_date_display&gt;&lt;_date&gt;2005-01-01&lt;/_date&gt;&lt;_doi&gt;10.1097/01.PCC.0000149131.72248.E6&lt;/_doi&gt;&lt;_isbn&gt;1529-7535 (Print); 1529-7535 (Linking)&lt;/_isbn&gt;&lt;_issue&gt;1&lt;/_issue&gt;&lt;_journal&gt;Pediatr Crit Care Med&lt;/_journal&gt;&lt;_language&gt;eng&lt;/_language&gt;&lt;_pages&gt;2-8&lt;/_pages&gt;&lt;_subject_headings&gt;Adolescent; Child; Clinical Trials as Topic; Humans; Infant, Newborn; International Cooperation; Multiple Organ Failure/classification/*diagnosis; Pediatrics/*standards; *Practice Guidelines as Topic; Sepsis/classification/*diagnosis&lt;/_subject_headings&gt;&lt;_tertiary_title&gt;Pediatric critical care medicine : a journal of the Society of Critical Care _x000d__x000a_      Medicine and the World Federation of Pediatric Intensive and Critical Care _x000d__x000a_      Societies&lt;/_tertiary_title&gt;&lt;_type_work&gt;Consensus Development Conference; Journal Article; Research Support, Non-U.S. Gov&amp;apos;t; Review&lt;/_type_work&gt;&lt;_url&gt;http://www.ncbi.nlm.nih.gov/entrez/query.fcgi?cmd=Retrieve&amp;amp;db=pubmed&amp;amp;dopt=Abstract&amp;amp;list_uids=15636651&amp;amp;query_hl=1&lt;/_url&gt;&lt;_volume&gt;6&lt;/_volume&gt;&lt;_created&gt;65751692&lt;/_created&gt;&lt;_modified&gt;65751693&lt;/_modified&gt;&lt;_db_updated&gt;PubMed&lt;/_db_updated&gt;&lt;_impact_factor&gt;   3.971&lt;/_impact_factor&gt;&lt;/Details&gt;&lt;Extra&gt;&lt;DBUID&gt;{F96A950B-833F-4880-A151-76DA2D6A2879}&lt;/DBUID&gt;&lt;/Extra&gt;&lt;/Item&gt;&lt;/References&gt;&lt;/Group&gt;&lt;/Citation&gt;_x000a_"/>
    <w:docVar w:name="NE.Ref{2544A67F-AC14-4C6C-AAE8-E12AF89EE84D}" w:val=" ADDIN NE.Ref.{2544A67F-AC14-4C6C-AAE8-E12AF89EE84D}&lt;Citation&gt;&lt;Group&gt;&lt;References&gt;&lt;Item&gt;&lt;ID&gt;6727&lt;/ID&gt;&lt;UID&gt;{714E5B3C-318E-4F96-8989-C37285C733F6}&lt;/UID&gt;&lt;Title&gt;The Third International Consensus Definitions for Sepsis and Septic Shock  (Sepsis-3)&lt;/Title&gt;&lt;Template&gt;Journal Article&lt;/Template&gt;&lt;Star&gt;0&lt;/Star&gt;&lt;Tag&gt;0&lt;/Tag&gt;&lt;Author&gt;Singer, M; Deutschman, C S; Seymour, C W; Shankar-Hari, M; Annane, D; Bauer, M; Bellomo, R; Bernard, G R; Chiche, J D; Coopersmith, C M; Hotchkiss, R S; Levy, M M; Marshall, J C; Martin, G S; Opal, S M; Rubenfeld, G D; van der Poll, T; Vincent, J L; Angus, D C&lt;/Author&gt;&lt;Year&gt;2016&lt;/Year&gt;&lt;Details&gt;&lt;_accession_num&gt;26903338&lt;/_accession_num&gt;&lt;_author_adr&gt;Bloomsbury Institute of Intensive Care Medicine, University College London,  London, United Kingdom.; Hofstra-Northwell School of Medicine, Feinstein Institute for Medical Research,  New Hyde Park, New York.; Department of Critical Care and Emergency Medicine, University of Pittsburgh  School of Medicine, Pittsburgh, Pennsylvania.; Department of Critical Care Medicine, Guy&amp;apos;s and St Thomas&amp;apos; NHS Foundation Trust,  London, United Kingdom.; Department of Critical Care Medicine, University of Versailles, France.; Center for Sepsis Control and Care, University Hospital, Jena, Germany.; Australian and New Zealand Intensive Care Research Centre, School of Public  Health and Preventive Medicine, Monash University, Melbourne, and Austin  Hospital, Melbourne, Victoria, Australia.; Vanderbilt Institute for Clinical and Translational Research, Vanderbilt  University, Nashville, Tennessee.; Reanimation Medicale-Hopital Cochin, Descartes University, Cochin Institute,  Paris, France.; Critical Care Center, Emory University School of Medicine, Atlanta, Georgia.; Washington University School of Medicine, St Louis, Missouri.; Infectious Disease Section, Division of Pulmonary and Critical Care Medicine,  Brown University School of Medicine, Providence, Rhode Island.; Department of Surgery, University of Toronto, Toronto, Ontario, Canada.; Emory University School of Medicine and Grady Memorial Hospital, Atlanta,  Georgia.; Infectious Disease Section, Division of Pulmonary and Critical Care Medicine,  Brown University School of Medicine, Providence, Rhode Island.; Trauma, Emergency &amp;amp; Critical Care Program, Sunnybrook Health Sciences Centre,  Toronto, Ontario, Canada16Interdepartmental Division of Critical Care, University  of Toronto.; Department of Infectious Diseases, Academisch Medisch Centrum, Amsterdam, the  Netherlands.; Department of Intensive Care, Erasme University Hospital, Brussels, Belgium.; Department of Critical Care Medicine, University of Pittsburgh and UPMC Health  System, Pittsburgh, Pennsylvania20Associate Editor, JAMA.&lt;/_author_adr&gt;&lt;_created&gt;65751682&lt;/_created&gt;&lt;_date&gt;2016-02-23&lt;/_date&gt;&lt;_date_display&gt;2016 Feb 23&lt;/_date_display&gt;&lt;_db_updated&gt;PubMed&lt;/_db_updated&gt;&lt;_doi&gt;10.1001/jama.2016.0287&lt;/_doi&gt;&lt;_impact_factor&gt; 157.335&lt;/_impact_factor&gt;&lt;_isbn&gt;1538-3598 (Electronic); 0098-7484 (Print); 0098-7484 (Linking)&lt;/_isbn&gt;&lt;_issue&gt;8&lt;/_issue&gt;&lt;_journal&gt;JAMA&lt;/_journal&gt;&lt;_language&gt;eng&lt;/_language&gt;&lt;_modified&gt;65751683&lt;/_modified&gt;&lt;_pages&gt;801-10&lt;/_pages&gt;&lt;_subject_headings&gt;Advisory Committees/organization &amp;amp; administration; Biomarkers/blood; Blood Pressure/drug effects; Delphi Technique; Hospital Mortality; Humans; International Classification of Diseases; Lactates/blood; *Organ Dysfunction Scores; Peer Review, Research; Respiratory Rate; Sensitivity and Specificity; Sepsis/blood/classification/complications/*diagnosis/mortality; Shock, Septic/blood/classification/diagnosis/drug therapy/mortality; Systemic Inflammatory Response Syndrome/diagnosis; Terminology as Topic; Vasoconstrictor Agents/therapeutic use&lt;/_subject_headings&gt;&lt;_tertiary_title&gt;JAMA&lt;/_tertiary_title&gt;&lt;_type_work&gt;Consensus Development Conference; Journal Article; Research Support, Non-U.S. Gov&amp;apos;t&lt;/_type_work&gt;&lt;_url&gt;http://www.ncbi.nlm.nih.gov/entrez/query.fcgi?cmd=Retrieve&amp;amp;db=pubmed&amp;amp;dopt=Abstract&amp;amp;list_uids=26903338&amp;amp;query_hl=1&lt;/_url&gt;&lt;_volume&gt;315&lt;/_volume&gt;&lt;/Details&gt;&lt;Extra&gt;&lt;DBUID&gt;{F96A950B-833F-4880-A151-76DA2D6A2879}&lt;/DBUID&gt;&lt;/Extra&gt;&lt;/Item&gt;&lt;/References&gt;&lt;/Group&gt;&lt;/Citation&gt;_x000a_"/>
    <w:docVar w:name="NE.Ref{273D2A11-2A28-4E55-9B00-DB89023ED020}" w:val=" ADDIN NE.Ref.{273D2A11-2A28-4E55-9B00-DB89023ED020}&lt;Citation&gt;&lt;Group&gt;&lt;References&gt;&lt;Item&gt;&lt;ID&gt;6744&lt;/ID&gt;&lt;UID&gt;{B67030C1-DEA7-44B2-BF11-AF4F76242105}&lt;/UID&gt;&lt;Title&gt;Identification of Biomarkers of Sepsis-Associated Acute Kidney Injury in  Pediatric Patients Based on UPLC-QTOF/MS&lt;/Title&gt;&lt;Template&gt;Journal Article&lt;/Template&gt;&lt;Star&gt;0&lt;/Star&gt;&lt;Tag&gt;0&lt;/Tag&gt;&lt;Author&gt;Wang, S; Xiao, C; Liu, C; Li, J; Fang, F; Lu, X; Zhang, C; Xu, F&lt;/Author&gt;&lt;Year&gt;2020&lt;/Year&gt;&lt;Details&gt;&lt;_accession_num&gt;31828589&lt;/_accession_num&gt;&lt;_author_adr&gt;Department of Pediatric Intensive Care Unit, Children&amp;apos;s Hospital of Chongqing  Medical University, 136 Second Zhongshan Road, Yuzhong district, Chongqing,  400014, China.; Ministry of Education Key Laboratory of Child Development and Disorders, National  Clinical Research Center for Child Health and Disorders (Chongqing), 136 Second  Zhongshan Road, Yuzhong district, Chongqing, 400014, China.; China International Science and Technology Cooperation base of Child Development  and Critical Disorders, Chongqing Key Laboratory of Pediatrics, Chongqing,  400014, China.; Department of Pediatric Intensive Care Unit, Children&amp;apos;s Hospital of Chongqing  Medical University, 136 Second Zhongshan Road, Yuzhong district, Chongqing,  400014, China.; Ministry of Education Key Laboratory of Child Development and Disorders, National  Clinical Research Center for Child Health and Disorders (Chongqing), 136 Second  Zhongshan Road, Yuzhong district, Chongqing, 400014, China.; China International Science and Technology Cooperation base of Child Development  and Critical Disorders, Chongqing Key Laboratory of Pediatrics, Chongqing,  400014, China.; Department of Pediatric Intensive Care Unit, Children&amp;apos;s Hospital of Chongqing  Medical University, 136 Second Zhongshan Road, Yuzhong district, Chongqing,  400014, China.; Ministry of Education Key Laboratory of Child Development and Disorders, National  Clinical Research Center for Child Health and Disorders (Chongqing), 136 Second  Zhongshan Road, Yuzhong district, Chongqing, 400014, China.; China International Science and Technology Cooperation base of Child Development  and Critical Disorders, Chongqing Key Laboratory of Pediatrics, Chongqing,  400014, China.; Department of Pediatric Intensive Care Unit, Children&amp;apos;s Hospital of Chongqing  Medical University, 136 Second Zhongshan Road, Yuzhong district, Chongqing,  400014, China.; Ministry of Education Key Laboratory of Child Development and Disorders, National  Clinical Research Center for Child Health and Disorders (Chongqing), 136 Second  Zhongshan Road, Yuzhong district, Chongqing, 400014, China.; China International Science and Technology Cooperation base of Child Development  and Critical Disorders, Chongqing Key Laboratory of Pediatrics, Chongqing,  400014, China.; Department of Pediatric Intensive Care Unit, Children&amp;apos;s Hospital of Chongqing  Medical University, 136 Second Zhongshan Road, Yuzhong district, Chongqing,  400014, China.; Ministry of Education Key Laboratory of Child Development and Disorders, National  Clinical Research Center for Child Health and Disorders (Chongqing), 136 Second  Zhongshan Road, Yuzhong district, Chongqing, 400014, China.; China International Science and Technology Cooperation base of Child Development  and Critical Disorders, Chongqing Key Laboratory of Pediatrics, Chongqing,  400014, China.; Department of Pediatric Intensive Care Unit, Children&amp;apos;s Hospital of Chongqing  Medical University, 136 Second Zhongshan Road, Yuzhong district, Chongqing,  400014, China.; Ministry of Education Key Laboratory of Child Development and Disorders, National  Clinical Research Center for Child Health and Disorders (Chongqing), 136 Second  Zhongshan Road, Yuzhong district, Chongqing, 400014, China.; China International Science and Technology Cooperation base of Child Development  and Critical Disorders, Chongqing Key Laboratory of Pediatrics, Chongqing,  400014, China.; Department of Pediatric Intensive Care Unit, Children&amp;apos;s Hospital of Chongqing  Medical University, 136 Second Zhongshan Road, Yuzhong district, Chongqing,  400014, China.; Ministry of Education Key Laboratory of Child Development and Disorders, National  Clinical Research Center for Child Health and Disorders (Chongqing), 136 Second  Zhongshan Road, Yuzhong district, Chongqing, 400014, China.; China International Science and Technology Cooperation base of Child Development  and Critical Disorders, Chongqing Key Laboratory of Pediatrics, Chongqing,  400014, China.; Department of Pediatric Intensive Care Unit, Children&amp;apos;s Hospital of Chongqing  Medical University, 136 Second Zhongshan Road, Yuzhong district, Chongqing,  400014, China. xufeng9899@163.com.; Ministry of Education Key Laboratory of Child Development and Disorders, National  Clinical Research Center for Child Health and Disorders (Chongqing), 136 Second  Zhongshan Road, Yuzhong district, Chongqing, 400014, China. xufeng9899@163.com.; China International Science and Technology Cooperation base of Child Development  and Critical Disorders, Chongqing Key Laboratory of Pediatrics, Chongqing,  400014, China. xufeng9899@163.com.&lt;/_author_adr&gt;&lt;_collection_scope&gt;SCI;SCIE&lt;/_collection_scope&gt;&lt;_created&gt;65751694&lt;/_created&gt;&lt;_date&gt;2020-04-01&lt;/_date&gt;&lt;_date_display&gt;2020 Apr&lt;/_date_display&gt;&lt;_db_updated&gt;PubMed&lt;/_db_updated&gt;&lt;_doi&gt;10.1007/s10753-019-01144-5&lt;/_doi&gt;&lt;_impact_factor&gt;   4.657&lt;/_impact_factor&gt;&lt;_isbn&gt;1573-2576 (Electronic); 0360-3997 (Linking)&lt;/_isbn&gt;&lt;_issue&gt;2&lt;/_issue&gt;&lt;_journal&gt;Inflammation&lt;/_journal&gt;&lt;_keywords&gt;acute kidney injury; biomarkers; metabolomics; pediatric; sepsis; urine&lt;/_keywords&gt;&lt;_language&gt;eng&lt;/_language&gt;&lt;_modified&gt;65751694&lt;/_modified&gt;&lt;_pages&gt;629-640&lt;/_pages&gt;&lt;_subject_headings&gt;Acute Kidney Injury/*diagnosis/*metabolism; Biomarkers/metabolism/urine; Child; Child, Preschool; Chromatography, High Pressure Liquid/methods; Female; Humans; *Intensive Care Units; Male; Metabolomics/methods; Pilot Projects; Prospective Studies; Sepsis/*diagnosis/*metabolism; Tandem Mass Spectrometry/*methods&lt;/_subject_headings&gt;&lt;_tertiary_title&gt;Inflammation&lt;/_tertiary_title&gt;&lt;_type_work&gt;Journal Article&lt;/_type_work&gt;&lt;_url&gt;http://www.ncbi.nlm.nih.gov/entrez/query.fcgi?cmd=Retrieve&amp;amp;db=pubmed&amp;amp;dopt=Abstract&amp;amp;list_uids=31828589&amp;amp;query_hl=1&lt;/_url&gt;&lt;_volume&gt;43&lt;/_volume&gt;&lt;/Details&gt;&lt;Extra&gt;&lt;DBUID&gt;{F96A950B-833F-4880-A151-76DA2D6A2879}&lt;/DBUID&gt;&lt;/Extra&gt;&lt;/Item&gt;&lt;/References&gt;&lt;/Group&gt;&lt;/Citation&gt;_x000a_"/>
    <w:docVar w:name="NE.Ref{2758DD06-ABBA-4897-86BC-E31C98B203FD}" w:val=" ADDIN NE.Ref.{2758DD06-ABBA-4897-86BC-E31C98B203FD}&lt;Citation&gt;&lt;Group&gt;&lt;References&gt;&lt;Item&gt;&lt;ID&gt;6756&lt;/ID&gt;&lt;UID&gt;{36A87014-463B-4466-8CCD-D67F830D967C}&lt;/UID&gt;&lt;Title&gt;Metabolomics as a novel approach for early diagnosis of pediatric septic shock  and its mortality&lt;/Title&gt;&lt;Template&gt;Journal Article&lt;/Template&gt;&lt;Star&gt;0&lt;/Star&gt;&lt;Tag&gt;0&lt;/Tag&gt;&lt;Author&gt;Mickiewicz, B; Vogel, H J; Wong, H R; Winston, B W&lt;/Author&gt;&lt;Year&gt;2013&lt;/Year&gt;&lt;Details&gt;&lt;_accession_num&gt;23471468&lt;/_accession_num&gt;&lt;_author_adr&gt;Bio-NMR Center, Department of Biological Sciences, University of Calgary,  Calgary, Alberta, Canada.&lt;/_author_adr&gt;&lt;_created&gt;65751700&lt;/_created&gt;&lt;_date&gt;2013-05-01&lt;/_date&gt;&lt;_date_display&gt;2013 May 1&lt;/_date_display&gt;&lt;_db_updated&gt;PubMed&lt;/_db_updated&gt;&lt;_doi&gt;10.1164/rccm.201209-1726OC&lt;/_doi&gt;&lt;_impact_factor&gt;  30.528&lt;/_impact_factor&gt;&lt;_isbn&gt;1535-4970 (Electronic); 1073-449X (Print); 1073-449X (Linking)&lt;/_isbn&gt;&lt;_issue&gt;9&lt;/_issue&gt;&lt;_journal&gt;Am J Respir Crit Care Med&lt;/_journal&gt;&lt;_language&gt;eng&lt;/_language&gt;&lt;_modified&gt;65751700&lt;/_modified&gt;&lt;_pages&gt;967-76&lt;/_pages&gt;&lt;_subject_headings&gt;Case-Control Studies; Child; Child, Preschool; Early Diagnosis; Female; Humans; Infant; Infant, Newborn; Intensive Care Units, Pediatric; Least-Squares Analysis; Magnetic Resonance Spectroscopy/methods; Male; Metabolomics/*methods; Prognosis; Shock, Septic/*diagnosis/metabolism/mortality&lt;/_subject_headings&gt;&lt;_tertiary_title&gt;American journal of respiratory and critical care medicine&lt;/_tertiary_title&gt;&lt;_type_work&gt;Journal Article; Research Support, N.I.H., Extramural; Research Support, Non-U.S. Gov&amp;apos;t&lt;/_type_work&gt;&lt;_url&gt;http://www.ncbi.nlm.nih.gov/entrez/query.fcgi?cmd=Retrieve&amp;amp;db=pubmed&amp;amp;dopt=Abstract&amp;amp;list_uids=23471468&amp;amp;query_hl=1&lt;/_url&gt;&lt;_volume&gt;187&lt;/_volume&gt;&lt;/Details&gt;&lt;Extra&gt;&lt;DBUID&gt;{F96A950B-833F-4880-A151-76DA2D6A2879}&lt;/DBUID&gt;&lt;/Extra&gt;&lt;/Item&gt;&lt;/References&gt;&lt;/Group&gt;&lt;/Citation&gt;_x000a_"/>
    <w:docVar w:name="NE.Ref{3B848F18-69BB-41E3-ADAA-6FFAEEF6C2B0}" w:val=" ADDIN NE.Ref.{3B848F18-69BB-41E3-ADAA-6FFAEEF6C2B0}&lt;Citation&gt;&lt;Group&gt;&lt;References&gt;&lt;Item&gt;&lt;ID&gt;6760&lt;/ID&gt;&lt;UID&gt;{5F753E52-B082-4B05-A2B8-FE9E2D313A37}&lt;/UID&gt;&lt;Title&gt;Surviving Sepsis Campaign International Guidelines for the Management of Septic  Shock and Sepsis-Associated Organ Dysfunction in Children&lt;/Title&gt;&lt;Template&gt;Journal Article&lt;/Template&gt;&lt;Star&gt;0&lt;/Star&gt;&lt;Tag&gt;0&lt;/Tag&gt;&lt;Author&gt;Weiss, S L; Peters, M J; Alhazzani, W; Agus, MSD; Flori, H R; Inwald, D P; Nadel, S; Schlapbach, L J; Tasker, R C; Argent, A C; Brierley, J; Carcillo, J; Carrol, E D; Carroll, C L; Cheifetz, I M; Choong, K; Cies, J J; Cruz, A T; De Luca, D; Deep, A; Faust, S N; De Oliveira, C F; Hall, M W; Ishimine, P; Javouhey, E; Joosten, KFM; Joshi, P; Karam, O; Kneyber, MCJ; Lemson, J; MacLaren, G; Mehta, N M; Moller, M H; Newth, CJL; Nguyen, T C; Nishisaki, A; Nunnally, M E; Parker, M M; Paul, R M; Randolph, A G; Ranjit, S; Romer, L H; Scott, H F; Tume, L N; Verger, J T; Williams, E A; Wolf, J; Wong, H R; Zimmerman, J J; Kissoon, N; Tissieres, P&lt;/Author&gt;&lt;Year&gt;2020&lt;/Year&gt;&lt;Details&gt;&lt;_accession_num&gt;32032273&lt;/_accession_num&gt;&lt;_author_adr&gt;Children&amp;apos;s Hospital of Philadelphia, University of Pennsylvania Perelman School  of Medicine, Philadelphia, PA.; Great Ormond Street Hospital for Children, London, United Kingdom.; Department of Medicine, Division of Critical Care, and Department of Health  Research Methods and Impact, McMaster University, Hamilton, ON, Canada.; Department of Pediatrics (to Dr. Agus), Department of Anesthesiology, Critical  Care and Pain (to Drs. Mehta and Randolph), Boston Children&amp;apos;s Hospital and  Harvard Medical School, Boston, MA.; C.S. Mott Children&amp;apos;s Hospital, Ann Arbor, MI.; St. Mary&amp;apos;s Hospital, London, United Kingdom.; St. Mary&amp;apos;s Hospital, London, United Kingdom.; Paediatric Critical Care Research Group, The University of Queensland and  Queensland Children&amp;apos;s Hospital, Brisbane, QLD, Australia.; Department of Pediatrics (to Dr. Agus), Department of Anesthesiology, Critical  Care and Pain (to Drs. Mehta and Randolph), Boston Children&amp;apos;s Hospital and  Harvard Medical School, Boston, MA.; Red Cross War Memorial Children&amp;apos;s Hospital and University of Cape Town, Cape  Town, South Africa.; Great Ormond Street Hospital for Children, London, United Kingdom.; Children&amp;apos;s Hospital of Pittsburgh, Pittsburgh, PA.; University of Liverpool, Liverpool, United Kingdom.; Connecticut Children&amp;apos;s Medical Center, Hartford, CT.; Duke Children&amp;apos;s, Durham, NC.; Department of Medicine, Division of Critical Care, and Department of Health  Research Methods and Impact, McMaster University, Hamilton, ON, Canada.; St. Christopher&amp;apos;s Hospital for Children, Philadelphia, PA.; Texas Children&amp;apos;s Hospital, Houston, TX.; Paris South University Hospitals-Assistance Publique Hopitaux de Paris, Paris,  France.; Physiopathology and Therapeutic Innovation Unit-INSERM U999, South Paris-Saclay  University, Paris, France.; King&amp;apos;s College Hospital, London, United Kingdom.; University Hospital Southampton NHS Foundation Trust and University of  Southampton, Southampton, United Kingdom.; The Latin America Sepsis Institute, Sao Paulo, Brazil.; Nationwide Children&amp;apos;s Hospital, Columbus, OH.; Rady Children&amp;apos;s Hospital, San Diego, CA.; Centre Hospitalier Universitaire de Lyon, Lyon, France.; Erasmus University Medical Center, Rotterdam, The Netherlands.; All India Institute of Medical Sciences, New Delhi, India.; Children&amp;apos;s Hospital of Richmond at VCU, Richmond, VA.; Beatrix Children&amp;apos;s Hospital, Groningen, The Netherlands.; Radboud University Medical Centre, Nijmegen, The Netherlands.; National University Health System, Singapore, and Royal Children&amp;apos;s Hospital,  Melbourne, VIC, Australia.; Department of Pediatrics (to Dr. Agus), Department of Anesthesiology, Critical  Care and Pain (to Drs. Mehta and Randolph), Boston Children&amp;apos;s Hospital and  Harvard Medical School, Boston, MA.; Rigshospitalet Hospital, Copenhagen, Denmark.; Children&amp;apos;s Hospital of Los Angeles, Los Angeles, CA.; Texas Children&amp;apos;s Hospital, Houston, TX.; Children&amp;apos;s Hospital of Philadelphia, University of Pennsylvania Perelman School  of Medicine, Philadelphia, PA.; New York University Langone Medical Center, New York, NY.; Stony Brook University, Stony Brook, NY.; Advocate Children&amp;apos;s Hospital, Park Ridge, IL.; Department of Pediatrics (to Dr. Agus), Department of Anesthesiology, Critical  Care and Pain (to Drs. Mehta and Randolph), Boston Children&amp;apos;s Hospital and  Harvard Medical School, Boston, MA.; Apollo Hospitals, Chennai, India.; Johns Hopkins Children&amp;apos;s Center, Baltimore, MD.; Children&amp;apos;s Hospital Colorado, Aurora, CO.; University of the West of England, Bristol, United Kingdom.; Children&amp;apos;s Hospital of Philadelphia, University of Pennsylvania Perelman School  of Medicine, Philadelphia, PA.; College of Nursing, University of Iowa, Iowa City, IA.; Texas Children&amp;apos;s Hospital, Houston, TX.; St. Jude Children&amp;apos;s Research Hospital, Memphis, TN.; Cincinnati Children&amp;apos;s Hospital, Cincinnati, OH.; Seattle Children&amp;apos;s Hospital, Seattle, WA.; British Columbia Children&amp;apos;s Hospital, Vancouver, British Columbia, Canada.; Paris South University Hospitals-Assistance Publique Hopitaux de Paris, Paris,  France.; Institute of Integrative Biology of the Cell-CNRS, CEA, Univ Paris Sud,  Gif-sur-Yvette, France.&lt;/_author_adr&gt;&lt;_created&gt;65752499&lt;/_created&gt;&lt;_date&gt;2020-02-01&lt;/_date&gt;&lt;_date_display&gt;2020 Feb&lt;/_date_display&gt;&lt;_db_updated&gt;PubMed&lt;/_db_updated&gt;&lt;_doi&gt;10.1097/PCC.0000000000002198&lt;/_doi&gt;&lt;_impact_factor&gt;   3.971&lt;/_impact_factor&gt;&lt;_isbn&gt;1529-7535 (Print); 1529-7535 (Linking)&lt;/_isbn&gt;&lt;_issue&gt;2&lt;/_issue&gt;&lt;_journal&gt;Pediatr Crit Care Med&lt;/_journal&gt;&lt;_language&gt;eng&lt;/_language&gt;&lt;_modified&gt;65752499&lt;/_modified&gt;&lt;_pages&gt;e52-e106&lt;/_pages&gt;&lt;_subject_headings&gt;Adolescent; Anti-Bacterial Agents/therapeutic use; Child; Child, Preschool; Evidence-Based Medicine; Fluid Therapy/methods; Hemodynamics; Humans; Infant; Infant, Newborn; Lactic Acid/blood; Multiple Organ Failure/diagnosis/etiology/*therapy; Pediatrics/*standards; Respiration, Artificial/methods; Resuscitation/methods; Sepsis/complications/diagnosis/*therapy; Shock, Septic/diagnosis/*therapy; Vasoconstrictor Agents/therapeutic use&lt;/_subject_headings&gt;&lt;_tertiary_title&gt;Pediatric critical care medicine : a journal of the Society of Critical Care _x000d__x000a_      Medicine and the World Federation of Pediatric Intensive and Critical Care _x000d__x000a_      Societies&lt;/_tertiary_title&gt;&lt;_type_work&gt;Journal Article; Practice Guideline&lt;/_type_work&gt;&lt;_url&gt;http://www.ncbi.nlm.nih.gov/entrez/query.fcgi?cmd=Retrieve&amp;amp;db=pubmed&amp;amp;dopt=Abstract&amp;amp;list_uids=32032273&amp;amp;query_hl=1&lt;/_url&gt;&lt;_volume&gt;21&lt;/_volume&gt;&lt;/Details&gt;&lt;Extra&gt;&lt;DBUID&gt;{F96A950B-833F-4880-A151-76DA2D6A2879}&lt;/DBUID&gt;&lt;/Extra&gt;&lt;/Item&gt;&lt;/References&gt;&lt;/Group&gt;&lt;Group&gt;&lt;References&gt;&lt;Item&gt;&lt;ID&gt;6770&lt;/ID&gt;&lt;UID&gt;{6E382446-CDBB-426E-AB06-94E60487CB0E}&lt;/UID&gt;&lt;Title&gt;American College of Critical Care Medicine Clinical Practice Parameters for  Hemodynamic Support of Pediatric and Neonatal Septic Shock&lt;/Title&gt;&lt;Template&gt;Journal Article&lt;/Template&gt;&lt;Star&gt;0&lt;/Star&gt;&lt;Tag&gt;0&lt;/Tag&gt;&lt;Author&gt;Davis, A L; Carcillo, J A; Aneja, R K; Deymann, A J; Lin, J C; Nguyen, T C; Okhuysen-Cawley, R S; Relvas, M S; Rozenfeld, R A; Skippen, P W; Stojadinovic, B J; Williams, E A; Yeh, T S; Balamuth, F; Brierley, J; de Caen, A R; Cheifetz, I M; Choong, K; Conway, E Jr; Cornell, T; Doctor, A; Dugas, M A; Feldman, J D; Fitzgerald, J C; Flori, H R; Fortenberry, J D; Graciano, A L; Greenwald, B M; Hall, M W; Han, Y Y; Hernan, L J; Irazuzta, J E; Iselin, E; van der Jagt, E W; Jeffries, H E; Kache, S; Katyal, C; Kissoon, N; Kon, A A; Kutko, M C; MacLaren, G; Maul, T; Mehta, R; Odetola, F; Parbuoni, K; Paul, R; Peters, M J; Ranjit, S; Reuter-Rice, K E; Schnitzler, E J; Scott, H F; Torres, A Jr; Weingarten-Arams, J; Weiss, S L; Zimmerman, J J; Zuckerberg, A L&lt;/Author&gt;&lt;Year&gt;2017&lt;/Year&gt;&lt;Details&gt;&lt;_accession_num&gt;28509730&lt;/_accession_num&gt;&lt;_author_adr&gt;1No institution affiliation. 2Department of Critical Care Medicine and  Pediatrics, University of Pittsburgh School of Medicine, Pittsburgh, PA.  3Department of Pediatric Critical Care, Riley Hospital for Children, Indiana  University, IN. 4Department of Pediatrics, Washington University School of  Medicine, St. Louis, MO. 5Department of Pediatrics, Baylor College of  Medicine/Texas Children&amp;apos;s Hospital, Houston, TX. 6Pediatric Critical Care  Medicine, Covenant Women and Children&amp;apos;s Hospital, Texas Tech University, Lubbock,  TX. 7Division of Pediatric Critical Care Medicine, Department of Pediatrics,  Feinberg School of Medicine, Northwestern University, Chicago, IL. 8Division of  Pediatric Critical Care, University of British Columbia, Vancouver, BC, Canada.  9Division of Pediatric Critical Care Medicine, Department of Pediatrics, Medical  College of Wisconsin, Milwaukee, WI. 10Department of Pediatrics, Baylor College  of Medicine, Houston, TX. 11Department of Pediatrics, Saint Barnabas Medical  Center, Livingston, NJ. 12Division of Emergency Medicine and Center for Pediatric  Clinical Effectiveness, University of Pennsylvania Perelman School of Medicine,  Children&amp;apos;s Hospital of Philadelphia, Philadelphia, PA. 13Intensive Care &amp;amp;  Bioethics, Great Ormond St Hospital for Sick Children, London, United Kingdom.  14Pediatric Critical Care Medicine, Department of Pediatrics, Stollery Children&amp;apos;s  Hospital/University of Alberta, Edmonton, AB, Canada. 15Division of Pediatric  Critical Care Medicine, Department of Pediatrics, Duke Children&amp;apos;s, Durham, NC.  16Departments of Pediatrics and Critical Care, Clinical Epidemiology and  Biostatistics, McMaster University, Pediatric Intensive Care Unit, McMaster  Children&amp;apos;s Hospital, Hamilton, ON, Canada. 17Beth Israel Medical Center,  Hartsdale, NY. 18Department of Pediatrics and Communicable Diseases, University  of Michigan, Ann Arbor, MI. 19Departments of Pediatrics and Biochemistry,  Washington University in Saint Louis School of Medicine, Saint Louis, MO.  20Department of Pediatrics, Centre mere-enfant Soleil du CHU de Quebec-Universite  Laval, Quebec City, QC, Canada. 21Department of Inpatient Pediatrics, Kaiser  Santa Clara Medical Center, Santa Clara, CA. 22Department of Anesthesiology and  Critical Care Medicine, University of Pennsylvania Perelman School of Medicine,  Children&amp;apos;s Hospital of Philadelphia, Philadelphia, PA. 23Division of Pediatric  Critical Care Medicine, Department of Pediatrics, University of Mott C.S.  Children&amp;apos;s Hospital, Ann Arbor, MI. 24Division of Critical Care, Department of  Pediatrics, Emory University School of Medicine, Atlanta, GA. 25Department of  Pediatrics-Critical Care Medicine, University of Maryland School of Medicine,  Baltimore, MD. 26Division of Pediatric Critical Care Medicine, Weill Cornell  Medical College, New York, NY. 27Division of Critical Care Medicine, Department  of Pediatrics, Nationwide Children&amp;apos;s Hospital, Columbus, OH. 28Department of  Critical Care Medicine, Children&amp;apos;s Mercy Hospital, Kansas City, MO. 29Department  of Pediatrics, Texas Tech University Health Sciences Center, El Paso, TX.  30Division of Pediatric Critical Care, University of Florida, Jacksonville, FL.  31Bon Secours St. Mary&amp;apos;s Hospital, Glen Allen, VA. 32Division of Pediatric  Critical Care, Department of Pediatrics, University of Rochester School of  Medicine and Dentistry, Rochester, NY. 33Department of Pediatrics, University of  Washington School of Medicine, Seattle, WA. 34Division of Critical Care,  Department of Pediatrics, Stanford University School of Medicine, Palo Alto, CA.  35Pediatric Critical Care Medicine, The Children&amp;apos;s Hospital at Montefiore, The  Pediatric Hospital for Albert Einstein College of Medicine, Bronx, NY.  36Department of Pediatrics, University of British Columbia, UBC &amp;amp; BC Children&amp;apos;s  Hospital Professor in Critical Care-Global Child Health, Vancouver, BC, Canada.  37Department of Pediatrics, Naval Medical Center San Diego and University of  California San Diego School of Medicine, San Diego, CA. 38Department of  Pediatrics and Pediatric Critical Care Medicine, The Valley Hospital, Ridgewood,  NJ. 39Cardiothoracic ICU, National University Hospital, Singapore. 40Paediatric  ICU, The Royal Children&amp;apos;s Hospital, Melbourne, Australia. 41Department of  Paediatrics, University of Melbourne, Melbourne, Australia. 42Children&amp;apos;s Hospital  of Pittsburgh, Pittsburgh, PA. 43Department of Pediatrics, Medical College of  Georgia at Augusta University, Augusta, GA. 44Division of Critical Care Medicine,  Department of Pediatrics, University of Michigan, Ann Arbor, MI. 45Department of  Pharmacy Practice, Loma Linda University School of Pharmacy, Loma Linda, CA.  46Division of Emergency Medicine, Ann and Robert Lurie Children&amp;apos;s Hospital of  Chicago, Feinberg School of Medicine at Northwestern University, Chicago, IL.  47UCL Great Ormond Street Institute of Child Health and Paediatric Intensive Care  Unit, Great Ormond Street Hospital for Children, NHS Trust, London, United  Kingdom. 48Pediatric Intensive Care and Emergency Services, Apollo Children&amp;apos;s  Hospital, Chennai, India. 49Division of Pediatric Critical Care, Department of  Pediatrics, Duke University School of Nursing and School of Medicine, Durham, NC.  50Pediatrics School of Medicine, Austral University, Pcia de Buenos Aires,  Argentina. 51Departments of Pediatrics and Emergency Medicine, University of  Colorado School of Medicine, Aurora, CO. 52Critical Care and Transport, Nemours  Children&amp;apos;s Hospital, Orlando, FL. 53Department of Pediatrics, Critical Care  Medicine, Albert Einstein College of Medicine, Bronx, NY. 54Division of Pediatric  Critical Care Medicine, Department of Pediatrics, University of Washington School  of Medicine, Seattle, WA. 55Departments of Pediatrics &amp;amp; Anesthesiology, Sinai  Hospital/NAPA, Baltimore, MD. 56Department of Pediatrics, University of Maryland  Medical School, Baltimore, MD.&lt;/_author_adr&gt;&lt;_collection_scope&gt;SCI;SCIE&lt;/_collection_scope&gt;&lt;_created&gt;65753077&lt;/_created&gt;&lt;_date&gt;2017-06-01&lt;/_date&gt;&lt;_date_display&gt;2017 Jun&lt;/_date_display&gt;&lt;_db_updated&gt;PubMed&lt;/_db_updated&gt;&lt;_doi&gt;10.1097/CCM.0000000000002425&lt;/_doi&gt;&lt;_impact_factor&gt;   9.296&lt;/_impact_factor&gt;&lt;_isbn&gt;1530-0293 (Electronic); 0090-3493 (Linking)&lt;/_isbn&gt;&lt;_issue&gt;6&lt;/_issue&gt;&lt;_journal&gt;Crit Care Med&lt;/_journal&gt;&lt;_language&gt;eng&lt;/_language&gt;&lt;_modified&gt;65753077&lt;/_modified&gt;&lt;_pages&gt;1061-1093&lt;/_pages&gt;&lt;_subject_headings&gt;Anesthesia/methods/standards; Biomarkers; Cardiovascular Agents/administration &amp;amp; dosage; Child; Critical Care/*standards; Extracorporeal Membrane Oxygenation/methods; Fluid Therapy/methods/standards; Hemodynamics; Hospital Mortality; Humans; Infant, Newborn; Monitoring, Physiologic; Patient Care Bundles/*standards; Practice Guidelines as Topic/*standards; Resuscitation/standards; Shock, Septic/diagnosis/mortality/*therapy; Time Factors; United States&lt;/_subject_headings&gt;&lt;_tertiary_title&gt;Critical care medicine&lt;/_tertiary_title&gt;&lt;_type_work&gt;Journal Article&lt;/_type_work&gt;&lt;_url&gt;http://www.ncbi.nlm.nih.gov/entrez/query.fcgi?cmd=Retrieve&amp;amp;db=pubmed&amp;amp;dopt=Abstract&amp;amp;list_uids=28509730&amp;amp;query_hl=1&lt;/_url&gt;&lt;_volume&gt;45&lt;/_volume&gt;&lt;/Details&gt;&lt;Extra&gt;&lt;DBUID&gt;{F96A950B-833F-4880-A151-76DA2D6A2879}&lt;/DBUID&gt;&lt;/Extra&gt;&lt;/Item&gt;&lt;/References&gt;&lt;/Group&gt;&lt;Group&gt;&lt;References&gt;&lt;Item&gt;&lt;ID&gt;544&lt;/ID&gt;&lt;UID&gt;{BB4B0236-1561-41BB-8BD7-885CA0D1729F}&lt;/UID&gt;&lt;Title&gt;International Consensus Criteria for Pediatric Sepsis and Septic Shock&lt;/Title&gt;&lt;Template&gt;Journal Article&lt;/Template&gt;&lt;Star&gt;0&lt;/Star&gt;&lt;Tag&gt;0&lt;/Tag&gt;&lt;Author&gt;Schlapbach, L J; Watson, R S; Sorce, L R; Argent, A C; Menon, K; Hall, M W; Akech, S; Albers, D J; Alpern, E R; Balamuth, F; Bembea, M; Biban, P; Carrol, E D; Chiotos, K; Chisti, M J; DeWitt, P E; Evans, I; Flauzino, De Oliveira C; Horvat, C M; Inwald, D; Ishimine, P; Jaramillo-Bustamante, J C; Levin, M; Lodha, R; Martin, B; Nadel, S; Nakagawa, S; Peters, M J; Randolph, A G; Ranjit, S; Rebull, M N; Russell, S; Scott, H F; de Souza, D C; Tissieres, P; Weiss, S L; Wiens, M O; Wynn, J L; Kissoon, N; Zimmerman, J J; Sanchez-Pinto, L N; Bennett, T D&lt;/Author&gt;&lt;Year&gt;2024&lt;/Year&gt;&lt;Details&gt;&lt;_accession_num&gt;38245889&lt;/_accession_num&gt;&lt;_author_adr&gt;Department of Intensive Care and Neonatology, and Children&amp;apos;s Research Center,  University Children&amp;apos;s Hospital Zurich, University of Zurich, Zurich, Switzerland.; Child Health Research Centre, University of Queensland, Brisbane, Australia.; Department of Pediatrics, University of Washington, Seattle.; Seattle Children&amp;apos;s Research Institute and Pediatric Critical Care, Seattle  Children&amp;apos;s, Seattle, Washington.; Ann &amp;amp; Robert H. Lurie Children&amp;apos;s Hospital, Chicago, Illinois.; Department of Pediatrics, Northwestern University Feinberg School of Medicine,  Chicago, Illinois.; Department of Paediatrics and Child Health, Red Cross War Memorial Children&amp;apos;s  Hospital, Cape Town, South Africa.; University of Cape Town, Cape Town, South Africa.; Department of Pediatrics, Children&amp;apos;s Hospital of Eastern Ontario, Canada.; University of Ottawa, Ontario, Canada.; Division of Critical Care Medicine, Nationwide Children&amp;apos;s Hospital, Columbus,  Ohio.; The Ohio State University College of Medicine, Columbus, Ohio.; Kenya Medical Research Institute (KEMRI)-Wellcome Trust Research Programme,  Nairobi, Kenya.; Departments of Biomedical Informatics, Bioengineering, Biostatistics and  Informatics, University of Colorado School of Medicine, Aurora.; Department of Biomedical Informatics, Columbia University, New York, New York.; Ann &amp;amp; Robert H. Lurie Children&amp;apos;s Hospital, Chicago, Illinois.; Department of Pediatrics, Division of Emergency Medicine, Northwestern University  Feinberg School of Medicine, Chicago, Illinois.; Department of Pediatrics, University of Pennsylvania, Perelman School of  Medicine, Philadelphia.; Division of Emergency Medicine, Children&amp;apos;s Hospital of Philadelphia,  Philadelphia, Pennsylvania.; Department of Anesthesiology and Critical Care Medicine, Johns Hopkins University  School of Medicine, Baltimore, Maryland.; Pediatric Intensive Care Unit, Verona University Hospital, Verona, Italy.; University of Liverpool, Department of Clinical Infection, Microbiology and  Immunology, Institute of Infection, Veterinary and Ecological Sciences,  Liverpool, United Kingdom.; Department of Anesthesiology and Critical Care, Perelman School of Medicine at  the University of Pennsylvania, Philadelphia.; Divisions of Critical Care Medicine and Infectious Diseases, Children&amp;apos;s Hospital  of Philadelphia, Philadelphia, Pennsylvania.; Intensive Care Unit, Dhaka Hospital, Nutrition Research Division, International  Centre for Diarrhoeal Disease Research, Bangladesh (icddr,b), Dhaka, Bangladesh.; Department of Biomedical Informatics, University of Colorado School of Medicine,  Aurora.; Department of Critical Care Medicine, University of Pittsburgh School of  Medicine, Pittsburgh, Pennsylvania.; Clinical Research, Investigation, and Systems Modeling of Acute Illness (CRISMA)  Center, Pittsburgh, Pennsylvania.; AMIB-Associação de Medicina Intensiva Brasileira, São Paulo, Brazil.; LASI-Latin American Institute of Sepsis, São Paulo, Brazil.; Department of Critical Care Medicine, University of Pittsburgh School of  Medicine, Pittsburgh, Pennsylvania.; Clinical Research, Investigation, and Systems Modeling of Acute Illness (CRISMA)  Center, Pittsburgh, Pennsylvania.; Paediatric Intensive Care, Cambridge University Hospitals NHS Foundation Trust,  Cambridge, United Kingdom.; Departments of Emergency Medicine and Pediatrics, University of California, San  Diego School of Medicine, La Jolla.; PICU Hospital General de Medellín &amp;quot;Luz Castro de Gutiérrez&amp;quot; and Hospital Pablo  Tobón Uribe, Medellín, Colombia.; Red Colaborativa Pediátrica de Latinoamérica (LARed Network).; Section of Paediatric Infectious Diseases, Department of Infectious Diseases,  Imperial College London, London, United Kingdom.; Department of Paediatrics, St Mary&amp;apos;s Hospital, Imperial College Healthcare NHS  Trust, London, United Kingdom.; Department of Pediatrics, All India Institute of Medical Sciences, New Delhi,  India.; Departments of Biomedical Informatics and Pediatrics (Division of Critical Care  Medicine), University of Colorado School of Medicine and Pediatric Intensive Care  Unit, Children&amp;apos;s Hospital Colorado, Aurora.; Pediatric Intensive Care Unit, Children&amp;apos;s Hospital Colorado, Aurora.; Paediatric Intensive Care, St Mary&amp;apos;s Hospital, London, United Kingdom.; Imperial College London, London, United Kingdom.; Critical Care Medicine, National Center for Child Health and Development, Tokyo,  Japan.; University College London Great Ormond Street Institute of Child Health, London,  United Kingdom.; Great Ormond Street Hospital for Children NHS Foundation Trust and NIHR  Biomedical Research Centre, London, United Kingdom.; Department of Anesthesiology, Critical Care and Pain Medicine, Boston Children&amp;apos;s  Hospital, Boston, Massachusetts.; Departments of Anaesthesia and Pediatrics, Harvard Medical School, Boston,  Massachusetts.; Pediatric Intensive Care Unit, Apollo Children&amp;apos;s Hospital, Chennai, India.; Department of Biomedical Informatics, University of Colorado School of Medicine,  Aurora.; Department of Biomedical Informatics, University of Colorado School of Medicine,  Aurora.; Section of Pediatric Emergency Medicine, Department of Pediatrics, University of  Colorado School of Medicine, Aurora.; Emergency Department, Children&amp;apos;s Hospital Colorado, Aurora.; LASI-Latin American Institute of Sepsis, São Paulo, Brazil.; Department of Pediatrics (PICU), Hospital Universitario of the University of São  Paulo, São Paulo, Brazil.; Department of Pediatrics (PICU), Hospital Sírio Libanês, São Paulo, Brazil.; Pediatric Intensive Care, AP-HP Paris Saclay University, Bicêtre Hospital, Le  Kremlin-Bicêtre, France.; Division of Critical Care, Department of Pediatrics, Nemours Children&amp;apos;s Health,  Wilmington, Delaware.; Sidney Kimmel Medical College at Thomas Jefferson University, Philadelphia,  Pennsylvania.; Department of Anesthesiology, Pharmacology and Therapeutics, Faculty of Medicine,  University of British Columbia, Vancouver, Canada.; Institute for Global Health, BC Children&amp;apos;s Hospital, Vancouver, Canada and  Walimu, Uganda.; Department of Pediatrics, University of Florida, Gainesville.; Department of Pediatrics, University of British Columbia, Vancouver, Canada.; Department of Pediatrics, University of Washington, Seattle.; Seattle Children&amp;apos;s Research Institute and Pediatric Critical Care, Seattle  Children&amp;apos;s, Seattle, Washington.; Ann &amp;amp; Robert H. Lurie Children&amp;apos;s Hospital, Chicago, Illinois.; Department of Pediatrics, Division of Critical Care, and Department of Preventive  Medicine, Division of Health &amp;amp; Biomedical Informatics, Northwestern University  Feinberg School of Medicine, Chicago, Illinois.; Departments of Biomedical Informatics and Pediatrics (Division of Critical Care  Medicine), University of Colorado School of Medicine and Pediatric Intensive Care  Unit, Children&amp;apos;s Hospital Colorado, Aurora.&lt;/_author_adr&gt;&lt;_collection_scope&gt;SCIE&lt;/_collection_scope&gt;&lt;_created&gt;65480588&lt;/_created&gt;&lt;_date&gt;2024-02-27&lt;/_date&gt;&lt;_date_display&gt;2024 Feb 27&lt;/_date_display&gt;&lt;_doi&gt;10.1001/jama.2024.0179&lt;/_doi&gt;&lt;_impact_factor&gt; 120.700&lt;/_impact_factor&gt;&lt;_isbn&gt;1538-3598 (Electronic); 0098-7484 (Print); 0098-7484 (Linking)&lt;/_isbn&gt;&lt;_issue&gt;8&lt;/_issue&gt;&lt;_journal&gt;JAMA&lt;/_journal&gt;&lt;_language&gt;eng&lt;/_language&gt;&lt;_modified&gt;65480588&lt;/_modified&gt;&lt;_pages&gt;665-674&lt;/_pages&gt;&lt;_social_category&gt;医学：内科(1)&lt;/_social_category&gt;&lt;_subject_headings&gt;Humans; Child; *Shock, Septic/mortality; Multiple Organ Failure/diagnosis/etiology; Consensus; *Sepsis/mortality; Systemic Inflammatory Response Syndrome/diagnosis; Organ Dysfunction Scores&lt;/_subject_headings&gt;&lt;_tertiary_title&gt;JAMA&lt;/_tertiary_title&gt;&lt;_type_work&gt;Journal Article; Research Support, N.I.H., Extramural; Research Support, Non-U.S. Gov&amp;apos;t&lt;/_type_work&gt;&lt;_url&gt;http://www.ncbi.nlm.nih.gov/entrez/query.fcgi?cmd=Retrieve&amp;amp;db=pubmed&amp;amp;dopt=Abstract&amp;amp;list_uids=38245889&amp;amp;query_hl=1&lt;/_url&gt;&lt;_volume&gt;331&lt;/_volume&gt;&lt;/Details&gt;&lt;Extra/&gt;&lt;/Item&gt;&lt;/References&gt;&lt;/Group&gt;&lt;/Citation&gt;_x000a_"/>
    <w:docVar w:name="NE.Ref{44C63F49-C786-48C4-AAB6-0A9DC15C5898}" w:val=" ADDIN NE.Ref.{44C63F49-C786-48C4-AAB6-0A9DC15C5898}&lt;Citation&gt;&lt;Group&gt;&lt;References&gt;&lt;Item&gt;&lt;ID&gt;6765&lt;/ID&gt;&lt;UID&gt;{F9F86FE7-4104-465E-9CC1-488649147982}&lt;/UID&gt;&lt;Title&gt;Amino acid metabolism and signalling pathways: potential targets in the control  of infection and immunity&lt;/Title&gt;&lt;Template&gt;Journal Article&lt;/Template&gt;&lt;Star&gt;0&lt;/Star&gt;&lt;Tag&gt;0&lt;/Tag&gt;&lt;Author&gt;Tome, D&lt;/Author&gt;&lt;Year&gt;2021&lt;/Year&gt;&lt;Details&gt;&lt;_accession_num&gt;34168115&lt;/_accession_num&gt;&lt;_author_adr&gt;UMR PNCA, AgroParisTech, INRAE, Universite Paris-Saclay, Paris, France.  tome.daniel@orange.fr.&lt;/_author_adr&gt;&lt;_collection_scope&gt;SCIE&lt;/_collection_scope&gt;&lt;_created&gt;65752547&lt;/_created&gt;&lt;_date&gt;2021-06-23&lt;/_date&gt;&lt;_date_display&gt;2021 Jun 23&lt;/_date_display&gt;&lt;_db_updated&gt;PubMed&lt;/_db_updated&gt;&lt;_doi&gt;10.1038/s41387-021-00164-1&lt;/_doi&gt;&lt;_impact_factor&gt;   4.725&lt;/_impact_factor&gt;&lt;_isbn&gt;2044-4052 (Electronic); 2044-4052 (Linking)&lt;/_isbn&gt;&lt;_issue&gt;1&lt;/_issue&gt;&lt;_journal&gt;Nutr Diabetes&lt;/_journal&gt;&lt;_language&gt;eng&lt;/_language&gt;&lt;_modified&gt;65752547&lt;/_modified&gt;&lt;_pages&gt;20&lt;/_pages&gt;&lt;_subject_headings&gt;Amino Acids/*metabolism; Animals; Anti-Infective Agents/therapeutic use; Arginine/metabolism; Humans; *Immunity, Innate; Infections/metabolism/*therapy; Inflammation/metabolism; Nitric Oxide Synthase Type II/metabolism; Signal Transduction; T-Lymphocytes/metabolism; TOR Serine-Threonine Kinases/metabolism; Virus Replication&lt;/_subject_headings&gt;&lt;_tertiary_title&gt;Nutrition &amp;amp; diabetes&lt;/_tertiary_title&gt;&lt;_type_work&gt;Journal Article; Review&lt;/_type_work&gt;&lt;_url&gt;http://www.ncbi.nlm.nih.gov/entrez/query.fcgi?cmd=Retrieve&amp;amp;db=pubmed&amp;amp;dopt=Abstract&amp;amp;list_uids=34168115&amp;amp;query_hl=1&lt;/_url&gt;&lt;_volume&gt;11&lt;/_volume&gt;&lt;/Details&gt;&lt;Extra&gt;&lt;DBUID&gt;{F96A950B-833F-4880-A151-76DA2D6A2879}&lt;/DBUID&gt;&lt;/Extra&gt;&lt;/Item&gt;&lt;/References&gt;&lt;/Group&gt;&lt;/Citation&gt;_x000a_"/>
    <w:docVar w:name="NE.Ref{47443BFC-3C23-4CDF-A639-3A7954F17B19}" w:val=" ADDIN NE.Ref.{47443BFC-3C23-4CDF-A639-3A7954F17B19}&lt;Citation&gt;&lt;Group&gt;&lt;References&gt;&lt;Item&gt;&lt;ID&gt;6768&lt;/ID&gt;&lt;UID&gt;{A6A85848-5105-4AE3-9F00-AD087999FE96}&lt;/UID&gt;&lt;Title&gt;Glutamine mitigates murine burn sepsis by supporting macrophage M2 polarization  through repressing the SIRT5-mediated desuccinylation of pyruvate dehydrogenase&lt;/Title&gt;&lt;Template&gt;Journal Article&lt;/Template&gt;&lt;Star&gt;0&lt;/Star&gt;&lt;Tag&gt;0&lt;/Tag&gt;&lt;Author&gt;Zhu, Y; Chen, X; Lu, Y; Xia, L; Fan, S; Huang, Q; Liu, X; Peng, X&lt;/Author&gt;&lt;Year&gt;2022&lt;/Year&gt;&lt;Details&gt;&lt;_accession_num&gt;36601059&lt;/_accession_num&gt;&lt;_author_adr&gt;Clinical Medical Research Center, Southwest Hospital, Third Military Medical  University (Army Medical University), Chongqing, 400038, China.; Clinical Medical Research Center, Southwest Hospital, Third Military Medical  University (Army Medical University), Chongqing, 400038, China.; Clinical Medical Research Center, Southwest Hospital, Third Military Medical  University (Army Medical University), Chongqing, 400038, China.; Clinical Medical Research Center, Southwest Hospital, Third Military Medical  University (Army Medical University), Chongqing, 400038, China.; Clinical Medical Research Center, Southwest Hospital, Third Military Medical  University (Army Medical University), Chongqing, 400038, China.; Clinical Medical Research Center, Southwest Hospital, Third Military Medical  University (Army Medical University), Chongqing, 400038, China.; Clinical Medical Research Center, Southwest Hospital, Third Military Medical  University (Army Medical University), Chongqing, 400038, China.; Clinical Medical Research Center, Southwest Hospital, Third Military Medical  University (Army Medical University), Chongqing, 400038, China.; State Key Laboratory of Trauma, Burns and Combined Injury, Southwest Hospital,  Third Military Medical University (Army Medical University), Chongqing, 400038,  China.&lt;/_author_adr&gt;&lt;_created&gt;65752548&lt;/_created&gt;&lt;_date&gt;2022-01-20&lt;/_date&gt;&lt;_date_display&gt;2022&lt;/_date_display&gt;&lt;_db_updated&gt;PubMed&lt;/_db_updated&gt;&lt;_doi&gt;10.1093/burnst/tkac041&lt;/_doi&gt;&lt;_impact_factor&gt;   5.711&lt;/_impact_factor&gt;&lt;_isbn&gt;2321-3868 (Print); 2321-3876 (Electronic); 2321-3868 (Linking)&lt;/_isbn&gt;&lt;_journal&gt;Burns Trauma&lt;/_journal&gt;&lt;_keywords&gt;Burn, Sepsis; Desuccinylation; Glutamine; Macrophages polarization; PDH; SIRT5&lt;/_keywords&gt;&lt;_language&gt;eng&lt;/_language&gt;&lt;_modified&gt;65752549&lt;/_modified&gt;&lt;_ori_publication&gt;(c) The Author(s) 2022. Published by Oxford University Press.&lt;/_ori_publication&gt;&lt;_pages&gt;tkac041&lt;/_pages&gt;&lt;_tertiary_title&gt;Burns &amp;amp; trauma&lt;/_tertiary_title&gt;&lt;_type_work&gt;Journal Article&lt;/_type_work&gt;&lt;_url&gt;http://www.ncbi.nlm.nih.gov/entrez/query.fcgi?cmd=Retrieve&amp;amp;db=pubmed&amp;amp;dopt=Abstract&amp;amp;list_uids=36601059&amp;amp;query_hl=1&lt;/_url&gt;&lt;_volume&gt;10&lt;/_volume&gt;&lt;/Details&gt;&lt;Extra&gt;&lt;DBUID&gt;{F96A950B-833F-4880-A151-76DA2D6A2879}&lt;/DBUID&gt;&lt;/Extra&gt;&lt;/Item&gt;&lt;/References&gt;&lt;/Group&gt;&lt;/Citation&gt;_x000a_"/>
    <w:docVar w:name="NE.Ref{4FC23D36-30F1-4775-BC4C-97AD8EBDC70C}" w:val=" ADDIN NE.Ref.{4FC23D36-30F1-4775-BC4C-97AD8EBDC70C}&lt;Citation&gt;&lt;Group&gt;&lt;References&gt;&lt;Item&gt;&lt;ID&gt;6760&lt;/ID&gt;&lt;UID&gt;{5F753E52-B082-4B05-A2B8-FE9E2D313A37}&lt;/UID&gt;&lt;Title&gt;Surviving Sepsis Campaign International Guidelines for the Management of Septic  Shock and Sepsis-Associated Organ Dysfunction in Children&lt;/Title&gt;&lt;Template&gt;Journal Article&lt;/Template&gt;&lt;Star&gt;0&lt;/Star&gt;&lt;Tag&gt;0&lt;/Tag&gt;&lt;Author&gt;Weiss, S L; Peters, M J; Alhazzani, W; Agus, MSD; Flori, H R; Inwald, D P; Nadel, S; Schlapbach, L J; Tasker, R C; Argent, A C; Brierley, J; Carcillo, J; Carrol, E D; Carroll, C L; Cheifetz, I M; Choong, K; Cies, J J; Cruz, A T; De Luca, D; Deep, A; Faust, S N; De Oliveira, C F; Hall, M W; Ishimine, P; Javouhey, E; Joosten, KFM; Joshi, P; Karam, O; Kneyber, MCJ; Lemson, J; MacLaren, G; Mehta, N M; Moller, M H; Newth, CJL; Nguyen, T C; Nishisaki, A; Nunnally, M E; Parker, M M; Paul, R M; Randolph, A G; Ranjit, S; Romer, L H; Scott, H F; Tume, L N; Verger, J T; Williams, E A; Wolf, J; Wong, H R; Zimmerman, J J; Kissoon, N; Tissieres, P&lt;/Author&gt;&lt;Year&gt;2020&lt;/Year&gt;&lt;Details&gt;&lt;_accession_num&gt;32032273&lt;/_accession_num&gt;&lt;_author_adr&gt;Children&amp;apos;s Hospital of Philadelphia, University of Pennsylvania Perelman School  of Medicine, Philadelphia, PA.; Great Ormond Street Hospital for Children, London, United Kingdom.; Department of Medicine, Division of Critical Care, and Department of Health  Research Methods and Impact, McMaster University, Hamilton, ON, Canada.; Department of Pediatrics (to Dr. Agus), Department of Anesthesiology, Critical  Care and Pain (to Drs. Mehta and Randolph), Boston Children&amp;apos;s Hospital and  Harvard Medical School, Boston, MA.; C.S. Mott Children&amp;apos;s Hospital, Ann Arbor, MI.; St. Mary&amp;apos;s Hospital, London, United Kingdom.; St. Mary&amp;apos;s Hospital, London, United Kingdom.; Paediatric Critical Care Research Group, The University of Queensland and  Queensland Children&amp;apos;s Hospital, Brisbane, QLD, Australia.; Department of Pediatrics (to Dr. Agus), Department of Anesthesiology, Critical  Care and Pain (to Drs. Mehta and Randolph), Boston Children&amp;apos;s Hospital and  Harvard Medical School, Boston, MA.; Red Cross War Memorial Children&amp;apos;s Hospital and University of Cape Town, Cape  Town, South Africa.; Great Ormond Street Hospital for Children, London, United Kingdom.; Children&amp;apos;s Hospital of Pittsburgh, Pittsburgh, PA.; University of Liverpool, Liverpool, United Kingdom.; Connecticut Children&amp;apos;s Medical Center, Hartford, CT.; Duke Children&amp;apos;s, Durham, NC.; Department of Medicine, Division of Critical Care, and Department of Health  Research Methods and Impact, McMaster University, Hamilton, ON, Canada.; St. Christopher&amp;apos;s Hospital for Children, Philadelphia, PA.; Texas Children&amp;apos;s Hospital, Houston, TX.; Paris South University Hospitals-Assistance Publique Hopitaux de Paris, Paris,  France.; Physiopathology and Therapeutic Innovation Unit-INSERM U999, South Paris-Saclay  University, Paris, France.; King&amp;apos;s College Hospital, London, United Kingdom.; University Hospital Southampton NHS Foundation Trust and University of  Southampton, Southampton, United Kingdom.; The Latin America Sepsis Institute, Sao Paulo, Brazil.; Nationwide Children&amp;apos;s Hospital, Columbus, OH.; Rady Children&amp;apos;s Hospital, San Diego, CA.; Centre Hospitalier Universitaire de Lyon, Lyon, France.; Erasmus University Medical Center, Rotterdam, The Netherlands.; All India Institute of Medical Sciences, New Delhi, India.; Children&amp;apos;s Hospital of Richmond at VCU, Richmond, VA.; Beatrix Children&amp;apos;s Hospital, Groningen, The Netherlands.; Radboud University Medical Centre, Nijmegen, The Netherlands.; National University Health System, Singapore, and Royal Children&amp;apos;s Hospital,  Melbourne, VIC, Australia.; Department of Pediatrics (to Dr. Agus), Department of Anesthesiology, Critical  Care and Pain (to Drs. Mehta and Randolph), Boston Children&amp;apos;s Hospital and  Harvard Medical School, Boston, MA.; Rigshospitalet Hospital, Copenhagen, Denmark.; Children&amp;apos;s Hospital of Los Angeles, Los Angeles, CA.; Texas Children&amp;apos;s Hospital, Houston, TX.; Children&amp;apos;s Hospital of Philadelphia, University of Pennsylvania Perelman School  of Medicine, Philadelphia, PA.; New York University Langone Medical Center, New York, NY.; Stony Brook University, Stony Brook, NY.; Advocate Children&amp;apos;s Hospital, Park Ridge, IL.; Department of Pediatrics (to Dr. Agus), Department of Anesthesiology, Critical  Care and Pain (to Drs. Mehta and Randolph), Boston Children&amp;apos;s Hospital and  Harvard Medical School, Boston, MA.; Apollo Hospitals, Chennai, India.; Johns Hopkins Children&amp;apos;s Center, Baltimore, MD.; Children&amp;apos;s Hospital Colorado, Aurora, CO.; University of the West of England, Bristol, United Kingdom.; Children&amp;apos;s Hospital of Philadelphia, University of Pennsylvania Perelman School  of Medicine, Philadelphia, PA.; College of Nursing, University of Iowa, Iowa City, IA.; Texas Children&amp;apos;s Hospital, Houston, TX.; St. Jude Children&amp;apos;s Research Hospital, Memphis, TN.; Cincinnati Children&amp;apos;s Hospital, Cincinnati, OH.; Seattle Children&amp;apos;s Hospital, Seattle, WA.; British Columbia Children&amp;apos;s Hospital, Vancouver, British Columbia, Canada.; Paris South University Hospitals-Assistance Publique Hopitaux de Paris, Paris,  France.; Institute of Integrative Biology of the Cell-CNRS, CEA, Univ Paris Sud,  Gif-sur-Yvette, France.&lt;/_author_adr&gt;&lt;_created&gt;65752499&lt;/_created&gt;&lt;_date&gt;2020-02-01&lt;/_date&gt;&lt;_date_display&gt;2020 Feb&lt;/_date_display&gt;&lt;_db_updated&gt;PubMed&lt;/_db_updated&gt;&lt;_doi&gt;10.1097/PCC.0000000000002198&lt;/_doi&gt;&lt;_impact_factor&gt;   3.971&lt;/_impact_factor&gt;&lt;_isbn&gt;1529-7535 (Print); 1529-7535 (Linking)&lt;/_isbn&gt;&lt;_issue&gt;2&lt;/_issue&gt;&lt;_journal&gt;Pediatr Crit Care Med&lt;/_journal&gt;&lt;_language&gt;eng&lt;/_language&gt;&lt;_modified&gt;65752499&lt;/_modified&gt;&lt;_pages&gt;e52-e106&lt;/_pages&gt;&lt;_subject_headings&gt;Adolescent; Anti-Bacterial Agents/therapeutic use; Child; Child, Preschool; Evidence-Based Medicine; Fluid Therapy/methods; Hemodynamics; Humans; Infant; Infant, Newborn; Lactic Acid/blood; Multiple Organ Failure/diagnosis/etiology/*therapy; Pediatrics/*standards; Respiration, Artificial/methods; Resuscitation/methods; Sepsis/complications/diagnosis/*therapy; Shock, Septic/diagnosis/*therapy; Vasoconstrictor Agents/therapeutic use&lt;/_subject_headings&gt;&lt;_tertiary_title&gt;Pediatric critical care medicine : a journal of the Society of Critical Care _x000d__x000a_      Medicine and the World Federation of Pediatric Intensive and Critical Care _x000d__x000a_      Societies&lt;/_tertiary_title&gt;&lt;_type_work&gt;Journal Article; Practice Guideline&lt;/_type_work&gt;&lt;_url&gt;http://www.ncbi.nlm.nih.gov/entrez/query.fcgi?cmd=Retrieve&amp;amp;db=pubmed&amp;amp;dopt=Abstract&amp;amp;list_uids=32032273&amp;amp;query_hl=1&lt;/_url&gt;&lt;_volume&gt;21&lt;/_volume&gt;&lt;/Details&gt;&lt;Extra&gt;&lt;DBUID&gt;{F96A950B-833F-4880-A151-76DA2D6A2879}&lt;/DBUID&gt;&lt;/Extra&gt;&lt;/Item&gt;&lt;/References&gt;&lt;/Group&gt;&lt;Group&gt;&lt;References&gt;&lt;Item&gt;&lt;ID&gt;6746&lt;/ID&gt;&lt;UID&gt;{7A8336A3-348E-4B83-BB13-4BADB05A16A9}&lt;/UID&gt;&lt;Title&gt;Surviving Sepsis Campaign: Research Priorities for Sepsis and Septic Shock&lt;/Title&gt;&lt;Template&gt;Journal Article&lt;/Template&gt;&lt;Star&gt;0&lt;/Star&gt;&lt;Tag&gt;0&lt;/Tag&gt;&lt;Author&gt;Coopersmith, C M; De Backer, D; Deutschman, C S; Ferrer, R; Lat, I; Machado, F R; Martin, G S; Martin-Loeches, I; Nunnally, M E; Antonelli, M; Evans, L E; Hellman, J; Jog, S; Kesecioglu, J; Levy, M M; Rhodes, A&lt;/Author&gt;&lt;Year&gt;2018&lt;/Year&gt;&lt;Details&gt;&lt;_accession_num&gt;29957716&lt;/_accession_num&gt;&lt;_author_adr&gt;Department of Surgery and Emory Critical Care Center, Emory University, Atlanta,  GA, USA.; Chirec Hospitals, Universite Libre de Bruxelles, Brussels, Belgium.; Department of Pediatrics, Cohen Children&amp;apos;s Medical center, Northwell Health, New  Hyde Park, NY and the Feinstein Institute for Medical Research/Elmezzi Graduate  School of Molecular Medicine, Manhasset, NY, USA.; Intensive Care Department, Vall d&amp;apos;Hebron University Hospital.; Rush University Medical Center, Chicago, IL, USA.; Universidade Federal de Sao Paulo, Sao Paulo, Brazil.; Department of Medicine, Division of Pulmonary, Allergy, Critical Care and Sleep  Medicine, Grady Memorial Hospital and Emory Critical Care Center, Emory  University, Atlanta, GA, USA.; Multidisciplinary Intensive Care Research Organization (MICRO), Department of  Intensive Care Medicine, St. James&amp;apos;s University Hospital, Trinity Centre for  Health Sciences, Dublin, Ireland.; New York University School of Medicine, New York, NY, USA.; Department of Anesthesiology and Intensive Care Medicine, Fondazione Policlinico  Universitario A.Gemelli-Universita Cattolica del Sacro Cuore, Rome, Italy.; Department of Medicine, Division of Pulmonary, Critical Care and Sleep Medicine,  Bellevue Hospital Center and New York University School of Medicine, New York,  NY, USA.; University of California, San Francisco, San Francisco, California, USA.; Consultant Intensivist, Deenanath Mangeshkar Hospital and Research center, Pune,  India.; Department of Intensive Care Medicine, University Medical Center Utrecht, Utrecht  University, the Netherlands.; Alpert Medical School at Brown University, Rhode Island Hospital, Providence,  Rhode Island, USA.; Department of Adult Critical Care, St. George&amp;apos;s University Hospitals NHS  Foundation Trust and St George&amp;apos;s University of London, London, UK.&lt;/_author_adr&gt;&lt;_collection_scope&gt;SCI;SCIE&lt;/_collection_scope&gt;&lt;_created&gt;65751695&lt;/_created&gt;&lt;_date&gt;2018-08-01&lt;/_date&gt;&lt;_date_display&gt;2018 Aug&lt;/_date_display&gt;&lt;_db_updated&gt;PubMed&lt;/_db_updated&gt;&lt;_doi&gt;10.1097/CCM.0000000000003225&lt;/_doi&gt;&lt;_impact_factor&gt;   9.296&lt;/_impact_factor&gt;&lt;_isbn&gt;1530-0293 (Electronic); 0090-3493 (Linking)&lt;/_isbn&gt;&lt;_issue&gt;8&lt;/_issue&gt;&lt;_journal&gt;Crit Care Med&lt;/_journal&gt;&lt;_language&gt;eng&lt;/_language&gt;&lt;_modified&gt;65751696&lt;/_modified&gt;&lt;_pages&gt;1334-1356&lt;/_pages&gt;&lt;_subject_headings&gt;Anti-Bacterial Agents/pharmacokinetics/therapeutic use; Antiviral Agents/pharmacokinetics/therapeutic use; Biomarkers; Critical Care/*organization &amp;amp; administration/standards; Diagnostic Techniques and Procedures/instrumentation; Evidence-Based Medicine; Fluid Therapy/methods; Global Health; Health Knowledge, Attitudes, Practice; Humans; Nutritional Support/methods; Plasmapheresis/methods; Precision Medicine/methods; Prognosis; Quality of Health Care; Research/*organization &amp;amp; administration; Respiration, Artificial/methods; Sepsis/diagnosis/drug therapy/*therapy; Severity of Illness Index; Shock, Septic/therapy; Vasoconstrictor Agents/administration &amp;amp; dosage&lt;/_subject_headings&gt;&lt;_tertiary_title&gt;Critical care medicine&lt;/_tertiary_title&gt;&lt;_type_work&gt;Journal Article&lt;/_type_work&gt;&lt;_url&gt;http://www.ncbi.nlm.nih.gov/entrez/query.fcgi?cmd=Retrieve&amp;amp;db=pubmed&amp;amp;dopt=Abstract&amp;amp;list_uids=29957716&amp;amp;query_hl=1&lt;/_url&gt;&lt;_volume&gt;46&lt;/_volume&gt;&lt;/Details&gt;&lt;Extra&gt;&lt;DBUID&gt;{F96A950B-833F-4880-A151-76DA2D6A2879}&lt;/DBUID&gt;&lt;/Extra&gt;&lt;/Item&gt;&lt;/References&gt;&lt;/Group&gt;&lt;/Citation&gt;_x000a_"/>
    <w:docVar w:name="NE.Ref{512E9478-90C1-4B2F-938E-0B3C80589EB1}" w:val=" ADDIN NE.Ref.{512E9478-90C1-4B2F-938E-0B3C80589EB1}&lt;Citation&gt;&lt;Group&gt;&lt;References&gt;&lt;Item&gt;&lt;ID&gt;589&lt;/ID&gt;&lt;UID&gt;{E56B1DBE-08F9-44A0-91CD-EFFD0C1D4B31}&lt;/UID&gt;&lt;Title&gt;Prediction of biomarkers of therapeutic effects of patients with lung  adenocarcinoma treated with gefitinib based on progression-free-survival by  metabolomic fingerprinting&lt;/Title&gt;&lt;Template&gt;Journal Article&lt;/Template&gt;&lt;Star&gt;0&lt;/Star&gt;&lt;Tag&gt;0&lt;/Tag&gt;&lt;Author&gt;Zhuang, J; Tang, X; &amp;quot;Du Z&amp;quot;; Yang, M; Zhou, Y&lt;/Author&gt;&lt;Year&gt;2016&lt;/Year&gt;&lt;Details&gt;&lt;_accession_num&gt;27591660&lt;/_accession_num&gt;&lt;_author_adr&gt;Analysisand Testing Center, Beijing University of Chemical Technology, Beijing  100029, China.; Analysisand Testing Center, Beijing University of Chemical Technology, Beijing  100029, China; Shandong Provincial Key Laboratory of Radiation Oncology, Cancer  Research Center, Shandong Cancer Hospital affiliated to Shandong University,  Shandong Academy of Medical Sciences, Jinan 250117, Shandong Province, China.; Analysisand Testing Center, Beijing University of Chemical Technology, Beijing  100029, China. Electronic address: duzx@mail.buct.edu.cn.; Shandong Provincial Key Laboratory of Radiation Oncology, Cancer Research Center,  Shandong Cancer Hospital affiliated to Shandong University, Shandong Academy of  Medical Sciences, Jinan 250117, Shandong Province, China. Electronic address:  aaryoung@yeah.net.; Analysisand Testing Center, Beijing University of Chemical Technology, Beijing  100029, China.&lt;/_author_adr&gt;&lt;_collection_scope&gt;SCIE;EI&lt;/_collection_scope&gt;&lt;_created&gt;65943227&lt;/_created&gt;&lt;_date&gt;2016-11-01&lt;/_date&gt;&lt;_date_display&gt;2016 Nov 1&lt;/_date_display&gt;&lt;_doi&gt;10.1016/j.talanta.2016.08.007&lt;/_doi&gt;&lt;_impact_factor&gt;   6.100&lt;/_impact_factor&gt;&lt;_isbn&gt;1873-3573 (Electronic); 0039-9140 (Linking)&lt;/_isbn&gt;&lt;_journal&gt;Talanta&lt;/_journal&gt;&lt;_keywords&gt;Biomarker; Gefitinib; Lung cancer; Metabolomics; Ultra-high performance liquid chromatography-quadrupole-time of flight mass _x000d__x000a_      spectrometry (UHPLC-Q-TOF MS)&lt;/_keywords&gt;&lt;_language&gt;eng&lt;/_language&gt;&lt;_modified&gt;65943227&lt;/_modified&gt;&lt;_ori_publication&gt;Copyright © 2016 Elsevier B.V. All rights reserved.&lt;/_ori_publication&gt;&lt;_pages&gt;636-644&lt;/_pages&gt;&lt;_social_category&gt;分析化学(1)&lt;/_social_category&gt;&lt;_subject_headings&gt;Adenocarcinoma/*blood/drug therapy; Adenocarcinoma of Lung; Adult; Aged; Aged, 80 and over; Antineoplastic Agents/*therapeutic use; Biomarkers, Tumor/*blood; Carcinoma, Non-Small-Cell Lung/*blood/drug therapy; Chromatography, High Pressure Liquid; Disease-Free Survival; Female; Gefitinib; Humans; Least-Squares Analysis; Lung Neoplasms/*blood/drug therapy; Male; Mass Spectrometry; Metabolomics; Middle Aged; Protein Kinase Inhibitors/*therapeutic use; Quinazolines/*therapeutic use; Treatment Outcome&lt;/_subject_headings&gt;&lt;_tertiary_title&gt;Talanta&lt;/_tertiary_title&gt;&lt;_type_work&gt;Clinical Trial; Journal Article&lt;/_type_work&gt;&lt;_url&gt;http://www.ncbi.nlm.nih.gov/entrez/query.fcgi?cmd=Retrieve&amp;amp;db=pubmed&amp;amp;dopt=Abstract&amp;amp;list_uids=27591660&amp;amp;query_hl=1&lt;/_url&gt;&lt;_volume&gt;160&lt;/_volume&gt;&lt;/Details&gt;&lt;Extra&gt;&lt;DBUID&gt;{03752FAB-B361-4F66-989B-C711D9502F78}&lt;/DBUID&gt;&lt;/Extra&gt;&lt;/Item&gt;&lt;/References&gt;&lt;/Group&gt;&lt;Group&gt;&lt;References&gt;&lt;Item&gt;&lt;ID&gt;590&lt;/ID&gt;&lt;UID&gt;{B030B322-EE55-4B71-AF1F-DA7209128A19}&lt;/UID&gt;&lt;Title&gt;Metabolomics study of ribavirin in the treatment of orthotopic lung cancer based  on UPLC-Q-TOF/MS&lt;/Title&gt;&lt;Template&gt;Journal Article&lt;/Template&gt;&lt;Star&gt;0&lt;/Star&gt;&lt;Tag&gt;0&lt;/Tag&gt;&lt;Author&gt;Zhu, S; Han, X; Yang, R; Tian, Y; Zhang, Q; Wu, Y; Dong, S; Zhang, B&lt;/Author&gt;&lt;Year&gt;2023&lt;/Year&gt;&lt;Details&gt;&lt;_accession_num&gt;36529159&lt;/_accession_num&gt;&lt;_author_adr&gt;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Electronic address: dongshh@lzu.edu.cn.; Department of Pharmacology, School of Basic Medical Sciences, Lanzhou University,  Lanzhou, 730000, China. Electronic address: zhangbl@lzu.edu.cn.&lt;/_author_adr&gt;&lt;_date_display&gt;2023 Jan 25&lt;/_date_display&gt;&lt;_date&gt;2023-01-25&lt;/_date&gt;&lt;_doi&gt;10.1016/j.cbi.2022.110305&lt;/_doi&gt;&lt;_isbn&gt;1872-7786 (Electronic); 0009-2797 (Linking)&lt;/_isbn&gt;&lt;_journal&gt;Chem Biol Interact&lt;/_journal&gt;&lt;_keywords&gt;Lung cancer; Metabolic pathway; Metabolites; Metabolomics; Ribavirin&lt;/_keywords&gt;&lt;_language&gt;eng&lt;/_language&gt;&lt;_ori_publication&gt;Copyright © 2022 Elsevier B.V. All rights reserved.&lt;/_ori_publication&gt;&lt;_pages&gt;110305&lt;/_pages&gt;&lt;_subject_headings&gt;Mice; Animals; *Ribavirin/pharmacology/therapeutic use; Arachidonic Acid; Linoleic Acid; Metabolomics/methods; *Lung Neoplasms/drug therapy; Chromatography, High Pressure Liquid/methods; Niacinamide; Taurine; Biomarkers&lt;/_subject_headings&gt;&lt;_tertiary_title&gt;Chemico-biological interactions&lt;/_tertiary_title&gt;&lt;_type_work&gt;Journal Article&lt;/_type_work&gt;&lt;_url&gt;http://www.ncbi.nlm.nih.gov/entrez/query.fcgi?cmd=Retrieve&amp;amp;db=pubmed&amp;amp;dopt=Abstract&amp;amp;list_uids=36529159&amp;amp;query_hl=1&lt;/_url&gt;&lt;_volume&gt;370&lt;/_volume&gt;&lt;_created&gt;65943230&lt;/_created&gt;&lt;_modified&gt;65943230&lt;/_modified&gt;&lt;_impact_factor&gt;   5.100&lt;/_impact_factor&gt;&lt;_social_category&gt;生化与分子生物学(2) &amp;amp; 药学(2) &amp;amp; 毒理学(1)&lt;/_social_category&gt;&lt;_collection_scope&gt;SCIE&lt;/_collection_scope&gt;&lt;/Details&gt;&lt;Extra&gt;&lt;DBUID&gt;{03752FAB-B361-4F66-989B-C711D9502F78}&lt;/DBUID&gt;&lt;/Extra&gt;&lt;/Item&gt;&lt;/References&gt;&lt;/Group&gt;&lt;/Citation&gt;_x000a_"/>
    <w:docVar w:name="NE.Ref{5C7FD737-F080-4CAB-B47C-9F68C5C4CC1D}" w:val=" ADDIN NE.Ref.{5C7FD737-F080-4CAB-B47C-9F68C5C4CC1D}&lt;Citation&gt;&lt;Group&gt;&lt;References&gt;&lt;Item&gt;&lt;ID&gt;6729&lt;/ID&gt;&lt;UID&gt;{E8A28B41-B309-4D24-B78B-D098FE3DB4A1}&lt;/UID&gt;&lt;Title&gt;Distributions of cardiopulmonary variables in pediatric survivors and  nonsurvivors of septic shock&lt;/Title&gt;&lt;Template&gt;Journal Article&lt;/Template&gt;&lt;Star&gt;0&lt;/Star&gt;&lt;Tag&gt;0&lt;/Tag&gt;&lt;Author&gt;Pollack, M M; Fields, A I; Ruttimann, U E&lt;/Author&gt;&lt;Year&gt;1985&lt;/Year&gt;&lt;Details&gt;&lt;_accession_num&gt;3995997&lt;/_accession_num&gt;&lt;_collection_scope&gt;SCI;SCIE&lt;/_collection_scope&gt;&lt;_created&gt;65751684&lt;/_created&gt;&lt;_date&gt;1985-06-01&lt;/_date&gt;&lt;_date_display&gt;1985 Jun&lt;/_date_display&gt;&lt;_db_updated&gt;PubMed&lt;/_db_updated&gt;&lt;_doi&gt;10.1097/00003246-198506000-00002&lt;/_doi&gt;&lt;_impact_factor&gt;   9.296&lt;/_impact_factor&gt;&lt;_isbn&gt;0090-3493 (Print); 0090-3493 (Linking)&lt;/_isbn&gt;&lt;_issue&gt;6&lt;/_issue&gt;&lt;_journal&gt;Crit Care Med&lt;/_journal&gt;&lt;_language&gt;eng&lt;/_language&gt;&lt;_modified&gt;65751684&lt;/_modified&gt;&lt;_pages&gt;454-9&lt;/_pages&gt;&lt;_subject_headings&gt;Adolescent; Blood Pressure; Cardiac Output; Child; Child, Preschool; *Hemodynamics; Humans; Hydrogen-Ion Concentration; Infant; Oxygen Consumption; Prognosis; Pulmonary Wedge Pressure; Resuscitation; Shock, Septic/*blood/microbiology/mortality&lt;/_subject_headings&gt;&lt;_tertiary_title&gt;Critical care medicine&lt;/_tertiary_title&gt;&lt;_type_work&gt;Journal Article&lt;/_type_work&gt;&lt;_url&gt;http://www.ncbi.nlm.nih.gov/entrez/query.fcgi?cmd=Retrieve&amp;amp;db=pubmed&amp;amp;dopt=Abstract&amp;amp;list_uids=3995997&amp;amp;query_hl=1&lt;/_url&gt;&lt;_volume&gt;13&lt;/_volume&gt;&lt;/Details&gt;&lt;Extra&gt;&lt;DBUID&gt;{F96A950B-833F-4880-A151-76DA2D6A2879}&lt;/DBUID&gt;&lt;/Extra&gt;&lt;/Item&gt;&lt;/References&gt;&lt;/Group&gt;&lt;Group&gt;&lt;References&gt;&lt;Item&gt;&lt;ID&gt;545&lt;/ID&gt;&lt;UID&gt;{70C15B93-DE0F-4A91-A685-D3BE45F9B065}&lt;/UID&gt;&lt;Title&gt;Development and Validation of the Phoenix Criteria for Pediatric Sepsis and  Septic Shock&lt;/Title&gt;&lt;Template&gt;Journal Article&lt;/Template&gt;&lt;Star&gt;0&lt;/Star&gt;&lt;Tag&gt;0&lt;/Tag&gt;&lt;Author&gt;Sanchez-Pinto, L N; Bennett, T D; DeWitt, P E; Russell, S; Rebull, M N; Martin, B; Akech, S; Albers, D J; Alpern, E R; Balamuth, F; Bembea, M; Chisti, M J; Evans, I; Horvat, C M; Jaramillo-Bustamante, J C; Kissoon, N; Menon, K; Scott, H F; Weiss, S L; Wiens, M O; Zimmerman, J J; Argent, A C; Sorce, L R; Schlapbach, L J; Watson, R S; Biban, P; Carrol, E; Chiotos, K; Flauzino, De Oliveira C; Hall, M W; Inwald, D; Ishimine, P; Levin, M; Lodha, R; Nadel, S; Nakagawa, S; Peters, M J; Randolph, A G; Ranjit, S; Souza, D C; Tissieres, P; Wynn, J L&lt;/Author&gt;&lt;Year&gt;2024&lt;/Year&gt;&lt;Details&gt;&lt;_accession_num&gt;38245897&lt;/_accession_num&gt;&lt;_author_adr&gt;Departments of Pediatrics (Critical Care) and Preventive Medicine (Health and  Biomedical Informatics), Northwestern University Feinberg School of Medicine, and  Ann and Robert H. Lurie Children&amp;apos;s Hospital of Chicago, Chicago, Illinois.; Departments of Biomedical Informatics and Pediatrics (Critical Care Medicine),  University of Colorado School of Medicine, and Children&amp;apos;s Hospital Colorado,  Aurora.; Department of Biomedical Informatics, University of Colorado School of Medicine,  Aurora.; Department of Biomedical Informatics, University of Colorado School of Medicine,  Aurora.; Department of Biomedical Informatics, University of Colorado School of Medicine,  Aurora.; Departments of Biomedical Informatics and Pediatrics (Critical Care Medicine),  University of Colorado School of Medicine, and Children&amp;apos;s Hospital Colorado,  Aurora.; Kenya Medical Research Institute (KEMRI)-Wellcome Trust Research Programme,  Nairobi, Kenya.; Departments of Biomedical Informatics, Bioengineering, Biostatistics, and  Informatics, University of Colorado School of Medicine, Aurora.; Department of Biomedical Informatics, Columbia University, New York, New York.; Division of Emergency Medicine, Department of Pediatrics, Ann and Robert H. Lurie  Children&amp;apos;s Hospital of Chicago, and Northwestern University Feinberg School of  Medicine, Chicago, Illinois.; Department of Pediatrics, University of Pennsylvania, Perelman School of Medicine  and Division of Emergency Medicine, Children&amp;apos;s Hospital of Philadelphia,  Philadelphia.; Department of Anesthesiology and Critical Care Medicine, Johns Hopkins University  School of Medicine, Baltimore, Maryland.; Intensive Care Unit, Dhaka Hospital, Nutrition Research Division, International  Centre for Diarrhoeal Disease Research, Dhaka, Bangladesh.; Clinical Research, Investigation, and Systems Modeling of Acute Illness (CRISMA)  Center, Department of Critical Care Medicine, University of Pittsburgh School of  Medicine, Pittsburgh, Pennsylvania.; Clinical Research, Investigation, and Systems Modeling of Acute Illness (CRISMA)  Center, Department of Critical Care Medicine, University of Pittsburgh School of  Medicine, Pittsburgh, Pennsylvania.; Pediatric Intensive Care Unit, Hospital General de Medellín Luz Castro de  Gutiérrez and Hospital Pablo Tobón Uribe, and Red Colaborativa Pediátrica de  Latinoamérica (LARed Network), Medellín, Colombia.; Department of Pediatrics, University of British Columbia, Vancouver, Canada.; Department of Pediatrics, Children&amp;apos;s Hospital of Eastern Ontario and University  of Ottawa, Ottawa, Canada.; Department of Pediatrics (Pediatric Emergency Medicine), University of Colorado  School of Medicine, and Children&amp;apos;s Hospital Colorado, Aurora.; Division of Critical Care, Department of Pediatrics, Nemours Children&amp;apos;s Health,  Wilmington, Delaware.; Sidney Kimmel Medical College at Thomas Jefferson University, Philadelphia,  Pennsylvania.; Department of Anesthesiology, Pharmacology, and Therapeutics, Faculty of  Medicine, University of British Columbia, Vancouver, Canada.; Institute for Global Health, BC Children&amp;apos;s Hospital, Vancouver, British Columbia,  Canada.; Walimu, Kampala, Uganda.; Seattle Children&amp;apos;s Hospital and Department of Pediatrics, University of  Washington School of Medicine, Seattle.; Paediatrics and Child Health, University of Cape Town Faculty of Health Sciences,  Cape Town, South Africa.; Department of Pediatrics, Northwestern University Feinberg School of Medicine,  and Ann and Robert H. Lurie Children&amp;apos;s Hospital of Chicago, Chicago, Illinois.; Department of Intensive Care and Neonatology, Children&amp;apos;s Research Center,  University Children&amp;apos;s Hospital Zurich, University of Zurich, Zurich, Switzerland.; Child Health Research Centre, The University of Queensland, Brisbane, Australia.; Department of Pediatrics, University of Washington, and Center for Child Health,  Behavior, and Development and Pediatric Critical Care, Seattle Children&amp;apos;s  Hospital, Seattle.; Verona University Hospital, Verona, Italy.; University of Liverpool, Liverpool, England.; Children&amp;apos;s Hospital of Philadelphia, Philadelphia, Pennsylvania.; Associação de Medicina Intensiva Brasileira, São Paulo, Brazil.; Nationwide Children&amp;apos;s Hospital, Columbus, Ohio.; Addenbrooke&amp;apos;s Hospital, Cambridge University Hospital NHS Trust, Cambridge,  England.; University of California, San Diego School of Medicine, La Jolla.; Imperial College London, London, England.; All India Institute of Medical Sciences, New Delhi, India.; St Mary&amp;apos;s Hospital, London, England.; National Center for Child Health and Development, Tokyo, Japan.; University College London Great Ormond Street Institute of Child Health, London,  England.; Boston Children&amp;apos;s Hospital, Boston, Massachusetts.; Apollo Children&amp;apos;s Hospital, Chennai, India.; University Hospital of the University of São Paulo, Sao Paulo, Brazil.; Hôpital de Bicêtre, Paris, France.; University of Florida, Gainesville.&lt;/_author_adr&gt;&lt;_collection_scope&gt;SCIE&lt;/_collection_scope&gt;&lt;_created&gt;65480588&lt;/_created&gt;&lt;_date&gt;2024-02-27&lt;/_date&gt;&lt;_date_display&gt;2024 Feb 27&lt;/_date_display&gt;&lt;_doi&gt;10.1001/jama.2024.0196&lt;/_doi&gt;&lt;_impact_factor&gt; 120.700&lt;/_impact_factor&gt;&lt;_isbn&gt;1538-3598 (Electronic); 0098-7484 (Print); 0098-7484 (Linking)&lt;/_isbn&gt;&lt;_issue&gt;8&lt;/_issue&gt;&lt;_journal&gt;JAMA&lt;/_journal&gt;&lt;_language&gt;eng&lt;/_language&gt;&lt;_modified&gt;65480588&lt;/_modified&gt;&lt;_pages&gt;675-686&lt;/_pages&gt;&lt;_social_category&gt;医学：内科(1)&lt;/_social_category&gt;&lt;_subject_headings&gt;Humans; Child; *Shock, Septic/mortality; Multiple Organ Failure; Retrospective Studies; Organ Dysfunction Scores; *Sepsis/complications; Hospital Mortality&lt;/_subject_headings&gt;&lt;_tertiary_title&gt;JAMA&lt;/_tertiary_title&gt;&lt;_type_work&gt;Journal Article; Research Support, N.I.H., Extramural; Research Support, Non-U.S. Gov&amp;apos;t&lt;/_type_work&gt;&lt;_url&gt;http://www.ncbi.nlm.nih.gov/entrez/query.fcgi?cmd=Retrieve&amp;amp;db=pubmed&amp;amp;dopt=Abstract&amp;amp;list_uids=38245897&amp;amp;query_hl=1&lt;/_url&gt;&lt;_volume&gt;331&lt;/_volume&gt;&lt;/Details&gt;&lt;Extra/&gt;&lt;/Item&gt;&lt;/References&gt;&lt;/Group&gt;&lt;/Citation&gt;_x000a_"/>
    <w:docVar w:name="NE.Ref{5C846696-7C56-49AB-8977-9AEF6BA4AA7C}" w:val=" ADDIN NE.Ref.{5C846696-7C56-49AB-8977-9AEF6BA4AA7C}&lt;Citation&gt;&lt;Group&gt;&lt;References&gt;&lt;Item&gt;&lt;ID&gt;6732&lt;/ID&gt;&lt;UID&gt;{F32190E2-F580-46BA-8075-1292D1F6EBF8}&lt;/UID&gt;&lt;Title&gt;An epidemiologic survey of pediatric sepsis in regional hospitals in China&lt;/Title&gt;&lt;Template&gt;Journal Article&lt;/Template&gt;&lt;Star&gt;0&lt;/Star&gt;&lt;Tag&gt;0&lt;/Tag&gt;&lt;Author&gt;Wang, Y; Sun, B; Yue, H; Lin, X; Li, B; Yang, X; Shan, C; Fan, Y; Dong, M; Zhang, Y; Lin, W; Zuo, X; Su, P; Heng, Y; Xu, J; Kissoon, N&lt;/Author&gt;&lt;Year&gt;2014&lt;/Year&gt;&lt;Details&gt;&lt;_accession_num&gt;25226498&lt;/_accession_num&gt;&lt;_author_adr&gt;1Departments of Pediatrics and Pediatric Critical Care, Children&amp;apos;s Hospital of  Fudan University, Shanghai, China. 2Department of Pediatrics, Huai&amp;apos;an Maternity  and Children&amp;apos;s Hospital, Jiangsu, China. 3Department of Pediatrics, Huai&amp;apos;an First  People&amp;apos;s Hospital, Huai&amp;apos;an, Jiangsu, China. 4Department of Pediatrics, Huai&amp;apos;an  Second People&amp;apos;s Hospital, Huai&amp;apos;an, Jiangsu, China. 5Department of Pediatrics,  Huaiyin District Hospital, Huai&amp;apos;an, Jiangsu, China. 6Department of Pediatrics,  Chuzhou District Hospital, Huai&amp;apos;an, Jiangsu, China. 7Department of Pediatrics,  Xuyi County Hospital, Huai&amp;apos;an, Jiangsu, China. 8Department of Pediatrics, Xuyi  County Hospital for Traditional Chinese Medicine, Huai&amp;apos;an, Jiangsu, China.  9Department of Pediatrics, Lianshui County Hospital, Huai&amp;apos;an, Jiangsu, China.  10Department of Pediatrics, Lianshui County Hospital for Traditional Chinese  Medicine, Huai&amp;apos;an, Jiangsu, China. 11Department of Pediatrics, Jinhu County  Hospital, Huai&amp;apos;an, Jiangsu, China. 12Department of Pediatrics, Hongze County  Hospital, Huai&amp;apos;an, Jiangsu, China. 13Department of Pediatrics, University of  British-Columbia and BC Children&amp;apos;s Hospital, Vancouver, Canada.&lt;/_author_adr&gt;&lt;_created&gt;65751686&lt;/_created&gt;&lt;_date&gt;2014-11-01&lt;/_date&gt;&lt;_date_display&gt;2014 Nov&lt;/_date_display&gt;&lt;_db_updated&gt;PubMed&lt;/_db_updated&gt;&lt;_doi&gt;10.1097/PCC.0000000000000247&lt;/_doi&gt;&lt;_impact_factor&gt;   3.971&lt;/_impact_factor&gt;&lt;_isbn&gt;1529-7535 (Print); 1529-7535 (Linking)&lt;/_isbn&gt;&lt;_issue&gt;9&lt;/_issue&gt;&lt;_journal&gt;Pediatr Crit Care Med&lt;/_journal&gt;&lt;_language&gt;eng&lt;/_language&gt;&lt;_modified&gt;65751686&lt;/_modified&gt;&lt;_pages&gt;814-20&lt;/_pages&gt;&lt;_subject_headings&gt;Adolescent; Anti-Bacterial Agents/therapeutic use; Child; Child, Preschool; China/epidemiology; Female; Humans; Incidence; Infant; Male; Prevalence; Prospective Studies; Sepsis/drug therapy/*epidemiology/mortality; Shock, Septic/drug therapy/epidemiology&lt;/_subject_headings&gt;&lt;_tertiary_title&gt;Pediatric critical care medicine : a journal of the Society of Critical Care _x000d__x000a_      Medicine and the World Federation of Pediatric Intensive and Critical Care _x000d__x000a_      Societies&lt;/_tertiary_title&gt;&lt;_type_work&gt;Journal Article; Research Support, Non-U.S. Gov&amp;apos;t&lt;/_type_work&gt;&lt;_url&gt;http://www.ncbi.nlm.nih.gov/entrez/query.fcgi?cmd=Retrieve&amp;amp;db=pubmed&amp;amp;dopt=Abstract&amp;amp;list_uids=25226498&amp;amp;query_hl=1&lt;/_url&gt;&lt;_volume&gt;15&lt;/_volume&gt;&lt;/Details&gt;&lt;Extra&gt;&lt;DBUID&gt;{F96A950B-833F-4880-A151-76DA2D6A2879}&lt;/DBUID&gt;&lt;/Extra&gt;&lt;/Item&gt;&lt;/References&gt;&lt;/Group&gt;&lt;Group&gt;&lt;References&gt;&lt;Item&gt;&lt;ID&gt;6687&lt;/ID&gt;&lt;UID&gt;{E371FD55-E7E5-4B8C-839A-476EC79D20CD}&lt;/UID&gt;&lt;Title&gt;Epidemiology and Clinical Characteristics of Pediatric Sepsis in PICUs in  Southwest China: A Prospective Multicenter Study&lt;/Title&gt;&lt;Template&gt;Journal Article&lt;/Template&gt;&lt;Star&gt;0&lt;/Star&gt;&lt;Tag&gt;0&lt;/Tag&gt;&lt;Author&gt;Liu, R; Yu, Z; Xiao, C; Xu, F; Xiao, S; He, J; Shi, Y; Hua, Y; Zhou, J; Zhang, G; Wang, T; Jiang, J; Xiong, D; Chen, Y; Xu, H; Yun, H; Sun, H; Pan, T; Wang, R; Zhu, S; Huang, D; Liu, Y; Hu, Y; Ren, X; Shi, M; Song, S; Luo, J; He, G; Zhang, J&lt;/Author&gt;&lt;Year&gt;2024&lt;/Year&gt;&lt;Details&gt;&lt;_accession_num&gt;38353591&lt;/_accession_num&gt;&lt;_author_adr&gt;Department of Pediatric Critical Care, Children&amp;apos;s Hospital of Chongqing Medical  University, National Clinical Research Center for Child Health and Disorders,  Ministry of Education Key Laboratory of Child Development and Disorders,  Chongqing Key Laboratory of Pediatrics, Chongqing, China.; Department of Pediatric Critical Care, Children&amp;apos;s Hospital of Chongqing Medical  University, National Clinical Research Center for Child Health and Disorders,  Ministry of Education Key Laboratory of Child Development and Disorders,  Chongqing Key Laboratory of Pediatrics, Chongqing, China.; Department of Pediatric Critical Care, Children&amp;apos;s Hospital of Chongqing Medical  University, National Clinical Research Center for Child Health and Disorders,  Ministry of Education Key Laboratory of Child Development and Disorders,  Chongqing Key Laboratory of Pediatrics, Chongqing, China.; Department of Pediatric Critical Care, Children&amp;apos;s Hospital of Chongqing Medical  University, National Clinical Research Center for Child Health and Disorders,  Ministry of Education Key Laboratory of Child Development and Disorders,  Chongqing Key Laboratory of Pediatrics, Chongqing, China.; Department of Pediatric Critical Care, Kunming Children&amp;apos;s Hospital, Kunming,  China.; Department of Pediatric Critical Care, Kunming Children&amp;apos;s Hospital, Kunming,  China.; Department of Pediatric Critical Care, The First People&amp;apos;s Hospital of Liangshan  Yi Autonomous Prefecture, Liangshan Yi autonomous Prefecture, Sichuan, China.; Department of Pediatric Critical Care, The First People&amp;apos;s Hospital of Liangshan  Yi Autonomous Prefecture, Liangshan Yi autonomous Prefecture, Sichuan, China.; Department of Pediatric Critical Care, The First People&amp;apos;s Hospital of Liangshan  Yi Autonomous Prefecture, Liangshan Yi autonomous Prefecture, Sichuan, China.; Department of Pediatric Critical Care, Chengdu Women&amp;apos;s and Children&amp;apos;s Central  Hospital, Chengdu, Sichuan, China.; Department of Pediatric Critical Care, Chengdu Women&amp;apos;s and Children&amp;apos;s Central  Hospital, Chengdu, Sichuan, China.; Department of Pediatric Critical Care, Chongqing University Three Gorges  Hospital, Wanzhou, Chongqing, China.; Department of Pediatric Critical Care, Chongqing University Three Gorges  Hospital, Wanzhou, Chongqing, China.; Department of Pediatric Critical Care, Guizhou Provincial Children&amp;apos;s Hospital,  Zunyi, Guizhou, China.; Department of Pediatric Critical Care, Guizhou Provincial Children&amp;apos;s Hospital,  Zunyi, Guizhou, China.; Department of Pediatric Critical Care, Guizhou Provincial Children&amp;apos;s Hospital,  Zunyi, Guizhou, China.; Department of Pediatric Critical Care, Affiliated Hospital of Guizhou Medical  University, Guiyang, Guizhou, China.; Department of Pediatric Critical Care, Affiliated Hospital of Guizhou Medical  University, Guiyang, Guizhou, China.; Department of Pediatric Critical Care, Yuxi Children&amp;apos;s Hospital, Yuxi, Yunnan,  China.; Department of Pediatric Critical Care, Yuxi Children&amp;apos;s Hospital, Yuxi, Yunnan,  China.; Department of Pediatric Critical Care, Guizhou Provincial People&amp;apos;s Hospital,  Guiyang, Guizhou, China.; Department of Pediatric Critical Care, Guizhou Provincial People&amp;apos;s Hospital,  Guiyang, Guizhou, China.; Department of Pediatric Critical Care, Sichuan Provincial Maternity and Child  Health Hospital, Chengdu, Sichuan, China.; Department of Pediatric Critical Care, Sichuan Provincial Maternity and Child  Health Hospital, Chengdu, Sichuan, China.; Department of Pediatric Critical Care, The First People&amp;apos;s Hospital of Yibin,  Yibin, Sichuan, China.; Department of Pediatric Critical Care, The First People&amp;apos;s Hospital of Yibin,  Yibin, Sichuan, China.; Department of Pediatric Critical Care, The First People&amp;apos;s Hospital of Yibin,  Yibin, Sichuan, China.; Department of Pediatric Critical Care, Nanchong Central Hospital, Nanchong,  China.; Department of Pediatric Critical Care, Nanchong Central Hospital, Nanchong,  China.&lt;/_author_adr&gt;&lt;_bibtex_key&gt;LiuYu-6687&lt;/_bibtex_key&gt;&lt;_created&gt;65690110&lt;/_created&gt;&lt;_date&gt;2024-05-01&lt;/_date&gt;&lt;_date_display&gt;2024 May 1&lt;/_date_display&gt;&lt;_db_updated&gt;PubMed&lt;/_db_updated&gt;&lt;_doi&gt;10.1097/PCC.0000000000003450&lt;/_doi&gt;&lt;_impact_factor&gt;   3.971&lt;/_impact_factor&gt;&lt;_isbn&gt;1529-7535 (Print); 1529-7535 (Linking)&lt;/_isbn&gt;&lt;_issue&gt;5&lt;/_issue&gt;&lt;_journal&gt;Pediatr Crit Care Med&lt;/_journal&gt;&lt;_language&gt;eng&lt;/_language&gt;&lt;_modified&gt;65752470&lt;/_modified&gt;&lt;_ori_publication&gt;Copyright (c) 2024 by the Society of Critical Care Medicine and the World _x000d__x000a_      Federation of Pediatric Intensive and Critical Care Societies.&lt;/_ori_publication&gt;&lt;_pages&gt;425-433&lt;/_pages&gt;&lt;_subject_headings&gt;Humans; Prospective Studies; Child, Preschool; China/epidemiology; Child; Infant; Male; Female; Adolescent; *Intensive Care Units, Pediatric/statistics &amp;amp; numerical data; *Sepsis/epidemiology; Infant, Newborn; Hospital Mortality; Shock, Septic/epidemiology&lt;/_subject_headings&gt;&lt;_tertiary_title&gt;Pediatric critical care medicine : a journal of the Society of Critical Care _x000d__x000a_      Medicine and the World Federation of Pediatric Intensive and Critical Care _x000d__x000a_      Societies&lt;/_tertiary_title&gt;&lt;_type_work&gt;Journal Article; Multicenter Study; Observational Study; Research Support, Non-U.S. Gov&amp;apos;t&lt;/_type_work&gt;&lt;_url&gt;http://www.ncbi.nlm.nih.gov/entrez/query.fcgi?cmd=Retrieve&amp;amp;db=pubmed&amp;amp;dopt=Abstract&amp;amp;list_uids=38353591&amp;amp;query_hl=1&lt;/_url&gt;&lt;_volume&gt;25&lt;/_volume&gt;&lt;/Details&gt;&lt;Extra&gt;&lt;DBUID&gt;{F96A950B-833F-4880-A151-76DA2D6A2879}&lt;/DBUID&gt;&lt;/Extra&gt;&lt;/Item&gt;&lt;/References&gt;&lt;/Group&gt;&lt;Group&gt;&lt;References&gt;&lt;Item&gt;&lt;ID&gt;6757&lt;/ID&gt;&lt;UID&gt;{4BC12E34-128A-40B2-8BDC-99BD4FADDE1B}&lt;/UID&gt;&lt;Title&gt;Causes of Death Among Infants and Children in the Child Health and Mortality  Prevention Surveillance (CHAMPS) Network&lt;/Title&gt;&lt;Template&gt;Journal Article&lt;/Template&gt;&lt;Star&gt;0&lt;/Star&gt;&lt;Tag&gt;0&lt;/Tag&gt;&lt;Author&gt;Bassat, Q; Blau, D M; Ogbuanu, I U; Samura, S; Kaluma, E; Bassey, I A; Sow, S; Keita, A M; Tapia, M D; Mehta, A; Kotloff, K L; Rahman, A; Islam, K M; Alam, M; El, Arifeen S; Gurley, E S; Baillie, V; Mutevedzi, P; Mahtab, S; Thwala, B N; Tippett, Barr BA; Onyango, D; Akelo, V; Rogena, E; Onyango, P; Omore, R; Mandomando, I; Ajanovic, S; Varo, R; Sitoe, A; Duran-Frigola, M; Assefa, N; Scott, JAG; Madrid, L; Tesfaye, T; Dessie, Y; Madewell, Z J; Breiman, R F; Whitney, C G; Madhi, S A&lt;/Author&gt;&lt;Year&gt;2023&lt;/Year&gt;&lt;Details&gt;&lt;_accession_num&gt;37494044&lt;/_accession_num&gt;&lt;_author_adr&gt;ISGlobal-Hospital Clinic, Universitat de Barcelona, Barcelona, Spain.; Centro de Investigacao em Saude de Manhica-CISM, Maputo, Mozambique.; ICREA, Pg. Lluis Companys 23, Barcelona, Spain.; Pediatrics Department, Hospital Sant Joan de Deu, Universitat de Barcelona,  Esplugues, Barcelona, Spain.; Consorcio de Investigacion Biomedica en Red de Epidemiologia y Salud  Publica-CIBERESP, Madrid, Spain.; Center for Global Health, Centers for Disease Control and Prevention, Atlanta,  Georgia.; Crown Agents, Freetown, Sierra Leone.; World Hope International, Makeni, Sierra Leone.; Crown Agents, Freetown, Sierra Leone.; Crown Agents, Freetown, Sierra Leone.; Centre pour le Developpement des Vaccins, Ministere de la Sante, Bamako, Mali.; Centre pour le Developpement des Vaccins, Ministere de la Sante, Bamako, Mali.; Department of Pediatrics, Center for Vaccine Development and Global Health,  University of Maryland School of Medicine, Baltimore.; Department of Pediatrics, Center for Vaccine Development and Global Health,  University of Maryland School of Medicine, Baltimore.; Department of Pediatrics, Center for Vaccine Development and Global Health,  University of Maryland School of Medicine, Baltimore.; International Center for Diarrhoeal Diseases Research, Dhaka, Bangladesh.; International Center for Diarrhoeal Diseases Research, Dhaka, Bangladesh.; International Center for Diarrhoeal Diseases Research, Dhaka, Bangladesh.; International Center for Diarrhoeal Diseases Research, Dhaka, Bangladesh.; International Center for Diarrhoeal Diseases Research, Dhaka, Bangladesh.; Department of Epidemiology, Johns Hopkins Bloomberg School of Public Health,  Baltimore, Maryland.; South African Medical Research Council Vaccines and Infectious Diseases Analytics  Research Unit; Faculty of Health Sciences, University of the Witwatersrand,  Johannesburg, South Africa.; South African Medical Research Council Vaccines and Infectious Diseases Analytics  Research Unit; Faculty of Health Sciences, University of the Witwatersrand,  Johannesburg, South Africa.; South African Medical Research Council Vaccines and Infectious Diseases Analytics  Research Unit; Faculty of Health Sciences, University of the Witwatersrand,  Johannesburg, South Africa.; South African Medical Research Council Vaccines and Infectious Diseases Analytics  Research Unit; Faculty of Health Sciences, University of the Witwatersrand,  Johannesburg, South Africa.; Centers for Disease Control and Prevention-Kenya, Kisumu, Kenya.; Kisumu County Department of Health, Kisumu, Kenya.; Centers for Disease Control and Prevention-Kenya, Kisumu, Kenya.; Jomo Kenyatta University of Agriculture and Technology, Juja, Kenya.; Kenya Medical Research Institute, Center for Global Health Research, Kisumu,  Kenya.; Kenya Medical Research Institute, Center for Global Health Research, Kisumu,  Kenya.; ISGlobal-Hospital Clinic, Universitat de Barcelona, Barcelona, Spain.; Centro de Investigacao em Saude de Manhica-CISM, Maputo, Mozambique.; Instituto Nacional de Saude, Ministerio de Saude, Maputo, Mocambique.; ISGlobal-Hospital Clinic, Universitat de Barcelona, Barcelona, Spain.; Centro de Investigacao em Saude de Manhica-CISM, Maputo, Mozambique.; ISGlobal-Hospital Clinic, Universitat de Barcelona, Barcelona, Spain.; Centro de Investigacao em Saude de Manhica-CISM, Maputo, Mozambique.; Centro de Investigacao em Saude de Manhica-CISM, Maputo, Mozambique.; Ersilia Open Source Initiative; Cambridge, United Kingdom.; College of Health and Medical Sciences, Haramaya University, Harar, Ethiopia.; Department of Infectious Disease Epidemiology, London School of Hygiene &amp;amp;  Tropical Medicine, London, United Kingdom.; Department of Infectious Disease Epidemiology, London School of Hygiene &amp;amp;  Tropical Medicine, London, United Kingdom.; KEMRI-Wellcome Trust Research Programme, Kilifi, Kenya.; College of Health and Medical Sciences, Haramaya University, Harar, Ethiopia.; Department of Infectious Disease Epidemiology, London School of Hygiene &amp;amp;  Tropical Medicine, London, United Kingdom.; College of Health and Medical Sciences, Haramaya University, Harar, Ethiopia.; Department of Infectious Disease Epidemiology, London School of Hygiene &amp;amp;  Tropical Medicine, London, United Kingdom.; College of Health and Medical Sciences, Haramaya University, Harar, Ethiopia.; Center for Global Health, Centers for Disease Control and Prevention, Atlanta,  Georgia.; Emory Global Health Institute, Emory University, Atlanta, Georgia.; Department of Global Health, Rollins School of Public Health, Emory University,  Atlanta, Georgia.; Wits Infectious Diseases and Oncology Research Institute, Faculty of Health  Sciences, University of the Witwatersrand, Johannesburg, South Africa.; Emory Global Health Institute, Emory University, Atlanta, Georgia.; South African Medical Research Council Vaccines and Infectious Diseases Analytics  Research Unit; Faculty of Health Sciences, University of the Witwatersrand,  Johannesburg, South Africa.; Wits Infectious Diseases and Oncology Research Institute, Faculty of Health  Sciences, University of the Witwatersrand, Johannesburg, South Africa.&lt;/_author_adr&gt;&lt;_created&gt;65752485&lt;/_created&gt;&lt;_date&gt;2023-07-03&lt;/_date&gt;&lt;_date_display&gt;2023 Jul 3&lt;/_date_display&gt;&lt;_db_updated&gt;PubMed&lt;/_db_updated&gt;&lt;_doi&gt;10.1001/jamanetworkopen.2023.22494&lt;/_doi&gt;&lt;_impact_factor&gt;  13.353&lt;/_impact_factor&gt;&lt;_isbn&gt;2574-3805 (Electronic); 2574-3805 (Linking)&lt;/_isbn&gt;&lt;_issue&gt;7&lt;/_issue&gt;&lt;_journal&gt;JAMA Netw Open&lt;/_journal&gt;&lt;_language&gt;eng&lt;/_language&gt;&lt;_modified&gt;65752486&lt;/_modified&gt;&lt;_pages&gt;e2322494&lt;/_pages&gt;&lt;_subject_headings&gt;Infant; Child; Humans; Male; Female; Child Mortality; Cause of Death; Child Health; Cross-Sectional Studies; Africa South of the Sahara/epidemiology; *Malnutrition; *Malaria; *Cross Infection; *HIV Infections/epidemiology&lt;/_subject_headings&gt;&lt;_tertiary_title&gt;JAMA network open&lt;/_tertiary_title&gt;&lt;_type_work&gt;Journal Article; Research Support, Non-U.S. Gov&amp;apos;t&lt;/_type_work&gt;&lt;_url&gt;http://www.ncbi.nlm.nih.gov/entrez/query.fcgi?cmd=Retrieve&amp;amp;db=pubmed&amp;amp;dopt=Abstract&amp;amp;list_uids=37494044&amp;amp;query_hl=1&lt;/_url&gt;&lt;_volume&gt;6&lt;/_volume&gt;&lt;/Details&gt;&lt;Extra&gt;&lt;DBUID&gt;{F96A950B-833F-4880-A151-76DA2D6A2879}&lt;/DBUID&gt;&lt;/Extra&gt;&lt;/Item&gt;&lt;/References&gt;&lt;/Group&gt;&lt;/Citation&gt;_x000a_"/>
    <w:docVar w:name="NE.Ref{6BDFF892-C705-48C3-B8B5-7F26453E1924}" w:val=" ADDIN NE.Ref.{6BDFF892-C705-48C3-B8B5-7F26453E1924}&lt;Citation&gt;&lt;Group&gt;&lt;References&gt;&lt;Item&gt;&lt;ID&gt;6769&lt;/ID&gt;&lt;UID&gt;{D6C44F11-5A2F-4FFF-A108-5D63E2587F1D}&lt;/UID&gt;&lt;Title&gt;Metabolic profiling of serum samples by 1H nuclear magnetic resonance  spectroscopy as a potential diagnostic approach for septic shock&lt;/Title&gt;&lt;Template&gt;Journal Article&lt;/Template&gt;&lt;Star&gt;0&lt;/Star&gt;&lt;Tag&gt;0&lt;/Tag&gt;&lt;Author&gt;Mickiewicz, B; Duggan, G E; Winston, B W; Doig, C; Kubes, P; Vogel, H J&lt;/Author&gt;&lt;Year&gt;2014&lt;/Year&gt;&lt;Details&gt;&lt;_accession_num&gt;24368342&lt;/_accession_num&gt;&lt;_author_adr&gt;1Bio-NMR-Centre, Department of Biological Sciences, University of Calgary,  Calgary, AB, Canada. 2Critical Care Epidemiologic and Biologic Tissue Resource  (CCEPTR), Department of Critical Care Medicine, University of Calgary, Calgary,  AB, Canada. 3Department of Community Health Sciences, University of Calgary,  Calgary, AB, Canada. 4Department of Physiology and Biophysics, University of  Calgary, Calgary, AB, Canada.&lt;/_author_adr&gt;&lt;_date_display&gt;2014 May&lt;/_date_display&gt;&lt;_date&gt;2014-05-01&lt;/_date&gt;&lt;_doi&gt;10.1097/CCM.0000000000000142&lt;/_doi&gt;&lt;_isbn&gt;1530-0293 (Electronic); 0090-3493 (Linking)&lt;/_isbn&gt;&lt;_issue&gt;5&lt;/_issue&gt;&lt;_journal&gt;Crit Care Med&lt;/_journal&gt;&lt;_language&gt;eng&lt;/_language&gt;&lt;_pages&gt;1140-9&lt;/_pages&gt;&lt;_subject_headings&gt;APACHE; Aged; Biomarkers/blood; Case-Control Studies; Early Diagnosis; Female; Humans; Intensive Care Units; Least-Squares Analysis; Magnetic Resonance Spectroscopy/*methods; Male; Metabolome/*physiology; Metabolomics/methods; Middle Aged; Predictive Value of Tests; Prognosis; ROC Curve; Shock, Septic/blood/*diagnosis; Tissue Banks&lt;/_subject_headings&gt;&lt;_tertiary_title&gt;Critical care medicine&lt;/_tertiary_title&gt;&lt;_type_work&gt;Journal Article; Research Support, Non-U.S. Gov&amp;apos;t&lt;/_type_work&gt;&lt;_url&gt;http://www.ncbi.nlm.nih.gov/entrez/query.fcgi?cmd=Retrieve&amp;amp;db=pubmed&amp;amp;dopt=Abstract&amp;amp;list_uids=24368342&amp;amp;query_hl=1&lt;/_url&gt;&lt;_volume&gt;42&lt;/_volume&gt;&lt;_created&gt;65753067&lt;/_created&gt;&lt;_modified&gt;65753067&lt;/_modified&gt;&lt;_db_updated&gt;PubMed&lt;/_db_updated&gt;&lt;_impact_factor&gt;   9.296&lt;/_impact_factor&gt;&lt;_collection_scope&gt;SCI;SCIE&lt;/_collection_scope&gt;&lt;/Details&gt;&lt;Extra&gt;&lt;DBUID&gt;{F96A950B-833F-4880-A151-76DA2D6A2879}&lt;/DBUID&gt;&lt;/Extra&gt;&lt;/Item&gt;&lt;/References&gt;&lt;/Group&gt;&lt;/Citation&gt;_x000a_"/>
    <w:docVar w:name="NE.Ref{8FDC2E9F-0FB8-4692-BE22-1AF9CAD2E7E7}" w:val=" ADDIN NE.Ref.{8FDC2E9F-0FB8-4692-BE22-1AF9CAD2E7E7}&lt;Citation&gt;&lt;Group&gt;&lt;References&gt;&lt;Item&gt;&lt;ID&gt;129&lt;/ID&gt;&lt;UID&gt;{DA2D170B-28DF-44AB-913F-1DD0DD1B3967}&lt;/UID&gt;&lt;Title&gt;NoteExpress参考文献管理与检索系统&lt;/Title&gt;&lt;Template&gt;Computer Program&lt;/Template&gt;&lt;Star&gt;1&lt;/Star&gt;&lt;Tag&gt;0&lt;/Tag&gt;&lt;Author&gt;北京爱琴海乐之技术有限公司&lt;/Author&gt;&lt;Year&gt;2005&lt;/Year&gt;&lt;Details&gt;&lt;_accessed&gt;60243312&lt;/_accessed&gt;&lt;_created&gt;57131820&lt;/_created&gt;&lt;_edition&gt;3.0&lt;/_edition&gt;&lt;_keywords&gt;文献管理; 笔记; 写作插件; 样式; 标签云&lt;/_keywords&gt;&lt;_label&gt;NoteExpress&lt;/_label&gt;&lt;_modified&gt;60363011&lt;/_modified&gt;&lt;_pages&gt;NoteExpress是目前流行的参考文献管理工具软件，其核心功能是帮助读者在整个科研流程中高效利用电子资源：检索并管理得到的文献摘要、全文；在撰写学术论文、学位论文、专著或报告时，可在正文中的指定位置方便地添加文中注释，然后按照不同的期刊，学位论文格式要求自动生成参考文献索引。&lt;/_pages&gt;&lt;_place_published&gt;北京&lt;/_place_published&gt;&lt;_section&gt;Windows&lt;/_section&gt;&lt;_short_title&gt;NE&lt;/_short_title&gt;&lt;_url&gt;http://www.iNoteExpress.com/index_chs.htm 首页&lt;/_url&gt;&lt;_translated_author&gt;Bei, Jing&amp;apos;ai qin hai le&lt;/_translated_author&gt;&lt;/Details&gt;&lt;Extra&gt;&lt;DBUID&gt;{03752FAB-B361-4F66-989B-C711D9502F78}&lt;/DBUID&gt;&lt;/Extra&gt;&lt;/Item&gt;&lt;/References&gt;&lt;/Group&gt;&lt;/Citation&gt;_x000a_"/>
    <w:docVar w:name="NE.Ref{92EF4444-C113-4413-8B93-B5E6188EE5EB}" w:val=" ADDIN NE.Ref.{92EF4444-C113-4413-8B93-B5E6188EE5EB}&lt;Citation&gt;&lt;Group&gt;&lt;References&gt;&lt;Item&gt;&lt;ID&gt;6755&lt;/ID&gt;&lt;UID&gt;{8207FF54-3B67-4F77-95B3-9710D6E7B077}&lt;/UID&gt;&lt;Title&gt;Plasma mitochondrial DNA and metabolomic alterations in severe critical illness&lt;/Title&gt;&lt;Template&gt;Journal Article&lt;/Template&gt;&lt;Star&gt;0&lt;/Star&gt;&lt;Tag&gt;0&lt;/Tag&gt;&lt;Author&gt;Johansson, P I; Nakahira, K; Rogers, A J; McGeachie, M J; &amp;quot;Baron RM&amp;quot;; Fredenburgh, L E; Harrington, J; Choi, AMK; Christopher, K B&lt;/Author&gt;&lt;Year&gt;2018&lt;/Year&gt;&lt;Details&gt;&lt;_accession_num&gt;30594224&lt;/_accession_num&gt;&lt;_author_adr&gt;Department of Clinical Immunology, Copenhagen University Hospital, Copenhagen,  Denmark.; Division of Pulmonary and Critical Care Medicine, Department of Medicine, Weill  Cornell Medicine, New York, NY, USA.; Pulmonary &amp;amp; Critical Care Medicine, Stanford University Medical Center, Stanford,  CA, USA.; Channing Division of Network Medicine, Department of Medicine, Brigham and  Women&amp;apos;s Hospital, Boston, MA, USA.; Pulmonary and Critical Care Division, Department of Medicine, Brigham and Women&amp;apos;s  Hospital, Boston, MA, USA.; Pulmonary and Critical Care Division, Department of Medicine, Brigham and Women&amp;apos;s  Hospital, Boston, MA, USA.; Division of Pulmonary and Critical Care Medicine, Department of Medicine, New  York Presbyterian-Weill Cornell Medical Center, Weill Cornell Medicine, New York,  NY, USA.; Department of Medicine, New York-Presbyterian Hospital, New York, NY, USA.; Renal Division, Department of Medicine, Brigham and Women&amp;apos;s Hospital, 75 Francis  Street, MRB 418, Boston, MA, 02115, USA. kbchristopher@bwh.harvard.edu.&lt;/_author_adr&gt;&lt;_collection_scope&gt;SCI;SCIE&lt;/_collection_scope&gt;&lt;_created&gt;65751700&lt;/_created&gt;&lt;_date&gt;2018-12-29&lt;/_date&gt;&lt;_date_display&gt;2018 Dec 29&lt;/_date_display&gt;&lt;_db_updated&gt;PubMed&lt;/_db_updated&gt;&lt;_doi&gt;10.1186/s13054-018-2275-7&lt;/_doi&gt;&lt;_impact_factor&gt;  19.334&lt;/_impact_factor&gt;&lt;_isbn&gt;1466-609X (Electronic); 1364-8535 (Print); 1364-8535 (Linking)&lt;/_isbn&gt;&lt;_issue&gt;1&lt;/_issue&gt;&lt;_journal&gt;Crit Care&lt;/_journal&gt;&lt;_keywords&gt;Acylcarnitine; Critical illness; Glycerophosphocholine; Homeostasis; Metabolite; Metabolomics; Mitochondrial DNA&lt;/_keywords&gt;&lt;_language&gt;eng&lt;/_language&gt;&lt;_modified&gt;65751700&lt;/_modified&gt;&lt;_pages&gt;360&lt;/_pages&gt;&lt;_subject_headings&gt;Adult; Aged; Boston; Critical Illness/therapy; DNA, Mitochondrial/adverse effects/*pharmacology/therapeutic use; Discriminant Analysis; Endothelial Cells/drug effects; Female; Humans; Male; Metabolomics/*methods; Middle Aged; Registries/statistics &amp;amp; numerical data&lt;/_subject_headings&gt;&lt;_tertiary_title&gt;Critical care (London, England)&lt;/_tertiary_title&gt;&lt;_type_work&gt;Journal Article; Research Support, N.I.H., Extramural; Research Support, Non-U.S. Gov&amp;apos;t&lt;/_type_work&gt;&lt;_url&gt;http://www.ncbi.nlm.nih.gov/entrez/query.fcgi?cmd=Retrieve&amp;amp;db=pubmed&amp;amp;dopt=Abstract&amp;amp;list_uids=30594224&amp;amp;query_hl=1&lt;/_url&gt;&lt;_volume&gt;22&lt;/_volume&gt;&lt;/Details&gt;&lt;Extra&gt;&lt;DBUID&gt;{F96A950B-833F-4880-A151-76DA2D6A2879}&lt;/DBUID&gt;&lt;/Extra&gt;&lt;/Item&gt;&lt;/References&gt;&lt;/Group&gt;&lt;/Citation&gt;_x000a_"/>
    <w:docVar w:name="NE.Ref{B855582F-C3D6-4770-85D9-EB2127FB7D26}" w:val=" ADDIN NE.Ref.{B855582F-C3D6-4770-85D9-EB2127FB7D26}&lt;Citation&gt;&lt;Group&gt;&lt;References&gt;&lt;Item&gt;&lt;ID&gt;6733&lt;/ID&gt;&lt;UID&gt;{05BE4A72-9D72-4ADD-93AB-F7AE6BFE4927}&lt;/UID&gt;&lt;Title&gt;Pediatric sepsis and multiorgan dysfunction syndrome: progress and continued  challenges&lt;/Title&gt;&lt;Template&gt;Journal Article&lt;/Template&gt;&lt;Star&gt;0&lt;/Star&gt;&lt;Tag&gt;0&lt;/Tag&gt;&lt;Author&gt;Lawrence, K&lt;/Author&gt;&lt;Year&gt;2011&lt;/Year&gt;&lt;Details&gt;&lt;_accession_num&gt;21624694&lt;/_accession_num&gt;&lt;_author_adr&gt;Pediatric Intensive Care Unit, Medical College of Georgia School of Nursing,  Medical College of Georgia Children&amp;apos;s Medical Center, Augusta, GA 30912, USA.  klawrence@georgiahealth.edu&lt;/_author_adr&gt;&lt;_created&gt;65751686&lt;/_created&gt;&lt;_date&gt;2011-06-01&lt;/_date&gt;&lt;_date_display&gt;2011 Jun&lt;/_date_display&gt;&lt;_db_updated&gt;PubMed&lt;/_db_updated&gt;&lt;_doi&gt;10.1016/j.ccell.2011.02.005&lt;/_doi&gt;&lt;_impact_factor&gt;   1.460&lt;/_impact_factor&gt;&lt;_isbn&gt;1558-3481 (Electronic); 0899-5885 (Linking)&lt;/_isbn&gt;&lt;_issue&gt;2&lt;/_issue&gt;&lt;_journal&gt;Crit Care Nurs Clin North Am&lt;/_journal&gt;&lt;_language&gt;eng&lt;/_language&gt;&lt;_modified&gt;65751687&lt;/_modified&gt;&lt;_ori_publication&gt;Copyright (c) 2011. Published by Elsevier Inc.&lt;/_ori_publication&gt;&lt;_pages&gt;323-37&lt;/_pages&gt;&lt;_subject_headings&gt;Child; Child, Preschool; Humans; Infant; Infant, Newborn; Intensive Care Units, Pediatric/standards; Pediatric Nursing/*standards; Shock, Septic/drug therapy/*nursing/therapy; Systemic Inflammatory Response Syndrome/*nursing&lt;/_subject_headings&gt;&lt;_tertiary_title&gt;Critical care nursing clinics of North America&lt;/_tertiary_title&gt;&lt;_type_work&gt;Journal Article; Review&lt;/_type_work&gt;&lt;_url&gt;http://www.ncbi.nlm.nih.gov/entrez/query.fcgi?cmd=Retrieve&amp;amp;db=pubmed&amp;amp;dopt=Abstract&amp;amp;list_uids=21624694&amp;amp;query_hl=1&lt;/_url&gt;&lt;_volume&gt;23&lt;/_volume&gt;&lt;/Details&gt;&lt;Extra&gt;&lt;DBUID&gt;{F96A950B-833F-4880-A151-76DA2D6A2879}&lt;/DBUID&gt;&lt;/Extra&gt;&lt;/Item&gt;&lt;/References&gt;&lt;/Group&gt;&lt;/Citation&gt;_x000a_"/>
    <w:docVar w:name="NE.Ref{C4EF3A9A-4766-41DE-963E-3C4DAFA35436}" w:val=" ADDIN NE.Ref.{C4EF3A9A-4766-41DE-963E-3C4DAFA35436}&lt;Citation&gt;&lt;Group&gt;&lt;References&gt;&lt;Item&gt;&lt;ID&gt;6761&lt;/ID&gt;&lt;UID&gt;{53C5B222-1720-4437-8B57-B46586C61752}&lt;/UID&gt;&lt;Title&gt;Pediatric Sepsis Diagnosis, Management, and Sub-phenotypes&lt;/Title&gt;&lt;Template&gt;Journal Article&lt;/Template&gt;&lt;Star&gt;0&lt;/Star&gt;&lt;Tag&gt;0&lt;/Tag&gt;&lt;Author&gt;Weiss, S L; Fitzgerald, J C&lt;/Author&gt;&lt;Year&gt;2024&lt;/Year&gt;&lt;Details&gt;&lt;_accession_num&gt;38084084&lt;/_accession_num&gt;&lt;_author_adr&gt;Division of Critical Care, Department of Pediatrics, Nemours Children&amp;apos;s Health,  Wilmington, Delaware.; Departments of Pediatrics &amp;amp; Pathology, Anatomy, and Cell Biology, Sidney Kimmel  Medical College at Thomas Jefferson University, Philadelphia, Pennsylvania.; Department of Anesthesiology and Critical Care, Children&amp;apos;s Hospital of  Philadelphia, University of Pennsylvania Perelman School of Medicine,  Philadelphia, Pennsylvania.; Pediatric Sepsis Program at the Children&amp;apos;s Hospital of Philadelphia,  Philadelphia, Pennsylvania.&lt;/_author_adr&gt;&lt;_collection_scope&gt;SCI;SCIE&lt;/_collection_scope&gt;&lt;_created&gt;65752500&lt;/_created&gt;&lt;_date&gt;2024-01-01&lt;/_date&gt;&lt;_date_display&gt;2024 Jan 1&lt;/_date_display&gt;&lt;_db_updated&gt;PubMed&lt;/_db_updated&gt;&lt;_doi&gt;10.1542/peds.2023-062967&lt;/_doi&gt;&lt;_impact_factor&gt;   9.703&lt;/_impact_factor&gt;&lt;_isbn&gt;1098-4275 (Electronic); 0031-4005 (Print); 0031-4005 (Linking)&lt;/_isbn&gt;&lt;_issue&gt;1&lt;/_issue&gt;&lt;_journal&gt;Pediatrics&lt;/_journal&gt;&lt;_language&gt;eng&lt;/_language&gt;&lt;_modified&gt;65752503&lt;/_modified&gt;&lt;_ori_publication&gt;Copyright (c) 2024 by the American Academy of Pediatrics.&lt;/_ori_publication&gt;&lt;_subject_headings&gt;Child; Humans; *Shock, Septic/diagnosis; Quality of Life; *Sepsis/therapy/drug therapy; Anti-Bacterial Agents/therapeutic use; Phenotype&lt;/_subject_headings&gt;&lt;_tertiary_title&gt;Pediatrics&lt;/_tertiary_title&gt;&lt;_type_work&gt;Journal Article&lt;/_type_work&gt;&lt;_url&gt;http://www.ncbi.nlm.nih.gov/entrez/query.fcgi?cmd=Retrieve&amp;amp;db=pubmed&amp;amp;dopt=Abstract&amp;amp;list_uids=38084084&amp;amp;query_hl=1&lt;/_url&gt;&lt;_volume&gt;153&lt;/_volume&gt;&lt;/Details&gt;&lt;Extra&gt;&lt;DBUID&gt;{F96A950B-833F-4880-A151-76DA2D6A2879}&lt;/DBUID&gt;&lt;/Extra&gt;&lt;/Item&gt;&lt;/References&gt;&lt;/Group&gt;&lt;Group&gt;&lt;References&gt;&lt;Item&gt;&lt;ID&gt;6762&lt;/ID&gt;&lt;UID&gt;{1512138D-2A4C-4D88-8880-4F38296C6C9A}&lt;/UID&gt;&lt;Title&gt;Identification and transcriptomic assessment of latent profile pediatric septic  shock phenotypes&lt;/Title&gt;&lt;Template&gt;Journal Article&lt;/Template&gt;&lt;Star&gt;0&lt;/Star&gt;&lt;Tag&gt;0&lt;/Tag&gt;&lt;Author&gt;Atreya, M R; Huang, M; Moore, A R; Zheng, H; Hasin-Brumshtein, Y; Fitzgerald, J C; Weiss, S L; Cvijanovich, N Z; Bigham, M T; Jain, P N; Schwarz, A J; Lutfi, R; Nowak, J; Thomas, N J; Quasney, M; Dahmer, M K; Baines, T; Haileselassie, B; Lautz, A J; Stanski, N L; Standage, S W; Kaplan, J M; Zingarelli, B; Sahay, R; Zhang, B; Sweeney, T E; Khatri, P; Sanchez-Pinto, L N; Kamaleswaran, R&lt;/Author&gt;&lt;Year&gt;2024&lt;/Year&gt;&lt;Details&gt;&lt;_accession_num&gt;39014377&lt;/_accession_num&gt;&lt;_author_adr&gt;Division of Critical Care Medicine, MLC2005, Cincinnati Children&amp;apos;s Hospital  Medical Center, 3333 Burnet Avenue, Cincinnati, OH, 45229, USA.  Mihir.Atreya@cchmc.org.; Department of Pediatrics, University of Cincinnati College of Medicine,  Cincinnati, OH, 45627, USA. Mihir.Atreya@cchmc.org.; Department of Biomedical Informatics, Emory University School of Medicine,  Atlanta, GA, USA.; Stanford Institute for Immunity, Transplantation and Infection, Stanford  University School of Medicine, Stanford, CA, USA.; Stanford Institute for Immunity, Transplantation and Infection, Stanford  University School of Medicine, Stanford, CA, USA.; Center for Biomedical Informatics Research, Department of Medicine, Stanford  University School of Medicine, Stanford, CA, 94305, USA.; Inflammatix, Sunnyvale, CA, 94085, USA.; Children&amp;apos;s Hospital of Philadelphia, Philadelphia, PA, 19104, USA.; Nemours Children&amp;apos;s Health, Wilmington, DE, 19803, USA.; UCSF Benioff Children&amp;apos;s Hospital Oakland, Oakland, CA, 94609, USA.; Akron Children&amp;apos;s Hospital, Akron, OH, 44308, USA.; Texas Children&amp;apos;s Hospital, Baylor College of Medicine, Houston, TX, 77030, USA.; Children&amp;apos;s Hospital of Orange County, Orange, CA, 92868, USA.; Riley Hospital for Children, Indianapolis, IN, 46202, USA.; Children&amp;apos;s Hospital and Clinics of Minnesota, Minneapolis, MN, 55404, USA.; Penn State Hershey Children&amp;apos;s Hospital, Hershey, PA, 17033, USA.; C.S Mott Children&amp;apos;s Hospital, University of Michigan, Ann Arbor, MI, 48109, USA.; C.S Mott Children&amp;apos;s Hospital, University of Michigan, Ann Arbor, MI, 48109, USA.; University of Florida Health Children&amp;apos;s Hospital, Gainesville, FL, 32610, USA.; Lucile Packard Children&amp;apos;s Hospital Stanford, Palo Alto, CA, 94304, USA.; Division of Critical Care Medicine, MLC2005, Cincinnati Children&amp;apos;s Hospital  Medical Center, 3333 Burnet Avenue, Cincinnati, OH, 45229, USA.; Department of Pediatrics, University of Cincinnati College of Medicine,  Cincinnati, OH, 45627, USA.; Division of Critical Care Medicine, MLC2005, Cincinnati Children&amp;apos;s Hospital  Medical Center, 3333 Burnet Avenue, Cincinnati, OH, 45229, USA.; Department of Pediatrics, University of Cincinnati College of Medicine,  Cincinnati, OH, 45627, USA.; Division of Critical Care Medicine, MLC2005, Cincinnati Children&amp;apos;s Hospital  Medical Center, 3333 Burnet Avenue, Cincinnati, OH, 45229, USA.; Department of Pediatrics, University of Cincinnati College of Medicine,  Cincinnati, OH, 45627, USA.; Division of Critical Care Medicine, MLC2005, Cincinnati Children&amp;apos;s Hospital  Medical Center, 3333 Burnet Avenue, Cincinnati, OH, 45229, USA.; Department of Pediatrics, University of Cincinnati College of Medicine,  Cincinnati, OH, 45627, USA.; Division of Critical Care Medicine, MLC2005, Cincinnati Children&amp;apos;s Hospital  Medical Center, 3333 Burnet Avenue, Cincinnati, OH, 45229, USA.; Department of Pediatrics, University of Cincinnati College of Medicine,  Cincinnati, OH, 45627, USA.; Division of Biostatistics and Epidemiology, Cincinnati Children&amp;apos;s Hospital  Medical Center, Cincinnati, OH, 45229, USA.; Division of Biostatistics and Epidemiology, Cincinnati Children&amp;apos;s Hospital  Medical Center, Cincinnati, OH, 45229, USA.; Inflammatix, Sunnyvale, CA, 94085, USA.; Stanford Institute for Immunity, Transplantation and Infection, Stanford  University School of Medicine, Stanford, CA, USA.; Center for Biomedical Informatics Research, Department of Medicine, Stanford  University School of Medicine, Stanford, CA, 94305, USA.; Department of Pediatrics, Northwestern University Feinberg School of Medicine,  Chicago, IL, 60611, USA.; Department of Health and Biomedical Informatics, Northwestern University Feinberg  School of Medicine, Chicago, IL, 60611, USA.; Department of Biomedical Informatics, Emory University School of Medicine,  Atlanta, GA, 30322, USA.; Department of Biomedical Engineering, Georgia Institute of Technology, Atlanta,  GA, 30322, USA.&lt;/_author_adr&gt;&lt;_collection_scope&gt;SCI;SCIE&lt;/_collection_scope&gt;&lt;_created&gt;65752504&lt;/_created&gt;&lt;_date&gt;2024-07-17&lt;/_date&gt;&lt;_date_display&gt;2024 Jul 17&lt;/_date_display&gt;&lt;_db_updated&gt;PubMed&lt;/_db_updated&gt;&lt;_doi&gt;10.1186/s13054-024-05020-z&lt;/_doi&gt;&lt;_impact_factor&gt;  19.334&lt;/_impact_factor&gt;&lt;_isbn&gt;1466-609X (Electronic); 1364-8535 (Print); 1364-8535 (Linking)&lt;/_isbn&gt;&lt;_issue&gt;1&lt;/_issue&gt;&lt;_journal&gt;Crit Care&lt;/_journal&gt;&lt;_keywords&gt;Endotype; Phenotype; Precision medicine; Sepsis&lt;/_keywords&gt;&lt;_language&gt;eng&lt;/_language&gt;&lt;_modified&gt;65752504&lt;/_modified&gt;&lt;_ori_publication&gt;(c) 2024. The Author(s).&lt;/_ori_publication&gt;&lt;_pages&gt;246&lt;/_pages&gt;&lt;_subject_headings&gt;Humans; *Shock, Septic/genetics/classification/physiopathology; Female; Male; Child; Child, Preschool; *Phenotype; Prospective Studies; Infant; Transcriptome/genetics; Gene Expression Profiling/methods; Adolescent; Cohort Studies; Biomarkers/analysis&lt;/_subject_headings&gt;&lt;_tertiary_title&gt;Critical care (London, England)&lt;/_tertiary_title&gt;&lt;_type_work&gt;Journal Article; Multicenter Study; Observational Study; Research Support, N.I.H., Extramural; Research Support, Non-U.S. Gov&amp;apos;t&lt;/_type_work&gt;&lt;_url&gt;http://www.ncbi.nlm.nih.gov/entrez/query.fcgi?cmd=Retrieve&amp;amp;db=pubmed&amp;amp;dopt=Abstract&amp;amp;list_uids=39014377&amp;amp;query_hl=1&lt;/_url&gt;&lt;_volume&gt;28&lt;/_volume&gt;&lt;/Details&gt;&lt;Extra&gt;&lt;DBUID&gt;{F96A950B-833F-4880-A151-76DA2D6A2879}&lt;/DBUID&gt;&lt;/Extra&gt;&lt;/Item&gt;&lt;/References&gt;&lt;/Group&gt;&lt;Group&gt;&lt;References&gt;&lt;Item&gt;&lt;ID&gt;6771&lt;/ID&gt;&lt;UID&gt;{4A64B569-649F-4484-B81A-201904542CC3}&lt;/UID&gt;&lt;Title&gt;Current sepsis therapeutics&lt;/Title&gt;&lt;Template&gt;Journal Article&lt;/Template&gt;&lt;Star&gt;0&lt;/Star&gt;&lt;Tag&gt;0&lt;/Tag&gt;&lt;Author&gt;Vincent, J L&lt;/Author&gt;&lt;Year&gt;2022&lt;/Year&gt;&lt;Details&gt;&lt;_accession_num&gt;36470828&lt;/_accession_num&gt;&lt;_author_adr&gt;Department of Intensive Care, Erasme Hospital, Universite libre de Bruxelles,  Brussels, Belgium. Electronic address: jlvincent@intensive.org.&lt;/_author_adr&gt;&lt;_collection_scope&gt;SCIE&lt;/_collection_scope&gt;&lt;_created&gt;65753079&lt;/_created&gt;&lt;_date&gt;2022-12-01&lt;/_date&gt;&lt;_date_display&gt;2022 Dec&lt;/_date_display&gt;&lt;_db_updated&gt;PubMed&lt;/_db_updated&gt;&lt;_doi&gt;10.1016/j.ebiom.2022.104318&lt;/_doi&gt;&lt;_impact_factor&gt;  11.205&lt;/_impact_factor&gt;&lt;_isbn&gt;2352-3964 (Electronic); 2352-3964 (Linking)&lt;/_isbn&gt;&lt;_journal&gt;EBioMedicine&lt;/_journal&gt;&lt;_keywords&gt;Dobutamine; Haemodynamic monitoring; Lactate; Organ failure; Personalization&lt;/_keywords&gt;&lt;_language&gt;eng&lt;/_language&gt;&lt;_modified&gt;65753079&lt;/_modified&gt;&lt;_ori_publication&gt;Copyright (c) 2022 The Author(s). Published by Elsevier B.V. All rights reserved.&lt;/_ori_publication&gt;&lt;_pages&gt;104318&lt;/_pages&gt;&lt;_subject_headings&gt;Humans; *Shock, Septic; *Sepsis/drug therapy/etiology; Vasoconstrictor Agents/therapeutic use; Hemodynamics; Anti-Bacterial Agents&lt;/_subject_headings&gt;&lt;_tertiary_title&gt;EBioMedicine&lt;/_tertiary_title&gt;&lt;_type_work&gt;Journal Article; Review&lt;/_type_work&gt;&lt;_url&gt;http://www.ncbi.nlm.nih.gov/entrez/query.fcgi?cmd=Retrieve&amp;amp;db=pubmed&amp;amp;dopt=Abstract&amp;amp;list_uids=36470828&amp;amp;query_hl=1&lt;/_url&gt;&lt;_volume&gt;86&lt;/_volume&gt;&lt;/Details&gt;&lt;Extra&gt;&lt;DBUID&gt;{F96A950B-833F-4880-A151-76DA2D6A2879}&lt;/DBUID&gt;&lt;/Extra&gt;&lt;/Item&gt;&lt;/References&gt;&lt;/Group&gt;&lt;/Citation&gt;_x000a_"/>
    <w:docVar w:name="NE.Ref{D0FCEE76-E674-4F83-8BE4-1C8AB02DA1AC}" w:val=" ADDIN NE.Ref.{D0FCEE76-E674-4F83-8BE4-1C8AB02DA1AC}&lt;Citation&gt;&lt;Group&gt;&lt;References&gt;&lt;Item&gt;&lt;ID&gt;563&lt;/ID&gt;&lt;UID&gt;{AC9829C2-B8DB-4D03-92D1-000EA7664FF3}&lt;/UID&gt;&lt;Title&gt;Association Between Early Lactate Levels and 30-Day Mortality in Clinically  Suspected Sepsis in Children&lt;/Title&gt;&lt;Template&gt;Journal Article&lt;/Template&gt;&lt;Star&gt;0&lt;/Star&gt;&lt;Tag&gt;0&lt;/Tag&gt;&lt;Author&gt;Scott, H F; Brou, L; Deakyne, S J; Kempe, A; Fairclough, D L; Bajaj, L&lt;/Author&gt;&lt;Year&gt;2017&lt;/Year&gt;&lt;Details&gt;&lt;_accession_num&gt;28068437&lt;/_accession_num&gt;&lt;_author_adr&gt;Department of Pediatrics, University of Colorado, Aurora2Section of Emergency  Medicine, Department of Pediatrics, Children&amp;apos;s Hospital Colorado, Aurora.; Department of Pediatrics, University of Colorado, Aurora.; Department of Pediatrics, Children&amp;apos;s Hospital Colorado, Aurora.; Department of Pediatrics, University of Colorado, Aurora3Department of  Pediatrics, Children&amp;apos;s Hospital Colorado, Aurora4Adult and Child Center for  Outcomes Research and Delivery Science, University of Colorado, Aurora.; Adult and Child Center for Outcomes Research and Delivery Science, University of  Colorado, Aurora5Colorado School of Public Health, Aurora.; Department of Pediatrics, University of Colorado, Aurora2Section of Emergency  Medicine, Department of Pediatrics, Children&amp;apos;s Hospital Colorado, Aurora.&lt;/_author_adr&gt;&lt;_collection_scope&gt;SCIE&lt;/_collection_scope&gt;&lt;_created&gt;65480604&lt;/_created&gt;&lt;_date&gt;2017-03-01&lt;/_date&gt;&lt;_date_display&gt;2017 Mar 1&lt;/_date_display&gt;&lt;_doi&gt;10.1001/jamapediatrics.2016.3681&lt;/_doi&gt;&lt;_impact_factor&gt;  26.100&lt;/_impact_factor&gt;&lt;_isbn&gt;2168-6211 (Electronic); 2168-6203 (Linking)&lt;/_isbn&gt;&lt;_issue&gt;3&lt;/_issue&gt;&lt;_journal&gt;JAMA Pediatr&lt;/_journal&gt;&lt;_language&gt;eng&lt;/_language&gt;&lt;_modified&gt;65480604&lt;/_modified&gt;&lt;_pages&gt;249-255&lt;/_pages&gt;&lt;_social_category&gt;儿科(1)&lt;/_social_category&gt;&lt;_subject_headings&gt;Child; Cohort Studies; Emergency Service, Hospital; Female; *Hospital Mortality; Humans; Lactic Acid/*blood; Male; Registries; Sensitivity and Specificity; Sepsis/*blood/mortality&lt;/_subject_headings&gt;&lt;_tertiary_title&gt;JAMA pediatrics&lt;/_tertiary_title&gt;&lt;_type_work&gt;Journal Article; Observational Study; Research Support, Non-U.S. Gov&amp;apos;t&lt;/_type_work&gt;&lt;_url&gt;http://www.ncbi.nlm.nih.gov/entrez/query.fcgi?cmd=Retrieve&amp;amp;db=pubmed&amp;amp;dopt=Abstract&amp;amp;list_uids=28068437&amp;amp;query_hl=1&lt;/_url&gt;&lt;_volume&gt;171&lt;/_volume&gt;&lt;/Details&gt;&lt;Extra/&gt;&lt;/Item&gt;&lt;/References&gt;&lt;/Group&gt;&lt;/Citation&gt;_x000a_"/>
    <w:docVar w:name="NE.Ref{DAEAD30E-E8EF-42BE-B377-94700393FD11}" w:val=" ADDIN NE.Ref.{DAEAD30E-E8EF-42BE-B377-94700393FD11}&lt;Citation&gt;&lt;Group&gt;&lt;References&gt;&lt;Item&gt;&lt;ID&gt;6752&lt;/ID&gt;&lt;UID&gt;{4FE8BD01-2BE4-456F-B9F7-23B87858C28A}&lt;/UID&gt;&lt;Title&gt;Chemistry and biochemistry of 4-hydroxynonenal, malonaldehyde and related  aldehydes&lt;/Title&gt;&lt;Template&gt;Journal Article&lt;/Template&gt;&lt;Star&gt;0&lt;/Star&gt;&lt;Tag&gt;0&lt;/Tag&gt;&lt;Author&gt;Esterbauer, H; Schaur, R J; Zollner, H&lt;/Author&gt;&lt;Year&gt;1991&lt;/Year&gt;&lt;Details&gt;&lt;_accession_num&gt;1937131&lt;/_accession_num&gt;&lt;_author_adr&gt;Institute of Biochemistry, University of Graz, Austria.&lt;/_author_adr&gt;&lt;_created&gt;65751699&lt;/_created&gt;&lt;_date&gt;1991-01-19&lt;/_date&gt;&lt;_date_display&gt;1991&lt;/_date_display&gt;&lt;_db_updated&gt;PubMed&lt;/_db_updated&gt;&lt;_doi&gt;10.1016/0891-5849(91)90192-6&lt;/_doi&gt;&lt;_impact_factor&gt;   8.101&lt;/_impact_factor&gt;&lt;_isbn&gt;0891-5849 (Print); 0891-5849 (Linking)&lt;/_isbn&gt;&lt;_issue&gt;1&lt;/_issue&gt;&lt;_journal&gt;Free Radic Biol Med&lt;/_journal&gt;&lt;_language&gt;eng&lt;/_language&gt;&lt;_modified&gt;65751699&lt;/_modified&gt;&lt;_pages&gt;81-128&lt;/_pages&gt;&lt;_subject_headings&gt;Aldehydes/*chemistry; Animals; Free Radicals; Humans; Malondialdehyde/*chemistry&lt;/_subject_headings&gt;&lt;_tertiary_title&gt;Free radical biology &amp;amp; medicine&lt;/_tertiary_title&gt;&lt;_type_work&gt;Journal Article; Research Support, Non-U.S. Gov&amp;apos;t; Review&lt;/_type_work&gt;&lt;_url&gt;http://www.ncbi.nlm.nih.gov/entrez/query.fcgi?cmd=Retrieve&amp;amp;db=pubmed&amp;amp;dopt=Abstract&amp;amp;list_uids=1937131&amp;amp;query_hl=1&lt;/_url&gt;&lt;_volume&gt;11&lt;/_volume&gt;&lt;/Details&gt;&lt;Extra&gt;&lt;DBUID&gt;{F96A950B-833F-4880-A151-76DA2D6A2879}&lt;/DBUID&gt;&lt;/Extra&gt;&lt;/Item&gt;&lt;/References&gt;&lt;/Group&gt;&lt;Group&gt;&lt;References&gt;&lt;Item&gt;&lt;ID&gt;6753&lt;/ID&gt;&lt;UID&gt;{9A58742C-BB1F-41CA-B602-9B69894F32D4}&lt;/UID&gt;&lt;Title&gt;Identification of oxidative stress and Toll-like receptor 4 signaling as a key  pathway of acute lung injury&lt;/Title&gt;&lt;Template&gt;Journal Article&lt;/Template&gt;&lt;Star&gt;0&lt;/Star&gt;&lt;Tag&gt;0&lt;/Tag&gt;&lt;Author&gt;Imai, Y; Kuba, K; Neely, G G; Yaghubian-Malhami, R; Perkmann, T; van Loo, G; Ermolaeva, M; Veldhuizen, R; Leung, Y H; Wang, H; Liu, H; Sun, Y; Pasparakis, M; Kopf, M; Mech, C; Bavari, S; Peiris, J S; Slutsky, A S; Akira, S; Hultqvist, M; Holmdahl, R; Nicholls, J; Jiang, C; Binder, C J; Penninger, J M&lt;/Author&gt;&lt;Year&gt;2008&lt;/Year&gt;&lt;Details&gt;&lt;_accession_num&gt;18423196&lt;/_accession_num&gt;&lt;_author_adr&gt;IMBA, Institute of Molecular Biotechnology of the Austrian Academy of Sciences,  Dr. Bohrgasse 3, A-1030 Vienna, Austria. imai@med.akita-u.ac.jp&lt;/_author_adr&gt;&lt;_collection_scope&gt;SCI;SCIE&lt;/_collection_scope&gt;&lt;_created&gt;65751699&lt;/_created&gt;&lt;_date&gt;2008-04-18&lt;/_date&gt;&lt;_date_display&gt;2008 Apr 18&lt;/_date_display&gt;&lt;_db_updated&gt;PubMed&lt;/_db_updated&gt;&lt;_doi&gt;10.1016/j.cell.2008.02.043&lt;/_doi&gt;&lt;_impact_factor&gt;  66.850&lt;/_impact_factor&gt;&lt;_isbn&gt;1097-4172 (Electronic); 0092-8674 (Print); 0092-8674 (Linking)&lt;/_isbn&gt;&lt;_issue&gt;2&lt;/_issue&gt;&lt;_journal&gt;Cell&lt;/_journal&gt;&lt;_language&gt;eng&lt;/_language&gt;&lt;_modified&gt;65751699&lt;/_modified&gt;&lt;_pages&gt;235-49&lt;/_pages&gt;&lt;_subject_headings&gt;Adaptor Proteins, Vesicular Transport/metabolism; Animals; Humans; Influenza, Human/metabolism; Interleukin-6/metabolism; Lung; Mice; Mice, Inbred C57BL; NADPH Oxidases/metabolism; NF-kappa B/metabolism; Orthomyxoviridae Infections/metabolism; *Oxidative Stress; Phospholipids/metabolism; Respiratory Distress Syndrome/*metabolism; Severe Acute Respiratory Syndrome/metabolism; Signal Transduction; Toll-Like Receptor 4/*metabolism&lt;/_subject_headings&gt;&lt;_tertiary_title&gt;Cell&lt;/_tertiary_title&gt;&lt;_type_work&gt;Journal Article; Research Support, Non-U.S. Gov&amp;apos;t&lt;/_type_work&gt;&lt;_url&gt;http://www.ncbi.nlm.nih.gov/entrez/query.fcgi?cmd=Retrieve&amp;amp;db=pubmed&amp;amp;dopt=Abstract&amp;amp;list_uids=18423196&amp;amp;query_hl=1&lt;/_url&gt;&lt;_volume&gt;133&lt;/_volume&gt;&lt;/Details&gt;&lt;Extra&gt;&lt;DBUID&gt;{F96A950B-833F-4880-A151-76DA2D6A2879}&lt;/DBUID&gt;&lt;/Extra&gt;&lt;/Item&gt;&lt;/References&gt;&lt;/Group&gt;&lt;Group&gt;&lt;References&gt;&lt;Item&gt;&lt;ID&gt;6754&lt;/ID&gt;&lt;UID&gt;{41640617-0940-4104-88CF-4E06701605F6}&lt;/UID&gt;&lt;Title&gt;Malondialdehyde-acetaldehyde-adducted protein inhalation causes lung injury&lt;/Title&gt;&lt;Template&gt;Journal Article&lt;/Template&gt;&lt;Star&gt;0&lt;/Star&gt;&lt;Tag&gt;0&lt;/Tag&gt;&lt;Author&gt;Wyatt, T A; Kharbanda, K K; McCaskill, M L; Tuma, D J; Yanov, D; DeVasure, J; Sisson, J H&lt;/Author&gt;&lt;Year&gt;2012&lt;/Year&gt;&lt;Details&gt;&lt;_accession_num&gt;21958604&lt;/_accession_num&gt;&lt;_author_adr&gt;Research Service, Veteran Affairs Nebraska-Western Iowa Health Care System,  Omaha, NE 68105, USA. twyatt@unmc.edu&lt;/_author_adr&gt;&lt;_collection_scope&gt;SCI;SCIE&lt;/_collection_scope&gt;&lt;_created&gt;65751699&lt;/_created&gt;&lt;_date&gt;2012-02-01&lt;/_date&gt;&lt;_date_display&gt;2012 Feb&lt;/_date_display&gt;&lt;_db_updated&gt;PubMed&lt;/_db_updated&gt;&lt;_doi&gt;10.1016/j.alcohol.2011.09.001&lt;/_doi&gt;&lt;_impact_factor&gt;   2.558&lt;/_impact_factor&gt;&lt;_isbn&gt;1873-6823 (Electronic); 0741-8329 (Print); 0741-8329 (Linking)&lt;/_isbn&gt;&lt;_issue&gt;1&lt;/_issue&gt;&lt;_journal&gt;Alcohol&lt;/_journal&gt;&lt;_language&gt;eng&lt;/_language&gt;&lt;_modified&gt;65751699&lt;/_modified&gt;&lt;_ori_publication&gt;Published by Elsevier Inc.&lt;/_ori_publication&gt;&lt;_pages&gt;51-9&lt;/_pages&gt;&lt;_subject_headings&gt;Acetaldehyde/metabolism/*toxicity; Animals; Chemokines/drug effects; Ethanol/metabolism/toxicity; Female; Humans; Inflammation/chemically induced/metabolism; *Inhalation Exposure; Interleukin-8/drug effects; Lung Injury/*chemically induced; Malondialdehyde/metabolism/*toxicity; Mice; Pneumonia/chemically induced; Protein Kinase C/drug effects; Pulmonary Surfactant-Associated Proteins/metabolism; Smoke/*adverse effects; Smoke Inhalation Injury/*metabolism&lt;/_subject_headings&gt;&lt;_tertiary_title&gt;Alcohol (Fayetteville, N.Y.)&lt;/_tertiary_title&gt;&lt;_type_work&gt;Journal Article; Research Support, N.I.H., Extramural&lt;/_type_work&gt;&lt;_url&gt;http://www.ncbi.nlm.nih.gov/entrez/query.fcgi?cmd=Retrieve&amp;amp;db=pubmed&amp;amp;dopt=Abstract&amp;amp;list_uids=21958604&amp;amp;query_hl=1&lt;/_url&gt;&lt;_volume&gt;46&lt;/_volume&gt;&lt;/Details&gt;&lt;Extra&gt;&lt;DBUID&gt;{F96A950B-833F-4880-A151-76DA2D6A2879}&lt;/DBUID&gt;&lt;/Extra&gt;&lt;/Item&gt;&lt;/References&gt;&lt;/Group&gt;&lt;/Citation&gt;_x000a_"/>
    <w:docVar w:name="NE.Ref{E1755BA2-CC71-4EFB-8E63-3FFA3CA053A8}" w:val=" ADDIN NE.Ref.{E1755BA2-CC71-4EFB-8E63-3FFA3CA053A8}&lt;Citation&gt;&lt;Group&gt;&lt;References&gt;&lt;Item&gt;&lt;ID&gt;6805&lt;/ID&gt;&lt;UID&gt;{263F8BD9-3E74-43BD-B967-7080867193D9}&lt;/UID&gt;&lt;Title&gt;Metabolomics study of ribavirin in the treatment of orthotopic lung cancer based  on UPLC-Q-TOF/MS&lt;/Title&gt;&lt;Template&gt;Journal Article&lt;/Template&gt;&lt;Star&gt;0&lt;/Star&gt;&lt;Tag&gt;0&lt;/Tag&gt;&lt;Author&gt;Zhu, S; Han, X; Yang, R; Tian, Y; Zhang, Q; Wu, Y; Dong, S; Zhang, B&lt;/Author&gt;&lt;Year&gt;2023&lt;/Year&gt;&lt;Details&gt;&lt;_accession_num&gt;36529159&lt;/_accession_num&gt;&lt;_author_adr&gt;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Department of Pharmacology, School of Basic Medical Sciences, Lanzhou University,  Lanzhou, 730000, China. Electronic address: dongshh@lzu.edu.cn.; Department of Pharmacology, School of Basic Medical Sciences, Lanzhou University,  Lanzhou, 730000, China. Electronic address: zhangbl@lzu.edu.cn.&lt;/_author_adr&gt;&lt;_date_display&gt;2023 Jan 25&lt;/_date_display&gt;&lt;_date&gt;2023-01-25&lt;/_date&gt;&lt;_doi&gt;10.1016/j.cbi.2022.110305&lt;/_doi&gt;&lt;_isbn&gt;1872-7786 (Electronic); 0009-2797 (Linking)&lt;/_isbn&gt;&lt;_journal&gt;Chem Biol Interact&lt;/_journal&gt;&lt;_keywords&gt;Lung cancer; Metabolic pathway; Metabolites; Metabolomics; Ribavirin&lt;/_keywords&gt;&lt;_language&gt;eng&lt;/_language&gt;&lt;_ori_publication&gt;Copyright (c) 2022 Elsevier B.V. All rights reserved.&lt;/_ori_publication&gt;&lt;_pages&gt;110305&lt;/_pages&gt;&lt;_subject_headings&gt;Mice; Animals; *Ribavirin/pharmacology/therapeutic use; Arachidonic Acid; Linoleic Acid; Metabolomics/methods; *Lung Neoplasms/drug therapy; Chromatography, High Pressure Liquid/methods; Niacinamide; Taurine; Biomarkers&lt;/_subject_headings&gt;&lt;_tertiary_title&gt;Chemico-biological interactions&lt;/_tertiary_title&gt;&lt;_type_work&gt;Journal Article&lt;/_type_work&gt;&lt;_url&gt;http://www.ncbi.nlm.nih.gov/entrez/query.fcgi?cmd=Retrieve&amp;amp;db=pubmed&amp;amp;dopt=Abstract&amp;amp;list_uids=36529159&amp;amp;query_hl=1&lt;/_url&gt;&lt;_volume&gt;370&lt;/_volume&gt;&lt;_created&gt;65964388&lt;/_created&gt;&lt;_modified&gt;65964388&lt;/_modified&gt;&lt;_db_updated&gt;PubMed&lt;/_db_updated&gt;&lt;_impact_factor&gt;   5.168&lt;/_impact_factor&gt;&lt;/Details&gt;&lt;Extra&gt;&lt;DBUID&gt;{F96A950B-833F-4880-A151-76DA2D6A2879}&lt;/DBUID&gt;&lt;/Extra&gt;&lt;/Item&gt;&lt;/References&gt;&lt;/Group&gt;&lt;Group&gt;&lt;References&gt;&lt;Item&gt;&lt;ID&gt;6804&lt;/ID&gt;&lt;UID&gt;{45B1C84B-C807-4B18-8A61-036A51310C46}&lt;/UID&gt;&lt;Title&gt;Prediction of biomarkers of therapeutic effects of patients with lung  adenocarcinoma treated with gefitinib based on progression-free-survival by  metabolomic fingerprinting&lt;/Title&gt;&lt;Template&gt;Journal Article&lt;/Template&gt;&lt;Star&gt;0&lt;/Star&gt;&lt;Tag&gt;0&lt;/Tag&gt;&lt;Author&gt;Zhuang, J; Tang, X; &amp;quot;Du Z&amp;quot;; Yang, M; Zhou, Y&lt;/Author&gt;&lt;Year&gt;2016&lt;/Year&gt;&lt;Details&gt;&lt;_accession_num&gt;27591660&lt;/_accession_num&gt;&lt;_author_adr&gt;Analysisand Testing Center, Beijing University of Chemical Technology, Beijing  100029, China.; Analysisand Testing Center, Beijing University of Chemical Technology, Beijing  100029, China; Shandong Provincial Key Laboratory of Radiation Oncology, Cancer  Research Center, Shandong Cancer Hospital affiliated to Shandong University,  Shandong Academy of Medical Sciences, Jinan 250117, Shandong Province, China.; Analysisand Testing Center, Beijing University of Chemical Technology, Beijing  100029, China. Electronic address: duzx@mail.buct.edu.cn.; Shandong Provincial Key Laboratory of Radiation Oncology, Cancer Research Center,  Shandong Cancer Hospital affiliated to Shandong University, Shandong Academy of  Medical Sciences, Jinan 250117, Shandong Province, China. Electronic address:  aaryoung@yeah.net.; Analysisand Testing Center, Beijing University of Chemical Technology, Beijing  100029, China.&lt;/_author_adr&gt;&lt;_date_display&gt;2016 Nov 1&lt;/_date_display&gt;&lt;_date&gt;2016-11-01&lt;/_date&gt;&lt;_doi&gt;10.1016/j.talanta.2016.08.007&lt;/_doi&gt;&lt;_isbn&gt;1873-3573 (Electronic); 0039-9140 (Linking)&lt;/_isbn&gt;&lt;_journal&gt;Talanta&lt;/_journal&gt;&lt;_keywords&gt;Biomarker; Gefitinib; Lung cancer; Metabolomics; Ultra-high performance liquid chromatography-quadrupole-time of flight mass _x000d__x000a_      spectrometry (UHPLC-Q-TOF MS)&lt;/_keywords&gt;&lt;_language&gt;eng&lt;/_language&gt;&lt;_ori_publication&gt;Copyright (c) 2016 Elsevier B.V. All rights reserved.&lt;/_ori_publication&gt;&lt;_pages&gt;636-644&lt;/_pages&gt;&lt;_subject_headings&gt;Adenocarcinoma/*blood/drug therapy; Adenocarcinoma of Lung; Adult; Aged; Aged, 80 and over; Antineoplastic Agents/*therapeutic use; Biomarkers, Tumor/*blood; Carcinoma, Non-Small-Cell Lung/*blood/drug therapy; Chromatography, High Pressure Liquid; Disease-Free Survival; Female; Gefitinib; Humans; Least-Squares Analysis; Lung Neoplasms/*blood/drug therapy; Male; Mass Spectrometry; Metabolomics; Middle Aged; Protein Kinase Inhibitors/*therapeutic use; Quinazolines/*therapeutic use; Treatment Outcome&lt;/_subject_headings&gt;&lt;_tertiary_title&gt;Talanta&lt;/_tertiary_title&gt;&lt;_type_work&gt;Clinical Trial; Journal Article&lt;/_type_work&gt;&lt;_url&gt;http://www.ncbi.nlm.nih.gov/entrez/query.fcgi?cmd=Retrieve&amp;amp;db=pubmed&amp;amp;dopt=Abstract&amp;amp;list_uids=27591660&amp;amp;query_hl=1&lt;/_url&gt;&lt;_volume&gt;160&lt;/_volume&gt;&lt;_created&gt;65964388&lt;/_created&gt;&lt;_modified&gt;65964388&lt;/_modified&gt;&lt;_db_updated&gt;PubMed&lt;/_db_updated&gt;&lt;_impact_factor&gt;   6.556&lt;/_impact_factor&gt;&lt;_collection_scope&gt;SCI;SCIE;EI&lt;/_collection_scope&gt;&lt;/Details&gt;&lt;Extra&gt;&lt;DBUID&gt;{F96A950B-833F-4880-A151-76DA2D6A2879}&lt;/DBUID&gt;&lt;/Extra&gt;&lt;/Item&gt;&lt;/References&gt;&lt;/Group&gt;&lt;/Citation&gt;_x000a_"/>
    <w:docVar w:name="NE.Ref{EB41AEE6-7F1F-46C3-9C19-A020DCDE4D0B}" w:val=" ADDIN NE.Ref.{EB41AEE6-7F1F-46C3-9C19-A020DCDE4D0B}&lt;Citation&gt;&lt;Group&gt;&lt;References&gt;&lt;Item&gt;&lt;ID&gt;6743&lt;/ID&gt;&lt;UID&gt;{DF902A9E-AB54-46A0-8E97-703FEE5757AC}&lt;/UID&gt;&lt;Title&gt;International pediatric sepsis consensus conference: definitions for sepsis and  organ dysfunction in pediatrics&lt;/Title&gt;&lt;Template&gt;Journal Article&lt;/Template&gt;&lt;Star&gt;0&lt;/Star&gt;&lt;Tag&gt;0&lt;/Tag&gt;&lt;Author&gt;Goldstein, B; Giroir, B; Randolph, A&lt;/Author&gt;&lt;Year&gt;2005&lt;/Year&gt;&lt;Details&gt;&lt;_accession_num&gt;15636651&lt;/_accession_num&gt;&lt;_author_adr&gt;FCCM Oregon Health &amp;amp; Science University, Portland, OR, USA.&lt;/_author_adr&gt;&lt;_created&gt;65751692&lt;/_created&gt;&lt;_date&gt;2005-01-01&lt;/_date&gt;&lt;_date_display&gt;2005 Jan&lt;/_date_display&gt;&lt;_db_updated&gt;PubMed&lt;/_db_updated&gt;&lt;_doi&gt;10.1097/01.PCC.0000149131.72248.E6&lt;/_doi&gt;&lt;_impact_factor&gt;   3.971&lt;/_impact_factor&gt;&lt;_isbn&gt;1529-7535 (Print); 1529-7535 (Linking)&lt;/_isbn&gt;&lt;_issue&gt;1&lt;/_issue&gt;&lt;_journal&gt;Pediatr Crit Care Med&lt;/_journal&gt;&lt;_language&gt;eng&lt;/_language&gt;&lt;_modified&gt;65751693&lt;/_modified&gt;&lt;_pages&gt;2-8&lt;/_pages&gt;&lt;_subject_headings&gt;Adolescent; Child; Clinical Trials as Topic; Humans; Infant, Newborn; International Cooperation; Multiple Organ Failure/classification/*diagnosis; Pediatrics/*standards; *Practice Guidelines as Topic; Sepsis/classification/*diagnosis&lt;/_subject_headings&gt;&lt;_tertiary_title&gt;Pediatric critical care medicine : a journal of the Society of Critical Care _x000d__x000a_      Medicine and the World Federation of Pediatric Intensive and Critical Care _x000d__x000a_      Societies&lt;/_tertiary_title&gt;&lt;_type_work&gt;Consensus Development Conference; Journal Article; Research Support, Non-U.S. Gov&amp;apos;t; Review&lt;/_type_work&gt;&lt;_url&gt;http://www.ncbi.nlm.nih.gov/entrez/query.fcgi?cmd=Retrieve&amp;amp;db=pubmed&amp;amp;dopt=Abstract&amp;amp;list_uids=15636651&amp;amp;query_hl=1&lt;/_url&gt;&lt;_volume&gt;6&lt;/_volume&gt;&lt;/Details&gt;&lt;Extra&gt;&lt;DBUID&gt;{F96A950B-833F-4880-A151-76DA2D6A2879}&lt;/DBUID&gt;&lt;/Extra&gt;&lt;/Item&gt;&lt;/References&gt;&lt;/Group&gt;&lt;/Citation&gt;_x000a_"/>
    <w:docVar w:name="NE.Ref{F9845157-B04F-4F3C-A539-1D844BEECA1C}" w:val=" ADDIN NE.Ref.{F9845157-B04F-4F3C-A539-1D844BEECA1C}&lt;Citation&gt;&lt;Group&gt;&lt;References&gt;&lt;Item&gt;&lt;ID&gt;6766&lt;/ID&gt;&lt;UID&gt;{16C66667-629A-4220-8A25-C52F752AB5F4}&lt;/UID&gt;&lt;Title&gt;Amino acids and immune function&lt;/Title&gt;&lt;Template&gt;Journal Article&lt;/Template&gt;&lt;Star&gt;0&lt;/Star&gt;&lt;Tag&gt;0&lt;/Tag&gt;&lt;Author&gt;Li, P; Yin, Y L; Li, D; Kim, S W; Wu, G&lt;/Author&gt;&lt;Year&gt;2007&lt;/Year&gt;&lt;Details&gt;&lt;_accession_num&gt;17403271&lt;/_accession_num&gt;&lt;_author_adr&gt;Faculty of Nutrition and Department of Animal Science, Texas A and M University,  College Station, TX 77843, USA.&lt;/_author_adr&gt;&lt;_created&gt;65752547&lt;/_created&gt;&lt;_date&gt;2007-08-01&lt;/_date&gt;&lt;_date_display&gt;2007 Aug&lt;/_date_display&gt;&lt;_db_updated&gt;PubMed&lt;/_db_updated&gt;&lt;_doi&gt;10.1017/S000711450769936X&lt;/_doi&gt;&lt;_impact_factor&gt;   4.125&lt;/_impact_factor&gt;&lt;_isbn&gt;0007-1145 (Print); 0007-1145 (Linking)&lt;/_isbn&gt;&lt;_issue&gt;2&lt;/_issue&gt;&lt;_journal&gt;Br J Nutr&lt;/_journal&gt;&lt;_language&gt;eng&lt;/_language&gt;&lt;_modified&gt;65752548&lt;/_modified&gt;&lt;_pages&gt;237-52&lt;/_pages&gt;&lt;_subject_headings&gt;Amino Acids/deficiency/*immunology/metabolism; Amino Acids, Branched-Chain/immunology/metabolism; Amino Acids, Sulfur/immunology/metabolism; Animals; Antibodies/immunology/metabolism; Communicable Diseases/immunology; Cytokines/immunology/metabolism; Dietary Proteins/administration &amp;amp; dosage/immunology; Humans; Immune System/*immunology/metabolism; Immunity/immunology; Lymphocyte Activation/immunology; Macrophages/immunology; Nutrition Disorders/immunology&lt;/_subject_headings&gt;&lt;_tertiary_title&gt;The British journal of nutrition&lt;/_tertiary_title&gt;&lt;_type_work&gt;Journal Article; Research Support, N.I.H., Extramural; Research Support, Non-U.S. Gov&amp;apos;t; Research Support, U.S. Gov&amp;apos;t, Non-P.H.S.; Review&lt;/_type_work&gt;&lt;_url&gt;http://www.ncbi.nlm.nih.gov/entrez/query.fcgi?cmd=Retrieve&amp;amp;db=pubmed&amp;amp;dopt=Abstract&amp;amp;list_uids=17403271&amp;amp;query_hl=1&lt;/_url&gt;&lt;_volume&gt;98&lt;/_volume&gt;&lt;/Details&gt;&lt;Extra&gt;&lt;DBUID&gt;{F96A950B-833F-4880-A151-76DA2D6A2879}&lt;/DBUID&gt;&lt;/Extra&gt;&lt;/Item&gt;&lt;/References&gt;&lt;/Group&gt;&lt;/Citation&gt;_x000a_"/>
    <w:docVar w:name="NE.Ref{FAD5E1CF-8F43-47CE-BAC3-66C491C7153D}" w:val=" ADDIN NE.Ref.{FAD5E1CF-8F43-47CE-BAC3-66C491C7153D}&lt;Citation&gt;&lt;Group&gt;&lt;References&gt;&lt;Item&gt;&lt;ID&gt;6733&lt;/ID&gt;&lt;UID&gt;{05BE4A72-9D72-4ADD-93AB-F7AE6BFE4927}&lt;/UID&gt;&lt;Title&gt;Pediatric sepsis and multiorgan dysfunction syndrome: progress and continued  challenges&lt;/Title&gt;&lt;Template&gt;Journal Article&lt;/Template&gt;&lt;Star&gt;0&lt;/Star&gt;&lt;Tag&gt;0&lt;/Tag&gt;&lt;Author&gt;Lawrence, K&lt;/Author&gt;&lt;Year&gt;2011&lt;/Year&gt;&lt;Details&gt;&lt;_accession_num&gt;21624694&lt;/_accession_num&gt;&lt;_author_adr&gt;Pediatric Intensive Care Unit, Medical College of Georgia School of Nursing,  Medical College of Georgia Children&amp;apos;s Medical Center, Augusta, GA 30912, USA.  klawrence@georgiahealth.edu&lt;/_author_adr&gt;&lt;_date_display&gt;2011 Jun&lt;/_date_display&gt;&lt;_date&gt;2011-06-01&lt;/_date&gt;&lt;_doi&gt;10.1016/j.ccell.2011.02.005&lt;/_doi&gt;&lt;_isbn&gt;1558-3481 (Electronic); 0899-5885 (Linking)&lt;/_isbn&gt;&lt;_issue&gt;2&lt;/_issue&gt;&lt;_journal&gt;Crit Care Nurs Clin North Am&lt;/_journal&gt;&lt;_language&gt;eng&lt;/_language&gt;&lt;_ori_publication&gt;Copyright (c) 2011. Published by Elsevier Inc.&lt;/_ori_publication&gt;&lt;_pages&gt;323-37&lt;/_pages&gt;&lt;_subject_headings&gt;Child; Child, Preschool; Humans; Infant; Infant, Newborn; Intensive Care Units, Pediatric/standards; Pediatric Nursing/*standards; Shock, Septic/drug therapy/*nursing/therapy; Systemic Inflammatory Response Syndrome/*nursing&lt;/_subject_headings&gt;&lt;_tertiary_title&gt;Critical care nursing clinics of North America&lt;/_tertiary_title&gt;&lt;_type_work&gt;Journal Article; Review&lt;/_type_work&gt;&lt;_url&gt;http://www.ncbi.nlm.nih.gov/entrez/query.fcgi?cmd=Retrieve&amp;amp;db=pubmed&amp;amp;dopt=Abstract&amp;amp;list_uids=21624694&amp;amp;query_hl=1&lt;/_url&gt;&lt;_volume&gt;23&lt;/_volume&gt;&lt;_created&gt;65751686&lt;/_created&gt;&lt;_modified&gt;65751687&lt;/_modified&gt;&lt;_db_updated&gt;PubMed&lt;/_db_updated&gt;&lt;_impact_factor&gt;   1.460&lt;/_impact_factor&gt;&lt;/Details&gt;&lt;Extra&gt;&lt;DBUID&gt;{F96A950B-833F-4880-A151-76DA2D6A2879}&lt;/DBUID&gt;&lt;/Extra&gt;&lt;/Item&gt;&lt;/References&gt;&lt;/Group&gt;&lt;/Citation&gt;_x000a_"/>
    <w:docVar w:name="NE.Ref{FDCA7796-145B-44F3-95D4-E5AF0E96D978}" w:val=" ADDIN NE.Ref.{FDCA7796-145B-44F3-95D4-E5AF0E96D978}&lt;Citation&gt;&lt;Group&gt;&lt;References&gt;&lt;Item&gt;&lt;ID&gt;6759&lt;/ID&gt;&lt;UID&gt;{DD969A0D-8B38-45E6-8C1B-2C9DBABD1EB2}&lt;/UID&gt;&lt;Title&gt;International Consensus Criteria for Pediatric Sepsis and Septic Shock&lt;/Title&gt;&lt;Template&gt;Journal Article&lt;/Template&gt;&lt;Star&gt;0&lt;/Star&gt;&lt;Tag&gt;0&lt;/Tag&gt;&lt;Author&gt;Schlapbach, L J; Watson, R S; Sorce, L R; Argent, A C; Menon, K; Hall, M W; Akech, S; Albers, D J; Alpern, E R; Balamuth, F; Bembea, M; Biban, P; Carrol, E D; Chiotos, K; Chisti, M J; DeWitt, P E; Evans, I; Flauzino, De Oliveira C; Horvat, C M; Inwald, D; Ishimine, P; Jaramillo-Bustamante, J C; Levin, M; Lodha, R; Martin, B; Nadel, S; Nakagawa, S; Peters, M J; Randolph, A G; Ranjit, S; Rebull, M N; Russell, S; Scott, H F; de Souza, D C; Tissieres, P; Weiss, S L; Wiens, M O; Wynn, J L; Kissoon, N; Zimmerman, J J; Sanchez-Pinto, L N; Bennett, T D&lt;/Author&gt;&lt;Year&gt;2024&lt;/Year&gt;&lt;Details&gt;&lt;_accession_num&gt;38245889&lt;/_accession_num&gt;&lt;_author_adr&gt;Department of Intensive Care and Neonatology, and Children&amp;apos;s Research Center,  University Children&amp;apos;s Hospital Zurich, University of Zurich, Zurich, Switzerland.; Child Health Research Centre, University of Queensland, Brisbane, Australia.; Department of Pediatrics, University of Washington, Seattle.; Seattle Children&amp;apos;s Research Institute and Pediatric Critical Care, Seattle  Children&amp;apos;s, Seattle, Washington.; Ann &amp;amp; Robert H. Lurie Children&amp;apos;s Hospital, Chicago, Illinois.; Department of Pediatrics, Northwestern University Feinberg School of Medicine,  Chicago, Illinois.; Department of Paediatrics and Child Health, Red Cross War Memorial Children&amp;apos;s  Hospital, Cape Town, South Africa.; University of Cape Town, Cape Town, South Africa.; Department of Pediatrics, Children&amp;apos;s Hospital of Eastern Ontario, Canada.; University of Ottawa, Ontario, Canada.; Division of Critical Care Medicine, Nationwide Children&amp;apos;s Hospital, Columbus,  Ohio.; The Ohio State University College of Medicine, Columbus, Ohio.; Kenya Medical Research Institute (KEMRI)-Wellcome Trust Research Programme,  Nairobi, Kenya.; Departments of Biomedical Informatics, Bioengineering, Biostatistics and  Informatics, University of Colorado School of Medicine, Aurora.; Department of Biomedical Informatics, Columbia University, New York, New York.; Ann &amp;amp; Robert H. Lurie Children&amp;apos;s Hospital, Chicago, Illinois.; Department of Pediatrics, Division of Emergency Medicine, Northwestern University  Feinberg School of Medicine, Chicago, Illinois.; Department of Pediatrics, University of Pennsylvania, Perelman School of  Medicine, Philadelphia.; Division of Emergency Medicine, Children&amp;apos;s Hospital of Philadelphia,  Philadelphia, Pennsylvania.; Department of Anesthesiology and Critical Care Medicine, Johns Hopkins University  School of Medicine, Baltimore, Maryland.; Pediatric Intensive Care Unit, Verona University Hospital, Verona, Italy.; University of Liverpool, Department of Clinical Infection, Microbiology and  Immunology, Institute of Infection, Veterinary and Ecological Sciences,  Liverpool, United Kingdom.; Department of Anesthesiology and Critical Care, Perelman School of Medicine at  the University of Pennsylvania, Philadelphia.; Divisions of Critical Care Medicine and Infectious Diseases, Children&amp;apos;s Hospital  of Philadelphia, Philadelphia, Pennsylvania.; Intensive Care Unit, Dhaka Hospital, Nutrition Research Division, International  Centre for Diarrhoeal Disease Research, Bangladesh (icddr,b), Dhaka, Bangladesh.; Department of Biomedical Informatics, University of Colorado School of Medicine,  Aurora.; Department of Critical Care Medicine, University of Pittsburgh School of  Medicine, Pittsburgh, Pennsylvania.; Clinical Research, Investigation, and Systems Modeling of Acute Illness (CRISMA)  Center, Pittsburgh, Pennsylvania.; AMIB-Associacao de Medicina Intensiva Brasileira, Sao Paulo, Brazil.; LASI-Latin American Institute of Sepsis, Sao Paulo, Brazil.; Department of Critical Care Medicine, University of Pittsburgh School of  Medicine, Pittsburgh, Pennsylvania.; Clinical Research, Investigation, and Systems Modeling of Acute Illness (CRISMA)  Center, Pittsburgh, Pennsylvania.; Paediatric Intensive Care, Cambridge University Hospitals NHS Foundation Trust,  Cambridge, United Kingdom.; Departments of Emergency Medicine and Pediatrics, University of California, San  Diego School of Medicine, La Jolla.; PICU Hospital General de Medellin &amp;quot;Luz Castro de Gutierrez&amp;quot; and Hospital Pablo  Tobon Uribe, Medellin, Colombia.; Red Colaborativa Pediatrica de Latinoamerica (LARed Network).; Section of Paediatric Infectious Diseases, Department of Infectious Diseases,  Imperial College London, London, United Kingdom.; Department of Paediatrics, St Mary&amp;apos;s Hospital, Imperial College Healthcare NHS  Trust, London, United Kingdom.; Department of Pediatrics, All India Institute of Medical Sciences, New Delhi,  India.; Departments of Biomedical Informatics and Pediatrics (Division of Critical Care  Medicine), University of Colorado School of Medicine and Pediatric Intensive Care  Unit, Children&amp;apos;s Hospital Colorado, Aurora.; Pediatric Intensive Care Unit, Children&amp;apos;s Hospital Colorado, Aurora.; Paediatric Intensive Care, St Mary&amp;apos;s Hospital, London, United Kingdom.; Imperial College London, London, United Kingdom.; Critical Care Medicine, National Center for Child Health and Development, Tokyo,  Japan.; University College London Great Ormond Street Institute of Child Health, London,  United Kingdom.; Great Ormond Street Hospital for Children NHS Foundation Trust and NIHR  Biomedical Research Centre, London, United Kingdom.; Department of Anesthesiology, Critical Care and Pain Medicine, Boston Children&amp;apos;s  Hospital, Boston, Massachusetts.; Departments of Anaesthesia and Pediatrics, Harvard Medical School, Boston,  Massachusetts.; Pediatric Intensive Care Unit, Apollo Children&amp;apos;s Hospital, Chennai, India.; Department of Biomedical Informatics, University of Colorado School of Medicine,  Aurora.; Department of Biomedical Informatics, University of Colorado School of Medicine,  Aurora.; Section of Pediatric Emergency Medicine, Department of Pediatrics, University of  Colorado School of Medicine, Aurora.; Emergency Department, Children&amp;apos;s Hospital Colorado, Aurora.; LASI-Latin American Institute of Sepsis, Sao Paulo, Brazil.; Department of Pediatrics (PICU), Hospital Universitario of the University of Sao  Paulo, Sao Paulo, Brazil.; Department of Pediatrics (PICU), Hospital Sirio Libanes, Sao Paulo, Brazil.; Pediatric Intensive Care, AP-HP Paris Saclay University, Bicetre Hospital, Le  Kremlin-Bicetre, France.; Division of Critical Care, Department of Pediatrics, Nemours Children&amp;apos;s Health,  Wilmington, Delaware.; Sidney Kimmel Medical College at Thomas Jefferson University, Philadelphia,  Pennsylvania.; Department of Anesthesiology, Pharmacology and Therapeutics, Faculty of Medicine,  University of British Columbia, Vancouver, Canada.; Institute for Global Health, BC Children&amp;apos;s Hospital, Vancouver, Canada and  Walimu, Uganda.; Department of Pediatrics, University of Florida, Gainesville.; Department of Pediatrics, University of British Columbia, Vancouver, Canada.; Department of Pediatrics, University of Washington, Seattle.; Seattle Children&amp;apos;s Research Institute and Pediatric Critical Care, Seattle  Children&amp;apos;s, Seattle, Washington.; Ann &amp;amp; Robert H. Lurie Children&amp;apos;s Hospital, Chicago, Illinois.; Department of Pediatrics, Division of Critical Care, and Department of Preventive  Medicine, Division of Health &amp;amp; Biomedical Informatics, Northwestern University  Feinberg School of Medicine, Chicago, Illinois.; Departments of Biomedical Informatics and Pediatrics (Division of Critical Care  Medicine), University of Colorado School of Medicine and Pediatric Intensive Care  Unit, Children&amp;apos;s Hospital Colorado, Aurora.&lt;/_author_adr&gt;&lt;_date_display&gt;2024 Feb 27&lt;/_date_display&gt;&lt;_date&gt;2024-02-27&lt;/_date&gt;&lt;_doi&gt;10.1001/jama.2024.0179&lt;/_doi&gt;&lt;_isbn&gt;1538-3598 (Electronic); 0098-7484 (Print); 0098-7484 (Linking)&lt;/_isbn&gt;&lt;_issue&gt;8&lt;/_issue&gt;&lt;_journal&gt;JAMA&lt;/_journal&gt;&lt;_language&gt;eng&lt;/_language&gt;&lt;_pages&gt;665-674&lt;/_pages&gt;&lt;_subject_headings&gt;Humans; Child; *Shock, Septic/mortality; Multiple Organ Failure/diagnosis/etiology; Consensus; *Sepsis/mortality; Systemic Inflammatory Response Syndrome/diagnosis; Organ Dysfunction Scores&lt;/_subject_headings&gt;&lt;_tertiary_title&gt;JAMA&lt;/_tertiary_title&gt;&lt;_type_work&gt;Journal Article; Research Support, N.I.H., Extramural; Research Support, Non-U.S. Gov&amp;apos;t&lt;/_type_work&gt;&lt;_url&gt;http://www.ncbi.nlm.nih.gov/entrez/query.fcgi?cmd=Retrieve&amp;amp;db=pubmed&amp;amp;dopt=Abstract&amp;amp;list_uids=38245889&amp;amp;query_hl=1&lt;/_url&gt;&lt;_volume&gt;331&lt;/_volume&gt;&lt;_created&gt;65752486&lt;/_created&gt;&lt;_modified&gt;65752497&lt;/_modified&gt;&lt;_db_updated&gt;PubMed&lt;/_db_updated&gt;&lt;_impact_factor&gt; 157.335&lt;/_impact_factor&gt;&lt;/Details&gt;&lt;Extra&gt;&lt;DBUID&gt;{F96A950B-833F-4880-A151-76DA2D6A2879}&lt;/DBUID&gt;&lt;/Extra&gt;&lt;/Item&gt;&lt;/References&gt;&lt;/Group&gt;&lt;/Citation&gt;_x000a_"/>
    <w:docVar w:name="ne_docsoft" w:val="MSWord"/>
    <w:docVar w:name="ne_docversion" w:val="NoteExpress 2.0"/>
    <w:docVar w:name="ne_stylename" w:val="Critical Care Medicine New"/>
  </w:docVars>
  <w:rsids>
    <w:rsidRoot w:val="00D00495"/>
    <w:rsid w:val="00000679"/>
    <w:rsid w:val="000016F8"/>
    <w:rsid w:val="00003AB6"/>
    <w:rsid w:val="00003D8F"/>
    <w:rsid w:val="00004724"/>
    <w:rsid w:val="000055B3"/>
    <w:rsid w:val="000108DD"/>
    <w:rsid w:val="000115AC"/>
    <w:rsid w:val="00012CFA"/>
    <w:rsid w:val="00013672"/>
    <w:rsid w:val="000171DF"/>
    <w:rsid w:val="00017418"/>
    <w:rsid w:val="00021B17"/>
    <w:rsid w:val="00022E8F"/>
    <w:rsid w:val="0002402D"/>
    <w:rsid w:val="000249D2"/>
    <w:rsid w:val="00027949"/>
    <w:rsid w:val="00032022"/>
    <w:rsid w:val="00042A13"/>
    <w:rsid w:val="00043495"/>
    <w:rsid w:val="00044313"/>
    <w:rsid w:val="000469D4"/>
    <w:rsid w:val="00047B08"/>
    <w:rsid w:val="0005552E"/>
    <w:rsid w:val="00055DC7"/>
    <w:rsid w:val="00056138"/>
    <w:rsid w:val="0006112E"/>
    <w:rsid w:val="0006136E"/>
    <w:rsid w:val="00063E0D"/>
    <w:rsid w:val="0006684C"/>
    <w:rsid w:val="00070E90"/>
    <w:rsid w:val="000711D1"/>
    <w:rsid w:val="00072279"/>
    <w:rsid w:val="000730FD"/>
    <w:rsid w:val="00074275"/>
    <w:rsid w:val="00074378"/>
    <w:rsid w:val="000750DA"/>
    <w:rsid w:val="000752D1"/>
    <w:rsid w:val="00082D2E"/>
    <w:rsid w:val="000850DA"/>
    <w:rsid w:val="00091EEF"/>
    <w:rsid w:val="00095427"/>
    <w:rsid w:val="000960B6"/>
    <w:rsid w:val="000A1054"/>
    <w:rsid w:val="000A1730"/>
    <w:rsid w:val="000A3AE0"/>
    <w:rsid w:val="000B2747"/>
    <w:rsid w:val="000B40F0"/>
    <w:rsid w:val="000B410F"/>
    <w:rsid w:val="000B5CFC"/>
    <w:rsid w:val="000B60E0"/>
    <w:rsid w:val="000B639B"/>
    <w:rsid w:val="000B714D"/>
    <w:rsid w:val="000B7B94"/>
    <w:rsid w:val="000C3EC1"/>
    <w:rsid w:val="000C40BF"/>
    <w:rsid w:val="000C4FBE"/>
    <w:rsid w:val="000C55B7"/>
    <w:rsid w:val="000D0F32"/>
    <w:rsid w:val="000D2EC5"/>
    <w:rsid w:val="000D7635"/>
    <w:rsid w:val="000E0CE5"/>
    <w:rsid w:val="000E3C00"/>
    <w:rsid w:val="000E3FD1"/>
    <w:rsid w:val="000E5139"/>
    <w:rsid w:val="000E607A"/>
    <w:rsid w:val="000E7E4C"/>
    <w:rsid w:val="000F0295"/>
    <w:rsid w:val="000F05DF"/>
    <w:rsid w:val="000F15F1"/>
    <w:rsid w:val="000F2A6A"/>
    <w:rsid w:val="000F3550"/>
    <w:rsid w:val="000F3C97"/>
    <w:rsid w:val="000F544E"/>
    <w:rsid w:val="00100DCB"/>
    <w:rsid w:val="001031A4"/>
    <w:rsid w:val="00107205"/>
    <w:rsid w:val="00110061"/>
    <w:rsid w:val="0011083A"/>
    <w:rsid w:val="001130B1"/>
    <w:rsid w:val="00115FE7"/>
    <w:rsid w:val="00116BC1"/>
    <w:rsid w:val="00121D9D"/>
    <w:rsid w:val="00123CDF"/>
    <w:rsid w:val="00124BF7"/>
    <w:rsid w:val="00124E82"/>
    <w:rsid w:val="00132FDA"/>
    <w:rsid w:val="00135541"/>
    <w:rsid w:val="00136730"/>
    <w:rsid w:val="001376D9"/>
    <w:rsid w:val="001453B6"/>
    <w:rsid w:val="0014598F"/>
    <w:rsid w:val="00146692"/>
    <w:rsid w:val="00147F9A"/>
    <w:rsid w:val="00156D44"/>
    <w:rsid w:val="00160275"/>
    <w:rsid w:val="00161931"/>
    <w:rsid w:val="001622DA"/>
    <w:rsid w:val="00162EC0"/>
    <w:rsid w:val="00163A9D"/>
    <w:rsid w:val="00164A58"/>
    <w:rsid w:val="00165008"/>
    <w:rsid w:val="00165CC0"/>
    <w:rsid w:val="001662E5"/>
    <w:rsid w:val="00166323"/>
    <w:rsid w:val="00172855"/>
    <w:rsid w:val="001749B3"/>
    <w:rsid w:val="00181B1B"/>
    <w:rsid w:val="00183EEE"/>
    <w:rsid w:val="00184A37"/>
    <w:rsid w:val="001923D0"/>
    <w:rsid w:val="0019246B"/>
    <w:rsid w:val="00193481"/>
    <w:rsid w:val="00193CB5"/>
    <w:rsid w:val="001941B6"/>
    <w:rsid w:val="001A2645"/>
    <w:rsid w:val="001A488A"/>
    <w:rsid w:val="001A4F06"/>
    <w:rsid w:val="001A7033"/>
    <w:rsid w:val="001A7AD9"/>
    <w:rsid w:val="001B206B"/>
    <w:rsid w:val="001B5E20"/>
    <w:rsid w:val="001C1F15"/>
    <w:rsid w:val="001C78BB"/>
    <w:rsid w:val="001D182B"/>
    <w:rsid w:val="001D2B2D"/>
    <w:rsid w:val="001D3504"/>
    <w:rsid w:val="001E27B1"/>
    <w:rsid w:val="001E2AF1"/>
    <w:rsid w:val="001E3E24"/>
    <w:rsid w:val="001E416F"/>
    <w:rsid w:val="001F053D"/>
    <w:rsid w:val="001F2830"/>
    <w:rsid w:val="001F315A"/>
    <w:rsid w:val="001F31D4"/>
    <w:rsid w:val="001F465A"/>
    <w:rsid w:val="001F5C1D"/>
    <w:rsid w:val="001F7A38"/>
    <w:rsid w:val="00200058"/>
    <w:rsid w:val="00201B55"/>
    <w:rsid w:val="00203DAA"/>
    <w:rsid w:val="002147BD"/>
    <w:rsid w:val="00216EEB"/>
    <w:rsid w:val="0022136B"/>
    <w:rsid w:val="002215EF"/>
    <w:rsid w:val="00221626"/>
    <w:rsid w:val="0022355C"/>
    <w:rsid w:val="00224EA7"/>
    <w:rsid w:val="0023341F"/>
    <w:rsid w:val="002337DA"/>
    <w:rsid w:val="00236A76"/>
    <w:rsid w:val="0024070E"/>
    <w:rsid w:val="00240C2C"/>
    <w:rsid w:val="00241DEA"/>
    <w:rsid w:val="00242D62"/>
    <w:rsid w:val="002455DF"/>
    <w:rsid w:val="00245BC2"/>
    <w:rsid w:val="0024712B"/>
    <w:rsid w:val="00250EDC"/>
    <w:rsid w:val="0025716B"/>
    <w:rsid w:val="002579D5"/>
    <w:rsid w:val="002606B0"/>
    <w:rsid w:val="00260C6D"/>
    <w:rsid w:val="00267224"/>
    <w:rsid w:val="00271072"/>
    <w:rsid w:val="00283380"/>
    <w:rsid w:val="00283FBA"/>
    <w:rsid w:val="00287758"/>
    <w:rsid w:val="00291610"/>
    <w:rsid w:val="00291DD3"/>
    <w:rsid w:val="00292A00"/>
    <w:rsid w:val="00292D98"/>
    <w:rsid w:val="00294A36"/>
    <w:rsid w:val="002954A2"/>
    <w:rsid w:val="002976B9"/>
    <w:rsid w:val="002A2336"/>
    <w:rsid w:val="002A3605"/>
    <w:rsid w:val="002A6B66"/>
    <w:rsid w:val="002A75E5"/>
    <w:rsid w:val="002A7FC9"/>
    <w:rsid w:val="002B0A55"/>
    <w:rsid w:val="002B2EA2"/>
    <w:rsid w:val="002B3FD0"/>
    <w:rsid w:val="002B4513"/>
    <w:rsid w:val="002B7E51"/>
    <w:rsid w:val="002C0B78"/>
    <w:rsid w:val="002C0F56"/>
    <w:rsid w:val="002C24BA"/>
    <w:rsid w:val="002C328F"/>
    <w:rsid w:val="002C6090"/>
    <w:rsid w:val="002D547A"/>
    <w:rsid w:val="002D688F"/>
    <w:rsid w:val="002D7471"/>
    <w:rsid w:val="002E213A"/>
    <w:rsid w:val="002F0676"/>
    <w:rsid w:val="002F3FD2"/>
    <w:rsid w:val="002F43BF"/>
    <w:rsid w:val="002F5AB4"/>
    <w:rsid w:val="002F6943"/>
    <w:rsid w:val="002F789F"/>
    <w:rsid w:val="003009DC"/>
    <w:rsid w:val="0030134B"/>
    <w:rsid w:val="003027C4"/>
    <w:rsid w:val="00302F8E"/>
    <w:rsid w:val="00306D01"/>
    <w:rsid w:val="00307A0E"/>
    <w:rsid w:val="003103F2"/>
    <w:rsid w:val="003114B7"/>
    <w:rsid w:val="00315F23"/>
    <w:rsid w:val="00316583"/>
    <w:rsid w:val="00317546"/>
    <w:rsid w:val="00321F54"/>
    <w:rsid w:val="003229C7"/>
    <w:rsid w:val="00322C88"/>
    <w:rsid w:val="00323058"/>
    <w:rsid w:val="0032440F"/>
    <w:rsid w:val="00326D5E"/>
    <w:rsid w:val="003277E5"/>
    <w:rsid w:val="0033017F"/>
    <w:rsid w:val="00330549"/>
    <w:rsid w:val="00330B83"/>
    <w:rsid w:val="003328A7"/>
    <w:rsid w:val="003359FC"/>
    <w:rsid w:val="00336D9A"/>
    <w:rsid w:val="00342733"/>
    <w:rsid w:val="00342D53"/>
    <w:rsid w:val="003432B6"/>
    <w:rsid w:val="003442CF"/>
    <w:rsid w:val="003465F6"/>
    <w:rsid w:val="00362921"/>
    <w:rsid w:val="00362F59"/>
    <w:rsid w:val="003648F1"/>
    <w:rsid w:val="003650CB"/>
    <w:rsid w:val="00365380"/>
    <w:rsid w:val="003664B1"/>
    <w:rsid w:val="00370A3A"/>
    <w:rsid w:val="00371301"/>
    <w:rsid w:val="00374134"/>
    <w:rsid w:val="0037768E"/>
    <w:rsid w:val="00380BA2"/>
    <w:rsid w:val="0038353E"/>
    <w:rsid w:val="00384B71"/>
    <w:rsid w:val="003877E0"/>
    <w:rsid w:val="00387A5A"/>
    <w:rsid w:val="003906AB"/>
    <w:rsid w:val="0039406F"/>
    <w:rsid w:val="003957A6"/>
    <w:rsid w:val="00396C39"/>
    <w:rsid w:val="003A48C4"/>
    <w:rsid w:val="003A6A7D"/>
    <w:rsid w:val="003B0C26"/>
    <w:rsid w:val="003B0DD6"/>
    <w:rsid w:val="003B1319"/>
    <w:rsid w:val="003B1CF6"/>
    <w:rsid w:val="003B3211"/>
    <w:rsid w:val="003B3B44"/>
    <w:rsid w:val="003B4BF1"/>
    <w:rsid w:val="003B50C5"/>
    <w:rsid w:val="003B5EB1"/>
    <w:rsid w:val="003B70C7"/>
    <w:rsid w:val="003D1B50"/>
    <w:rsid w:val="003E0303"/>
    <w:rsid w:val="003E0587"/>
    <w:rsid w:val="003E1B32"/>
    <w:rsid w:val="003E4435"/>
    <w:rsid w:val="003E5AC0"/>
    <w:rsid w:val="003E7271"/>
    <w:rsid w:val="003F0824"/>
    <w:rsid w:val="003F1222"/>
    <w:rsid w:val="003F132D"/>
    <w:rsid w:val="003F19E7"/>
    <w:rsid w:val="003F3D7E"/>
    <w:rsid w:val="003F4B90"/>
    <w:rsid w:val="003F6576"/>
    <w:rsid w:val="003F7870"/>
    <w:rsid w:val="003F7DB7"/>
    <w:rsid w:val="004003EF"/>
    <w:rsid w:val="00405337"/>
    <w:rsid w:val="00407F32"/>
    <w:rsid w:val="004104E4"/>
    <w:rsid w:val="00412B51"/>
    <w:rsid w:val="004137CE"/>
    <w:rsid w:val="004140A3"/>
    <w:rsid w:val="00414774"/>
    <w:rsid w:val="00414980"/>
    <w:rsid w:val="00422B00"/>
    <w:rsid w:val="004233B6"/>
    <w:rsid w:val="00424A6E"/>
    <w:rsid w:val="00425F16"/>
    <w:rsid w:val="004266FB"/>
    <w:rsid w:val="00426E2E"/>
    <w:rsid w:val="00427795"/>
    <w:rsid w:val="00427FE3"/>
    <w:rsid w:val="00432B5D"/>
    <w:rsid w:val="004347C8"/>
    <w:rsid w:val="00441354"/>
    <w:rsid w:val="00446BDC"/>
    <w:rsid w:val="0045064E"/>
    <w:rsid w:val="004521DC"/>
    <w:rsid w:val="00455C8C"/>
    <w:rsid w:val="00457B94"/>
    <w:rsid w:val="00465314"/>
    <w:rsid w:val="004653F5"/>
    <w:rsid w:val="00473097"/>
    <w:rsid w:val="00473363"/>
    <w:rsid w:val="00476E6F"/>
    <w:rsid w:val="00484A3E"/>
    <w:rsid w:val="00487DF4"/>
    <w:rsid w:val="004907B4"/>
    <w:rsid w:val="004911EA"/>
    <w:rsid w:val="004953AF"/>
    <w:rsid w:val="00497669"/>
    <w:rsid w:val="004978F9"/>
    <w:rsid w:val="004A0496"/>
    <w:rsid w:val="004A5804"/>
    <w:rsid w:val="004A666B"/>
    <w:rsid w:val="004A6B1D"/>
    <w:rsid w:val="004A737F"/>
    <w:rsid w:val="004B17AA"/>
    <w:rsid w:val="004B2377"/>
    <w:rsid w:val="004B4CD9"/>
    <w:rsid w:val="004B4D71"/>
    <w:rsid w:val="004B5993"/>
    <w:rsid w:val="004B5CB8"/>
    <w:rsid w:val="004B67D6"/>
    <w:rsid w:val="004B770C"/>
    <w:rsid w:val="004C1AB4"/>
    <w:rsid w:val="004C5A24"/>
    <w:rsid w:val="004C6957"/>
    <w:rsid w:val="004C7A01"/>
    <w:rsid w:val="004D26F3"/>
    <w:rsid w:val="004E0017"/>
    <w:rsid w:val="004E032E"/>
    <w:rsid w:val="004E2255"/>
    <w:rsid w:val="004E378B"/>
    <w:rsid w:val="004E3EFF"/>
    <w:rsid w:val="004E6F68"/>
    <w:rsid w:val="004F0183"/>
    <w:rsid w:val="004F69D8"/>
    <w:rsid w:val="00500F80"/>
    <w:rsid w:val="00511481"/>
    <w:rsid w:val="0051359C"/>
    <w:rsid w:val="00513EC7"/>
    <w:rsid w:val="005151B3"/>
    <w:rsid w:val="00520687"/>
    <w:rsid w:val="0052144A"/>
    <w:rsid w:val="00521A68"/>
    <w:rsid w:val="00523A33"/>
    <w:rsid w:val="00531B51"/>
    <w:rsid w:val="00531C57"/>
    <w:rsid w:val="00532ECF"/>
    <w:rsid w:val="00534431"/>
    <w:rsid w:val="00534B41"/>
    <w:rsid w:val="005356C9"/>
    <w:rsid w:val="005420BE"/>
    <w:rsid w:val="005475A6"/>
    <w:rsid w:val="005476CA"/>
    <w:rsid w:val="00554927"/>
    <w:rsid w:val="00564508"/>
    <w:rsid w:val="005653D2"/>
    <w:rsid w:val="00565D96"/>
    <w:rsid w:val="005707E2"/>
    <w:rsid w:val="00573AB0"/>
    <w:rsid w:val="00575B13"/>
    <w:rsid w:val="005766D3"/>
    <w:rsid w:val="00583C07"/>
    <w:rsid w:val="00583CC9"/>
    <w:rsid w:val="005912DC"/>
    <w:rsid w:val="005918E2"/>
    <w:rsid w:val="005930E7"/>
    <w:rsid w:val="0059456E"/>
    <w:rsid w:val="005958A6"/>
    <w:rsid w:val="00595C6B"/>
    <w:rsid w:val="005A207C"/>
    <w:rsid w:val="005A2C55"/>
    <w:rsid w:val="005A5283"/>
    <w:rsid w:val="005B1FA8"/>
    <w:rsid w:val="005B2D64"/>
    <w:rsid w:val="005B3066"/>
    <w:rsid w:val="005B50AF"/>
    <w:rsid w:val="005B536C"/>
    <w:rsid w:val="005B63E7"/>
    <w:rsid w:val="005C4A9C"/>
    <w:rsid w:val="005C4B4D"/>
    <w:rsid w:val="005C68BC"/>
    <w:rsid w:val="005C6B65"/>
    <w:rsid w:val="005C6CFC"/>
    <w:rsid w:val="005D549A"/>
    <w:rsid w:val="005D7CB1"/>
    <w:rsid w:val="005E431E"/>
    <w:rsid w:val="00602291"/>
    <w:rsid w:val="00602E0B"/>
    <w:rsid w:val="006058C3"/>
    <w:rsid w:val="006107EC"/>
    <w:rsid w:val="006135A7"/>
    <w:rsid w:val="006158DE"/>
    <w:rsid w:val="00615B2C"/>
    <w:rsid w:val="0061622C"/>
    <w:rsid w:val="00616BCC"/>
    <w:rsid w:val="00617D8C"/>
    <w:rsid w:val="006207E2"/>
    <w:rsid w:val="00621738"/>
    <w:rsid w:val="006251BB"/>
    <w:rsid w:val="00627577"/>
    <w:rsid w:val="00631DCF"/>
    <w:rsid w:val="00634A0D"/>
    <w:rsid w:val="006352E2"/>
    <w:rsid w:val="0063555F"/>
    <w:rsid w:val="00635AD2"/>
    <w:rsid w:val="00637101"/>
    <w:rsid w:val="006377D6"/>
    <w:rsid w:val="00641D65"/>
    <w:rsid w:val="00645FC1"/>
    <w:rsid w:val="00646040"/>
    <w:rsid w:val="006532E4"/>
    <w:rsid w:val="00653712"/>
    <w:rsid w:val="006539B0"/>
    <w:rsid w:val="00653BEF"/>
    <w:rsid w:val="00655F10"/>
    <w:rsid w:val="00656724"/>
    <w:rsid w:val="00656FA4"/>
    <w:rsid w:val="00656FEE"/>
    <w:rsid w:val="0066052B"/>
    <w:rsid w:val="0066159A"/>
    <w:rsid w:val="00662D5F"/>
    <w:rsid w:val="006641E7"/>
    <w:rsid w:val="006664E0"/>
    <w:rsid w:val="00670A35"/>
    <w:rsid w:val="00672069"/>
    <w:rsid w:val="006741D5"/>
    <w:rsid w:val="006753C8"/>
    <w:rsid w:val="006755D4"/>
    <w:rsid w:val="00677092"/>
    <w:rsid w:val="00677382"/>
    <w:rsid w:val="00677B8A"/>
    <w:rsid w:val="0068098F"/>
    <w:rsid w:val="006811EF"/>
    <w:rsid w:val="006816F8"/>
    <w:rsid w:val="0068188E"/>
    <w:rsid w:val="00686A89"/>
    <w:rsid w:val="0068733F"/>
    <w:rsid w:val="00690156"/>
    <w:rsid w:val="00690A62"/>
    <w:rsid w:val="00691568"/>
    <w:rsid w:val="00691A4C"/>
    <w:rsid w:val="00691DAE"/>
    <w:rsid w:val="00694268"/>
    <w:rsid w:val="00695092"/>
    <w:rsid w:val="00697379"/>
    <w:rsid w:val="006A02D5"/>
    <w:rsid w:val="006A27CA"/>
    <w:rsid w:val="006A58F1"/>
    <w:rsid w:val="006A7EA0"/>
    <w:rsid w:val="006A7F8B"/>
    <w:rsid w:val="006B1D7C"/>
    <w:rsid w:val="006B3C17"/>
    <w:rsid w:val="006B4073"/>
    <w:rsid w:val="006B4B8C"/>
    <w:rsid w:val="006B507A"/>
    <w:rsid w:val="006C0116"/>
    <w:rsid w:val="006C08C4"/>
    <w:rsid w:val="006C0C53"/>
    <w:rsid w:val="006C2BDD"/>
    <w:rsid w:val="006C3024"/>
    <w:rsid w:val="006C3886"/>
    <w:rsid w:val="006C5F5E"/>
    <w:rsid w:val="006C7266"/>
    <w:rsid w:val="006D003A"/>
    <w:rsid w:val="006D589D"/>
    <w:rsid w:val="006D7F8A"/>
    <w:rsid w:val="006E0E62"/>
    <w:rsid w:val="006E2101"/>
    <w:rsid w:val="006E2A0E"/>
    <w:rsid w:val="006E30D1"/>
    <w:rsid w:val="006F1A6A"/>
    <w:rsid w:val="006F6FEB"/>
    <w:rsid w:val="00703E2E"/>
    <w:rsid w:val="00704E25"/>
    <w:rsid w:val="00705285"/>
    <w:rsid w:val="00707523"/>
    <w:rsid w:val="00710B8E"/>
    <w:rsid w:val="007118D6"/>
    <w:rsid w:val="0071714D"/>
    <w:rsid w:val="007211BD"/>
    <w:rsid w:val="00723FC0"/>
    <w:rsid w:val="0072456C"/>
    <w:rsid w:val="00725323"/>
    <w:rsid w:val="0072766C"/>
    <w:rsid w:val="00733620"/>
    <w:rsid w:val="00733F0F"/>
    <w:rsid w:val="00737A11"/>
    <w:rsid w:val="007435CB"/>
    <w:rsid w:val="00747651"/>
    <w:rsid w:val="00747FC7"/>
    <w:rsid w:val="00755F77"/>
    <w:rsid w:val="00761BCB"/>
    <w:rsid w:val="0076337F"/>
    <w:rsid w:val="007633E3"/>
    <w:rsid w:val="00763F61"/>
    <w:rsid w:val="00765DBA"/>
    <w:rsid w:val="00767BDF"/>
    <w:rsid w:val="0077115B"/>
    <w:rsid w:val="00773D14"/>
    <w:rsid w:val="007746D8"/>
    <w:rsid w:val="00775901"/>
    <w:rsid w:val="0078333B"/>
    <w:rsid w:val="00787F6E"/>
    <w:rsid w:val="00792322"/>
    <w:rsid w:val="00792A98"/>
    <w:rsid w:val="00795192"/>
    <w:rsid w:val="007975FD"/>
    <w:rsid w:val="00797D1D"/>
    <w:rsid w:val="00797D40"/>
    <w:rsid w:val="007A2F6A"/>
    <w:rsid w:val="007A3E47"/>
    <w:rsid w:val="007A5960"/>
    <w:rsid w:val="007A65E2"/>
    <w:rsid w:val="007A69AD"/>
    <w:rsid w:val="007B1035"/>
    <w:rsid w:val="007B2C64"/>
    <w:rsid w:val="007C0411"/>
    <w:rsid w:val="007C35F9"/>
    <w:rsid w:val="007C5491"/>
    <w:rsid w:val="007D19FF"/>
    <w:rsid w:val="007D3716"/>
    <w:rsid w:val="007D3CFC"/>
    <w:rsid w:val="007D5538"/>
    <w:rsid w:val="007D7C5B"/>
    <w:rsid w:val="007E016E"/>
    <w:rsid w:val="007E150D"/>
    <w:rsid w:val="007E4E94"/>
    <w:rsid w:val="007F3631"/>
    <w:rsid w:val="007F3A69"/>
    <w:rsid w:val="007F4323"/>
    <w:rsid w:val="007F4630"/>
    <w:rsid w:val="007F6B88"/>
    <w:rsid w:val="007F77B7"/>
    <w:rsid w:val="00800F4C"/>
    <w:rsid w:val="00803285"/>
    <w:rsid w:val="008107ED"/>
    <w:rsid w:val="008125A6"/>
    <w:rsid w:val="00812CBE"/>
    <w:rsid w:val="00812FBE"/>
    <w:rsid w:val="00814595"/>
    <w:rsid w:val="008149DA"/>
    <w:rsid w:val="00816703"/>
    <w:rsid w:val="0082042E"/>
    <w:rsid w:val="00822559"/>
    <w:rsid w:val="0082270C"/>
    <w:rsid w:val="00824B92"/>
    <w:rsid w:val="0083368A"/>
    <w:rsid w:val="00833989"/>
    <w:rsid w:val="00834F10"/>
    <w:rsid w:val="00835923"/>
    <w:rsid w:val="0084095B"/>
    <w:rsid w:val="00841841"/>
    <w:rsid w:val="008431F4"/>
    <w:rsid w:val="008435DE"/>
    <w:rsid w:val="008437C3"/>
    <w:rsid w:val="008451BF"/>
    <w:rsid w:val="008453EB"/>
    <w:rsid w:val="00845D0A"/>
    <w:rsid w:val="00846E6C"/>
    <w:rsid w:val="008506A4"/>
    <w:rsid w:val="008510E5"/>
    <w:rsid w:val="008555AD"/>
    <w:rsid w:val="00855BFF"/>
    <w:rsid w:val="00856E68"/>
    <w:rsid w:val="00860A75"/>
    <w:rsid w:val="0086173A"/>
    <w:rsid w:val="00861FA7"/>
    <w:rsid w:val="008640D4"/>
    <w:rsid w:val="00864806"/>
    <w:rsid w:val="00866887"/>
    <w:rsid w:val="00867A34"/>
    <w:rsid w:val="00871283"/>
    <w:rsid w:val="008716A1"/>
    <w:rsid w:val="00872A79"/>
    <w:rsid w:val="008808DF"/>
    <w:rsid w:val="00880EDA"/>
    <w:rsid w:val="00886D0A"/>
    <w:rsid w:val="00890669"/>
    <w:rsid w:val="00897911"/>
    <w:rsid w:val="008A14F4"/>
    <w:rsid w:val="008A5557"/>
    <w:rsid w:val="008A79B0"/>
    <w:rsid w:val="008A7DF3"/>
    <w:rsid w:val="008B0562"/>
    <w:rsid w:val="008B12A3"/>
    <w:rsid w:val="008B281A"/>
    <w:rsid w:val="008B7CD6"/>
    <w:rsid w:val="008C0DD3"/>
    <w:rsid w:val="008C149C"/>
    <w:rsid w:val="008C425D"/>
    <w:rsid w:val="008C4D13"/>
    <w:rsid w:val="008C7446"/>
    <w:rsid w:val="008D231D"/>
    <w:rsid w:val="008D2B60"/>
    <w:rsid w:val="008D3F58"/>
    <w:rsid w:val="008D4736"/>
    <w:rsid w:val="008D69B9"/>
    <w:rsid w:val="008D70AD"/>
    <w:rsid w:val="008E00B4"/>
    <w:rsid w:val="008E0F3B"/>
    <w:rsid w:val="008E559F"/>
    <w:rsid w:val="008E6C2B"/>
    <w:rsid w:val="008E7CFF"/>
    <w:rsid w:val="008F0C7A"/>
    <w:rsid w:val="008F218C"/>
    <w:rsid w:val="008F30C9"/>
    <w:rsid w:val="008F4205"/>
    <w:rsid w:val="008F436D"/>
    <w:rsid w:val="008F44F7"/>
    <w:rsid w:val="008F4550"/>
    <w:rsid w:val="008F4E06"/>
    <w:rsid w:val="00903A9D"/>
    <w:rsid w:val="0090673D"/>
    <w:rsid w:val="00906969"/>
    <w:rsid w:val="0090751E"/>
    <w:rsid w:val="009106E3"/>
    <w:rsid w:val="009158C3"/>
    <w:rsid w:val="00916ACA"/>
    <w:rsid w:val="009209C4"/>
    <w:rsid w:val="00924437"/>
    <w:rsid w:val="009276AE"/>
    <w:rsid w:val="00930643"/>
    <w:rsid w:val="009335CA"/>
    <w:rsid w:val="00934D3B"/>
    <w:rsid w:val="00934FDB"/>
    <w:rsid w:val="00936E8D"/>
    <w:rsid w:val="0094158E"/>
    <w:rsid w:val="009417B4"/>
    <w:rsid w:val="009436F7"/>
    <w:rsid w:val="009465EC"/>
    <w:rsid w:val="00947494"/>
    <w:rsid w:val="00951BBA"/>
    <w:rsid w:val="00951FC5"/>
    <w:rsid w:val="009534D9"/>
    <w:rsid w:val="00955527"/>
    <w:rsid w:val="00955D58"/>
    <w:rsid w:val="00957D5B"/>
    <w:rsid w:val="00957FFD"/>
    <w:rsid w:val="009617A1"/>
    <w:rsid w:val="009623F6"/>
    <w:rsid w:val="009637EF"/>
    <w:rsid w:val="00965AB1"/>
    <w:rsid w:val="00965CFB"/>
    <w:rsid w:val="009678F5"/>
    <w:rsid w:val="0097124B"/>
    <w:rsid w:val="00972F3B"/>
    <w:rsid w:val="00975D3F"/>
    <w:rsid w:val="009777D8"/>
    <w:rsid w:val="0098080D"/>
    <w:rsid w:val="00981D82"/>
    <w:rsid w:val="0098489A"/>
    <w:rsid w:val="00990EF4"/>
    <w:rsid w:val="00992256"/>
    <w:rsid w:val="00993F87"/>
    <w:rsid w:val="00994099"/>
    <w:rsid w:val="00995CD2"/>
    <w:rsid w:val="00997E40"/>
    <w:rsid w:val="009A2669"/>
    <w:rsid w:val="009A3AAA"/>
    <w:rsid w:val="009A4D97"/>
    <w:rsid w:val="009A4F81"/>
    <w:rsid w:val="009A5FB5"/>
    <w:rsid w:val="009B12B2"/>
    <w:rsid w:val="009B1B28"/>
    <w:rsid w:val="009B2696"/>
    <w:rsid w:val="009B3C08"/>
    <w:rsid w:val="009B5D86"/>
    <w:rsid w:val="009C3EEB"/>
    <w:rsid w:val="009C40B6"/>
    <w:rsid w:val="009D09FB"/>
    <w:rsid w:val="009D2C64"/>
    <w:rsid w:val="009D2C9A"/>
    <w:rsid w:val="009D470D"/>
    <w:rsid w:val="009D63F7"/>
    <w:rsid w:val="009D7F17"/>
    <w:rsid w:val="009E12C9"/>
    <w:rsid w:val="009E260B"/>
    <w:rsid w:val="009E2E0A"/>
    <w:rsid w:val="009E3996"/>
    <w:rsid w:val="009E415E"/>
    <w:rsid w:val="009F16CF"/>
    <w:rsid w:val="009F3271"/>
    <w:rsid w:val="009F35AD"/>
    <w:rsid w:val="009F7C57"/>
    <w:rsid w:val="00A0355D"/>
    <w:rsid w:val="00A03B0E"/>
    <w:rsid w:val="00A04E36"/>
    <w:rsid w:val="00A05465"/>
    <w:rsid w:val="00A10340"/>
    <w:rsid w:val="00A113AF"/>
    <w:rsid w:val="00A12341"/>
    <w:rsid w:val="00A12351"/>
    <w:rsid w:val="00A137A4"/>
    <w:rsid w:val="00A143B2"/>
    <w:rsid w:val="00A15DEB"/>
    <w:rsid w:val="00A206A8"/>
    <w:rsid w:val="00A2194D"/>
    <w:rsid w:val="00A21A86"/>
    <w:rsid w:val="00A338C0"/>
    <w:rsid w:val="00A34A79"/>
    <w:rsid w:val="00A404E3"/>
    <w:rsid w:val="00A405E3"/>
    <w:rsid w:val="00A40641"/>
    <w:rsid w:val="00A4421A"/>
    <w:rsid w:val="00A44B80"/>
    <w:rsid w:val="00A44EFA"/>
    <w:rsid w:val="00A4504C"/>
    <w:rsid w:val="00A51625"/>
    <w:rsid w:val="00A5201E"/>
    <w:rsid w:val="00A5320B"/>
    <w:rsid w:val="00A5363F"/>
    <w:rsid w:val="00A5629B"/>
    <w:rsid w:val="00A5786B"/>
    <w:rsid w:val="00A619F3"/>
    <w:rsid w:val="00A62AA3"/>
    <w:rsid w:val="00A64894"/>
    <w:rsid w:val="00A67EF8"/>
    <w:rsid w:val="00A72C39"/>
    <w:rsid w:val="00A7514C"/>
    <w:rsid w:val="00A75A29"/>
    <w:rsid w:val="00A76E50"/>
    <w:rsid w:val="00A81026"/>
    <w:rsid w:val="00A84AA5"/>
    <w:rsid w:val="00A863F5"/>
    <w:rsid w:val="00A86BBB"/>
    <w:rsid w:val="00A86E7C"/>
    <w:rsid w:val="00A90472"/>
    <w:rsid w:val="00A93975"/>
    <w:rsid w:val="00AA012E"/>
    <w:rsid w:val="00AA0F5E"/>
    <w:rsid w:val="00AA219C"/>
    <w:rsid w:val="00AA24A9"/>
    <w:rsid w:val="00AA2C8B"/>
    <w:rsid w:val="00AA3076"/>
    <w:rsid w:val="00AB631D"/>
    <w:rsid w:val="00AC22F4"/>
    <w:rsid w:val="00AC4306"/>
    <w:rsid w:val="00AC503D"/>
    <w:rsid w:val="00AC7DB0"/>
    <w:rsid w:val="00AD0B4C"/>
    <w:rsid w:val="00AD3F3A"/>
    <w:rsid w:val="00AD4483"/>
    <w:rsid w:val="00AE4A3D"/>
    <w:rsid w:val="00AE7BE5"/>
    <w:rsid w:val="00AF1B3B"/>
    <w:rsid w:val="00AF289D"/>
    <w:rsid w:val="00AF35E5"/>
    <w:rsid w:val="00AF4874"/>
    <w:rsid w:val="00AF59D9"/>
    <w:rsid w:val="00AF663B"/>
    <w:rsid w:val="00AF67E0"/>
    <w:rsid w:val="00AF6B76"/>
    <w:rsid w:val="00B008D5"/>
    <w:rsid w:val="00B05A15"/>
    <w:rsid w:val="00B05DF5"/>
    <w:rsid w:val="00B070A0"/>
    <w:rsid w:val="00B07342"/>
    <w:rsid w:val="00B122BC"/>
    <w:rsid w:val="00B129E6"/>
    <w:rsid w:val="00B14A00"/>
    <w:rsid w:val="00B209D2"/>
    <w:rsid w:val="00B22CDA"/>
    <w:rsid w:val="00B26555"/>
    <w:rsid w:val="00B26E92"/>
    <w:rsid w:val="00B307D9"/>
    <w:rsid w:val="00B308B3"/>
    <w:rsid w:val="00B30B9B"/>
    <w:rsid w:val="00B31AB5"/>
    <w:rsid w:val="00B3448B"/>
    <w:rsid w:val="00B3635E"/>
    <w:rsid w:val="00B40569"/>
    <w:rsid w:val="00B42611"/>
    <w:rsid w:val="00B46224"/>
    <w:rsid w:val="00B51D45"/>
    <w:rsid w:val="00B55E4F"/>
    <w:rsid w:val="00B62CDA"/>
    <w:rsid w:val="00B63413"/>
    <w:rsid w:val="00B640C9"/>
    <w:rsid w:val="00B702DD"/>
    <w:rsid w:val="00B70B04"/>
    <w:rsid w:val="00B738E3"/>
    <w:rsid w:val="00B74730"/>
    <w:rsid w:val="00B7698E"/>
    <w:rsid w:val="00B7775D"/>
    <w:rsid w:val="00B832F8"/>
    <w:rsid w:val="00BA1108"/>
    <w:rsid w:val="00BA2C01"/>
    <w:rsid w:val="00BA31EC"/>
    <w:rsid w:val="00BA3965"/>
    <w:rsid w:val="00BA46C6"/>
    <w:rsid w:val="00BA7B5B"/>
    <w:rsid w:val="00BB4472"/>
    <w:rsid w:val="00BB6897"/>
    <w:rsid w:val="00BB7BD1"/>
    <w:rsid w:val="00BB7ED4"/>
    <w:rsid w:val="00BC06CC"/>
    <w:rsid w:val="00BC5739"/>
    <w:rsid w:val="00BC57B9"/>
    <w:rsid w:val="00BC6C95"/>
    <w:rsid w:val="00BD3C38"/>
    <w:rsid w:val="00BD444B"/>
    <w:rsid w:val="00BD4A87"/>
    <w:rsid w:val="00BD67EA"/>
    <w:rsid w:val="00BE2F77"/>
    <w:rsid w:val="00BE5FE4"/>
    <w:rsid w:val="00BE6237"/>
    <w:rsid w:val="00BF3548"/>
    <w:rsid w:val="00BF5001"/>
    <w:rsid w:val="00BF51A3"/>
    <w:rsid w:val="00BF64E1"/>
    <w:rsid w:val="00BF7495"/>
    <w:rsid w:val="00C02BBA"/>
    <w:rsid w:val="00C02EEB"/>
    <w:rsid w:val="00C105C2"/>
    <w:rsid w:val="00C11782"/>
    <w:rsid w:val="00C12A86"/>
    <w:rsid w:val="00C13F44"/>
    <w:rsid w:val="00C16EB3"/>
    <w:rsid w:val="00C223FA"/>
    <w:rsid w:val="00C23CA2"/>
    <w:rsid w:val="00C25F28"/>
    <w:rsid w:val="00C25F97"/>
    <w:rsid w:val="00C3107C"/>
    <w:rsid w:val="00C32F6E"/>
    <w:rsid w:val="00C35835"/>
    <w:rsid w:val="00C45D1B"/>
    <w:rsid w:val="00C5130E"/>
    <w:rsid w:val="00C54E81"/>
    <w:rsid w:val="00C5527D"/>
    <w:rsid w:val="00C56AFF"/>
    <w:rsid w:val="00C57A36"/>
    <w:rsid w:val="00C57C2D"/>
    <w:rsid w:val="00C57DF8"/>
    <w:rsid w:val="00C637DD"/>
    <w:rsid w:val="00C72D88"/>
    <w:rsid w:val="00C762D8"/>
    <w:rsid w:val="00C771D8"/>
    <w:rsid w:val="00C77B37"/>
    <w:rsid w:val="00C810B4"/>
    <w:rsid w:val="00C81315"/>
    <w:rsid w:val="00C84D89"/>
    <w:rsid w:val="00C94896"/>
    <w:rsid w:val="00C97325"/>
    <w:rsid w:val="00C97E0F"/>
    <w:rsid w:val="00CA0A2D"/>
    <w:rsid w:val="00CA5652"/>
    <w:rsid w:val="00CB0890"/>
    <w:rsid w:val="00CB08F3"/>
    <w:rsid w:val="00CB2E4C"/>
    <w:rsid w:val="00CB3EA0"/>
    <w:rsid w:val="00CB4897"/>
    <w:rsid w:val="00CC3069"/>
    <w:rsid w:val="00CC4664"/>
    <w:rsid w:val="00CD1016"/>
    <w:rsid w:val="00CD1FCC"/>
    <w:rsid w:val="00CD24E1"/>
    <w:rsid w:val="00CD2973"/>
    <w:rsid w:val="00CD57B4"/>
    <w:rsid w:val="00CD6150"/>
    <w:rsid w:val="00CE1439"/>
    <w:rsid w:val="00CE1B0D"/>
    <w:rsid w:val="00CE1D7F"/>
    <w:rsid w:val="00CE2847"/>
    <w:rsid w:val="00CE361F"/>
    <w:rsid w:val="00CE37A0"/>
    <w:rsid w:val="00CE3879"/>
    <w:rsid w:val="00CE7A1A"/>
    <w:rsid w:val="00CF2DD6"/>
    <w:rsid w:val="00CF70BA"/>
    <w:rsid w:val="00D00495"/>
    <w:rsid w:val="00D026DB"/>
    <w:rsid w:val="00D02C14"/>
    <w:rsid w:val="00D06A37"/>
    <w:rsid w:val="00D21660"/>
    <w:rsid w:val="00D2336A"/>
    <w:rsid w:val="00D243C4"/>
    <w:rsid w:val="00D2468E"/>
    <w:rsid w:val="00D27869"/>
    <w:rsid w:val="00D318C1"/>
    <w:rsid w:val="00D3657A"/>
    <w:rsid w:val="00D37E15"/>
    <w:rsid w:val="00D42142"/>
    <w:rsid w:val="00D42FD1"/>
    <w:rsid w:val="00D431E0"/>
    <w:rsid w:val="00D453C6"/>
    <w:rsid w:val="00D45499"/>
    <w:rsid w:val="00D45A45"/>
    <w:rsid w:val="00D46076"/>
    <w:rsid w:val="00D50961"/>
    <w:rsid w:val="00D5360C"/>
    <w:rsid w:val="00D54C1B"/>
    <w:rsid w:val="00D5515D"/>
    <w:rsid w:val="00D61613"/>
    <w:rsid w:val="00D6176D"/>
    <w:rsid w:val="00D6537C"/>
    <w:rsid w:val="00D656E4"/>
    <w:rsid w:val="00D676F0"/>
    <w:rsid w:val="00D709F0"/>
    <w:rsid w:val="00D710F7"/>
    <w:rsid w:val="00D71AFD"/>
    <w:rsid w:val="00D7263E"/>
    <w:rsid w:val="00D73185"/>
    <w:rsid w:val="00D76A58"/>
    <w:rsid w:val="00D80A4B"/>
    <w:rsid w:val="00D81067"/>
    <w:rsid w:val="00D815E3"/>
    <w:rsid w:val="00D834D1"/>
    <w:rsid w:val="00D86D1B"/>
    <w:rsid w:val="00D87097"/>
    <w:rsid w:val="00D9242B"/>
    <w:rsid w:val="00D93FBE"/>
    <w:rsid w:val="00D95ACF"/>
    <w:rsid w:val="00D97725"/>
    <w:rsid w:val="00D97B83"/>
    <w:rsid w:val="00DA344A"/>
    <w:rsid w:val="00DB0553"/>
    <w:rsid w:val="00DB0B2C"/>
    <w:rsid w:val="00DB0B9E"/>
    <w:rsid w:val="00DB2365"/>
    <w:rsid w:val="00DB31FE"/>
    <w:rsid w:val="00DB37D7"/>
    <w:rsid w:val="00DB4904"/>
    <w:rsid w:val="00DB4BAE"/>
    <w:rsid w:val="00DB6017"/>
    <w:rsid w:val="00DB716B"/>
    <w:rsid w:val="00DC4239"/>
    <w:rsid w:val="00DC726A"/>
    <w:rsid w:val="00DD0E32"/>
    <w:rsid w:val="00DD254A"/>
    <w:rsid w:val="00DD405F"/>
    <w:rsid w:val="00DD4780"/>
    <w:rsid w:val="00DD72EB"/>
    <w:rsid w:val="00DE1B49"/>
    <w:rsid w:val="00DE29F5"/>
    <w:rsid w:val="00DE43C3"/>
    <w:rsid w:val="00DE4C2E"/>
    <w:rsid w:val="00DE516A"/>
    <w:rsid w:val="00DF23E3"/>
    <w:rsid w:val="00DF3944"/>
    <w:rsid w:val="00DF4602"/>
    <w:rsid w:val="00E00163"/>
    <w:rsid w:val="00E06A0B"/>
    <w:rsid w:val="00E11B17"/>
    <w:rsid w:val="00E137A8"/>
    <w:rsid w:val="00E14DF3"/>
    <w:rsid w:val="00E150D3"/>
    <w:rsid w:val="00E1597D"/>
    <w:rsid w:val="00E2205A"/>
    <w:rsid w:val="00E260CC"/>
    <w:rsid w:val="00E30858"/>
    <w:rsid w:val="00E3151A"/>
    <w:rsid w:val="00E345A1"/>
    <w:rsid w:val="00E36BA7"/>
    <w:rsid w:val="00E372FC"/>
    <w:rsid w:val="00E42231"/>
    <w:rsid w:val="00E44FBE"/>
    <w:rsid w:val="00E4776B"/>
    <w:rsid w:val="00E53ADE"/>
    <w:rsid w:val="00E63FC6"/>
    <w:rsid w:val="00E64C1D"/>
    <w:rsid w:val="00E676B2"/>
    <w:rsid w:val="00E712B9"/>
    <w:rsid w:val="00E72498"/>
    <w:rsid w:val="00E75B15"/>
    <w:rsid w:val="00E7735B"/>
    <w:rsid w:val="00E81B23"/>
    <w:rsid w:val="00E846CD"/>
    <w:rsid w:val="00E8777E"/>
    <w:rsid w:val="00E87A9C"/>
    <w:rsid w:val="00E91C3A"/>
    <w:rsid w:val="00EA0B8A"/>
    <w:rsid w:val="00EA2823"/>
    <w:rsid w:val="00EB14D3"/>
    <w:rsid w:val="00EB2DE4"/>
    <w:rsid w:val="00EB3421"/>
    <w:rsid w:val="00EB4397"/>
    <w:rsid w:val="00EB6226"/>
    <w:rsid w:val="00EB66C7"/>
    <w:rsid w:val="00EB742D"/>
    <w:rsid w:val="00EB748E"/>
    <w:rsid w:val="00EB7498"/>
    <w:rsid w:val="00EC4AEB"/>
    <w:rsid w:val="00EC5150"/>
    <w:rsid w:val="00EC7EF3"/>
    <w:rsid w:val="00ED2661"/>
    <w:rsid w:val="00ED331B"/>
    <w:rsid w:val="00ED350E"/>
    <w:rsid w:val="00ED3EB3"/>
    <w:rsid w:val="00ED4F3D"/>
    <w:rsid w:val="00ED7F80"/>
    <w:rsid w:val="00EE2BEC"/>
    <w:rsid w:val="00EE386A"/>
    <w:rsid w:val="00EE4D8B"/>
    <w:rsid w:val="00EF1499"/>
    <w:rsid w:val="00EF2328"/>
    <w:rsid w:val="00EF4578"/>
    <w:rsid w:val="00EF5656"/>
    <w:rsid w:val="00EF5893"/>
    <w:rsid w:val="00F03870"/>
    <w:rsid w:val="00F03D82"/>
    <w:rsid w:val="00F07302"/>
    <w:rsid w:val="00F07D66"/>
    <w:rsid w:val="00F121E1"/>
    <w:rsid w:val="00F1293A"/>
    <w:rsid w:val="00F12A90"/>
    <w:rsid w:val="00F1337D"/>
    <w:rsid w:val="00F14713"/>
    <w:rsid w:val="00F166B5"/>
    <w:rsid w:val="00F20B91"/>
    <w:rsid w:val="00F2132B"/>
    <w:rsid w:val="00F240BB"/>
    <w:rsid w:val="00F242BD"/>
    <w:rsid w:val="00F2772C"/>
    <w:rsid w:val="00F30983"/>
    <w:rsid w:val="00F30FC2"/>
    <w:rsid w:val="00F316A1"/>
    <w:rsid w:val="00F327A8"/>
    <w:rsid w:val="00F32F70"/>
    <w:rsid w:val="00F3443A"/>
    <w:rsid w:val="00F345BD"/>
    <w:rsid w:val="00F34739"/>
    <w:rsid w:val="00F36073"/>
    <w:rsid w:val="00F42D63"/>
    <w:rsid w:val="00F4572D"/>
    <w:rsid w:val="00F472D5"/>
    <w:rsid w:val="00F47E0D"/>
    <w:rsid w:val="00F53528"/>
    <w:rsid w:val="00F61105"/>
    <w:rsid w:val="00F62EDD"/>
    <w:rsid w:val="00F707C9"/>
    <w:rsid w:val="00F70D86"/>
    <w:rsid w:val="00F72634"/>
    <w:rsid w:val="00F7773D"/>
    <w:rsid w:val="00F7780D"/>
    <w:rsid w:val="00F81F93"/>
    <w:rsid w:val="00F85B2D"/>
    <w:rsid w:val="00F8776E"/>
    <w:rsid w:val="00F938C3"/>
    <w:rsid w:val="00F94517"/>
    <w:rsid w:val="00F9479D"/>
    <w:rsid w:val="00F949C7"/>
    <w:rsid w:val="00F95991"/>
    <w:rsid w:val="00F95F66"/>
    <w:rsid w:val="00FA08CC"/>
    <w:rsid w:val="00FA5484"/>
    <w:rsid w:val="00FA6F2A"/>
    <w:rsid w:val="00FA7D07"/>
    <w:rsid w:val="00FB0558"/>
    <w:rsid w:val="00FB2130"/>
    <w:rsid w:val="00FB4393"/>
    <w:rsid w:val="00FB6053"/>
    <w:rsid w:val="00FB7ED4"/>
    <w:rsid w:val="00FC0036"/>
    <w:rsid w:val="00FC4270"/>
    <w:rsid w:val="00FD3024"/>
    <w:rsid w:val="00FD70EC"/>
    <w:rsid w:val="00FE0DE1"/>
    <w:rsid w:val="00FE22E4"/>
    <w:rsid w:val="00FE2EDB"/>
    <w:rsid w:val="00FE3B66"/>
    <w:rsid w:val="00FE4C1F"/>
    <w:rsid w:val="00FE5C6D"/>
    <w:rsid w:val="00FE67F7"/>
    <w:rsid w:val="00FE7510"/>
    <w:rsid w:val="00FF187B"/>
    <w:rsid w:val="00FF4C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E297B"/>
  <w15:chartTrackingRefBased/>
  <w15:docId w15:val="{54EA9F87-7032-4985-BD84-7097F360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0FC2"/>
    <w:pPr>
      <w:widowControl w:val="0"/>
      <w:spacing w:line="480" w:lineRule="auto"/>
      <w:jc w:val="both"/>
    </w:pPr>
    <w:rPr>
      <w:rFonts w:ascii="Times New Roman" w:eastAsia="Times New Roman" w:hAnsi="Times New Roman"/>
      <w:sz w:val="24"/>
    </w:rPr>
  </w:style>
  <w:style w:type="paragraph" w:styleId="1">
    <w:name w:val="heading 1"/>
    <w:basedOn w:val="a"/>
    <w:next w:val="a"/>
    <w:link w:val="10"/>
    <w:uiPriority w:val="9"/>
    <w:qFormat/>
    <w:rsid w:val="000B639B"/>
    <w:pPr>
      <w:keepNext/>
      <w:keepLines/>
      <w:spacing w:before="240" w:after="240"/>
      <w:jc w:val="center"/>
      <w:outlineLvl w:val="0"/>
    </w:pPr>
    <w:rPr>
      <w:rFonts w:eastAsia="宋体"/>
      <w:b/>
      <w:bCs/>
      <w:kern w:val="44"/>
      <w:sz w:val="30"/>
      <w:szCs w:val="44"/>
    </w:rPr>
  </w:style>
  <w:style w:type="paragraph" w:styleId="2">
    <w:name w:val="heading 2"/>
    <w:basedOn w:val="a"/>
    <w:next w:val="a"/>
    <w:link w:val="20"/>
    <w:uiPriority w:val="9"/>
    <w:unhideWhenUsed/>
    <w:qFormat/>
    <w:rsid w:val="00F3473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5491"/>
    <w:pPr>
      <w:widowControl/>
      <w:spacing w:before="100" w:beforeAutospacing="1" w:after="100" w:afterAutospacing="1"/>
      <w:jc w:val="left"/>
    </w:pPr>
    <w:rPr>
      <w:rFonts w:ascii="宋体" w:eastAsia="宋体" w:hAnsi="宋体" w:cs="宋体"/>
      <w:kern w:val="0"/>
    </w:rPr>
  </w:style>
  <w:style w:type="paragraph" w:styleId="a4">
    <w:name w:val="List Paragraph"/>
    <w:basedOn w:val="a"/>
    <w:uiPriority w:val="34"/>
    <w:qFormat/>
    <w:rsid w:val="007C5491"/>
    <w:pPr>
      <w:ind w:firstLineChars="200" w:firstLine="420"/>
    </w:pPr>
  </w:style>
  <w:style w:type="table" w:styleId="a5">
    <w:name w:val="Table Grid"/>
    <w:basedOn w:val="a1"/>
    <w:uiPriority w:val="39"/>
    <w:rsid w:val="00565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87DF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87DF4"/>
    <w:rPr>
      <w:sz w:val="18"/>
      <w:szCs w:val="18"/>
    </w:rPr>
  </w:style>
  <w:style w:type="paragraph" w:styleId="a8">
    <w:name w:val="footer"/>
    <w:basedOn w:val="a"/>
    <w:link w:val="a9"/>
    <w:uiPriority w:val="99"/>
    <w:unhideWhenUsed/>
    <w:rsid w:val="00487DF4"/>
    <w:pPr>
      <w:tabs>
        <w:tab w:val="center" w:pos="4153"/>
        <w:tab w:val="right" w:pos="8306"/>
      </w:tabs>
      <w:snapToGrid w:val="0"/>
      <w:jc w:val="left"/>
    </w:pPr>
    <w:rPr>
      <w:sz w:val="18"/>
      <w:szCs w:val="18"/>
    </w:rPr>
  </w:style>
  <w:style w:type="character" w:customStyle="1" w:styleId="a9">
    <w:name w:val="页脚 字符"/>
    <w:basedOn w:val="a0"/>
    <w:link w:val="a8"/>
    <w:uiPriority w:val="99"/>
    <w:rsid w:val="00487DF4"/>
    <w:rPr>
      <w:sz w:val="18"/>
      <w:szCs w:val="18"/>
    </w:rPr>
  </w:style>
  <w:style w:type="character" w:styleId="aa">
    <w:name w:val="page number"/>
    <w:basedOn w:val="a0"/>
    <w:uiPriority w:val="99"/>
    <w:semiHidden/>
    <w:unhideWhenUsed/>
    <w:rsid w:val="00DB37D7"/>
  </w:style>
  <w:style w:type="character" w:styleId="ab">
    <w:name w:val="Emphasis"/>
    <w:basedOn w:val="a0"/>
    <w:uiPriority w:val="20"/>
    <w:qFormat/>
    <w:rsid w:val="005356C9"/>
    <w:rPr>
      <w:i/>
      <w:iCs/>
    </w:rPr>
  </w:style>
  <w:style w:type="character" w:customStyle="1" w:styleId="font41">
    <w:name w:val="font41"/>
    <w:basedOn w:val="a0"/>
    <w:rsid w:val="00457B94"/>
    <w:rPr>
      <w:rFonts w:ascii="Times New Roman" w:hAnsi="Times New Roman" w:cs="Times New Roman" w:hint="default"/>
      <w:strike w:val="0"/>
      <w:dstrike w:val="0"/>
      <w:color w:val="000000"/>
      <w:sz w:val="22"/>
      <w:szCs w:val="22"/>
      <w:u w:val="none"/>
      <w:effect w:val="none"/>
    </w:rPr>
  </w:style>
  <w:style w:type="character" w:styleId="ac">
    <w:name w:val="annotation reference"/>
    <w:basedOn w:val="a0"/>
    <w:uiPriority w:val="99"/>
    <w:semiHidden/>
    <w:unhideWhenUsed/>
    <w:rsid w:val="009276AE"/>
    <w:rPr>
      <w:sz w:val="21"/>
      <w:szCs w:val="21"/>
    </w:rPr>
  </w:style>
  <w:style w:type="paragraph" w:styleId="ad">
    <w:name w:val="annotation text"/>
    <w:basedOn w:val="a"/>
    <w:link w:val="ae"/>
    <w:uiPriority w:val="99"/>
    <w:semiHidden/>
    <w:unhideWhenUsed/>
    <w:rsid w:val="009276AE"/>
    <w:pPr>
      <w:jc w:val="left"/>
    </w:pPr>
  </w:style>
  <w:style w:type="character" w:customStyle="1" w:styleId="ae">
    <w:name w:val="批注文字 字符"/>
    <w:basedOn w:val="a0"/>
    <w:link w:val="ad"/>
    <w:uiPriority w:val="99"/>
    <w:semiHidden/>
    <w:rsid w:val="009276AE"/>
  </w:style>
  <w:style w:type="paragraph" w:styleId="af">
    <w:name w:val="annotation subject"/>
    <w:basedOn w:val="ad"/>
    <w:next w:val="ad"/>
    <w:link w:val="af0"/>
    <w:uiPriority w:val="99"/>
    <w:semiHidden/>
    <w:unhideWhenUsed/>
    <w:rsid w:val="009276AE"/>
    <w:rPr>
      <w:b/>
      <w:bCs/>
    </w:rPr>
  </w:style>
  <w:style w:type="character" w:customStyle="1" w:styleId="af0">
    <w:name w:val="批注主题 字符"/>
    <w:basedOn w:val="ae"/>
    <w:link w:val="af"/>
    <w:uiPriority w:val="99"/>
    <w:semiHidden/>
    <w:rsid w:val="009276AE"/>
    <w:rPr>
      <w:b/>
      <w:bCs/>
    </w:rPr>
  </w:style>
  <w:style w:type="paragraph" w:styleId="af1">
    <w:name w:val="Balloon Text"/>
    <w:basedOn w:val="a"/>
    <w:link w:val="af2"/>
    <w:uiPriority w:val="99"/>
    <w:semiHidden/>
    <w:unhideWhenUsed/>
    <w:rsid w:val="009276AE"/>
    <w:rPr>
      <w:sz w:val="18"/>
      <w:szCs w:val="18"/>
    </w:rPr>
  </w:style>
  <w:style w:type="character" w:customStyle="1" w:styleId="af2">
    <w:name w:val="批注框文本 字符"/>
    <w:basedOn w:val="a0"/>
    <w:link w:val="af1"/>
    <w:uiPriority w:val="99"/>
    <w:semiHidden/>
    <w:rsid w:val="009276AE"/>
    <w:rPr>
      <w:sz w:val="18"/>
      <w:szCs w:val="18"/>
    </w:rPr>
  </w:style>
  <w:style w:type="paragraph" w:styleId="af3">
    <w:name w:val="Revision"/>
    <w:hidden/>
    <w:uiPriority w:val="99"/>
    <w:semiHidden/>
    <w:rsid w:val="00B22CDA"/>
  </w:style>
  <w:style w:type="character" w:styleId="af4">
    <w:name w:val="Strong"/>
    <w:basedOn w:val="a0"/>
    <w:uiPriority w:val="22"/>
    <w:qFormat/>
    <w:rsid w:val="004266FB"/>
    <w:rPr>
      <w:b/>
      <w:bCs/>
    </w:rPr>
  </w:style>
  <w:style w:type="character" w:styleId="af5">
    <w:name w:val="Hyperlink"/>
    <w:basedOn w:val="a0"/>
    <w:uiPriority w:val="99"/>
    <w:unhideWhenUsed/>
    <w:rsid w:val="009777D8"/>
    <w:rPr>
      <w:color w:val="0563C1" w:themeColor="hyperlink"/>
      <w:u w:val="single"/>
    </w:rPr>
  </w:style>
  <w:style w:type="character" w:styleId="af6">
    <w:name w:val="Unresolved Mention"/>
    <w:basedOn w:val="a0"/>
    <w:uiPriority w:val="99"/>
    <w:semiHidden/>
    <w:unhideWhenUsed/>
    <w:rsid w:val="009777D8"/>
    <w:rPr>
      <w:color w:val="605E5C"/>
      <w:shd w:val="clear" w:color="auto" w:fill="E1DFDD"/>
    </w:rPr>
  </w:style>
  <w:style w:type="character" w:customStyle="1" w:styleId="10">
    <w:name w:val="标题 1 字符"/>
    <w:basedOn w:val="a0"/>
    <w:link w:val="1"/>
    <w:uiPriority w:val="9"/>
    <w:rsid w:val="000B639B"/>
    <w:rPr>
      <w:rFonts w:ascii="Times New Roman" w:eastAsia="宋体" w:hAnsi="Times New Roman"/>
      <w:b/>
      <w:bCs/>
      <w:kern w:val="44"/>
      <w:sz w:val="30"/>
      <w:szCs w:val="44"/>
    </w:rPr>
  </w:style>
  <w:style w:type="character" w:customStyle="1" w:styleId="20">
    <w:name w:val="标题 2 字符"/>
    <w:basedOn w:val="a0"/>
    <w:link w:val="2"/>
    <w:uiPriority w:val="9"/>
    <w:rsid w:val="00F34739"/>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9497">
      <w:bodyDiv w:val="1"/>
      <w:marLeft w:val="0"/>
      <w:marRight w:val="0"/>
      <w:marTop w:val="0"/>
      <w:marBottom w:val="0"/>
      <w:divBdr>
        <w:top w:val="none" w:sz="0" w:space="0" w:color="auto"/>
        <w:left w:val="none" w:sz="0" w:space="0" w:color="auto"/>
        <w:bottom w:val="none" w:sz="0" w:space="0" w:color="auto"/>
        <w:right w:val="none" w:sz="0" w:space="0" w:color="auto"/>
      </w:divBdr>
    </w:div>
    <w:div w:id="21244616">
      <w:bodyDiv w:val="1"/>
      <w:marLeft w:val="0"/>
      <w:marRight w:val="0"/>
      <w:marTop w:val="0"/>
      <w:marBottom w:val="0"/>
      <w:divBdr>
        <w:top w:val="none" w:sz="0" w:space="0" w:color="auto"/>
        <w:left w:val="none" w:sz="0" w:space="0" w:color="auto"/>
        <w:bottom w:val="none" w:sz="0" w:space="0" w:color="auto"/>
        <w:right w:val="none" w:sz="0" w:space="0" w:color="auto"/>
      </w:divBdr>
      <w:divsChild>
        <w:div w:id="1302730857">
          <w:marLeft w:val="0"/>
          <w:marRight w:val="0"/>
          <w:marTop w:val="0"/>
          <w:marBottom w:val="0"/>
          <w:divBdr>
            <w:top w:val="none" w:sz="0" w:space="0" w:color="auto"/>
            <w:left w:val="none" w:sz="0" w:space="0" w:color="auto"/>
            <w:bottom w:val="none" w:sz="0" w:space="0" w:color="auto"/>
            <w:right w:val="none" w:sz="0" w:space="0" w:color="auto"/>
          </w:divBdr>
          <w:divsChild>
            <w:div w:id="76556289">
              <w:marLeft w:val="0"/>
              <w:marRight w:val="0"/>
              <w:marTop w:val="0"/>
              <w:marBottom w:val="0"/>
              <w:divBdr>
                <w:top w:val="none" w:sz="0" w:space="0" w:color="auto"/>
                <w:left w:val="none" w:sz="0" w:space="0" w:color="auto"/>
                <w:bottom w:val="none" w:sz="0" w:space="0" w:color="auto"/>
                <w:right w:val="none" w:sz="0" w:space="0" w:color="auto"/>
              </w:divBdr>
              <w:divsChild>
                <w:div w:id="12309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7784">
      <w:bodyDiv w:val="1"/>
      <w:marLeft w:val="0"/>
      <w:marRight w:val="0"/>
      <w:marTop w:val="0"/>
      <w:marBottom w:val="0"/>
      <w:divBdr>
        <w:top w:val="none" w:sz="0" w:space="0" w:color="auto"/>
        <w:left w:val="none" w:sz="0" w:space="0" w:color="auto"/>
        <w:bottom w:val="none" w:sz="0" w:space="0" w:color="auto"/>
        <w:right w:val="none" w:sz="0" w:space="0" w:color="auto"/>
      </w:divBdr>
      <w:divsChild>
        <w:div w:id="1067605035">
          <w:marLeft w:val="0"/>
          <w:marRight w:val="0"/>
          <w:marTop w:val="0"/>
          <w:marBottom w:val="0"/>
          <w:divBdr>
            <w:top w:val="none" w:sz="0" w:space="0" w:color="auto"/>
            <w:left w:val="none" w:sz="0" w:space="0" w:color="auto"/>
            <w:bottom w:val="none" w:sz="0" w:space="0" w:color="auto"/>
            <w:right w:val="none" w:sz="0" w:space="0" w:color="auto"/>
          </w:divBdr>
          <w:divsChild>
            <w:div w:id="441387027">
              <w:marLeft w:val="0"/>
              <w:marRight w:val="0"/>
              <w:marTop w:val="0"/>
              <w:marBottom w:val="0"/>
              <w:divBdr>
                <w:top w:val="none" w:sz="0" w:space="0" w:color="auto"/>
                <w:left w:val="none" w:sz="0" w:space="0" w:color="auto"/>
                <w:bottom w:val="none" w:sz="0" w:space="0" w:color="auto"/>
                <w:right w:val="none" w:sz="0" w:space="0" w:color="auto"/>
              </w:divBdr>
              <w:divsChild>
                <w:div w:id="4995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8954">
      <w:bodyDiv w:val="1"/>
      <w:marLeft w:val="0"/>
      <w:marRight w:val="0"/>
      <w:marTop w:val="0"/>
      <w:marBottom w:val="0"/>
      <w:divBdr>
        <w:top w:val="none" w:sz="0" w:space="0" w:color="auto"/>
        <w:left w:val="none" w:sz="0" w:space="0" w:color="auto"/>
        <w:bottom w:val="none" w:sz="0" w:space="0" w:color="auto"/>
        <w:right w:val="none" w:sz="0" w:space="0" w:color="auto"/>
      </w:divBdr>
      <w:divsChild>
        <w:div w:id="1991127981">
          <w:marLeft w:val="0"/>
          <w:marRight w:val="0"/>
          <w:marTop w:val="0"/>
          <w:marBottom w:val="0"/>
          <w:divBdr>
            <w:top w:val="none" w:sz="0" w:space="0" w:color="auto"/>
            <w:left w:val="none" w:sz="0" w:space="0" w:color="auto"/>
            <w:bottom w:val="none" w:sz="0" w:space="0" w:color="auto"/>
            <w:right w:val="none" w:sz="0" w:space="0" w:color="auto"/>
          </w:divBdr>
          <w:divsChild>
            <w:div w:id="568883889">
              <w:marLeft w:val="0"/>
              <w:marRight w:val="0"/>
              <w:marTop w:val="0"/>
              <w:marBottom w:val="0"/>
              <w:divBdr>
                <w:top w:val="none" w:sz="0" w:space="0" w:color="auto"/>
                <w:left w:val="none" w:sz="0" w:space="0" w:color="auto"/>
                <w:bottom w:val="none" w:sz="0" w:space="0" w:color="auto"/>
                <w:right w:val="none" w:sz="0" w:space="0" w:color="auto"/>
              </w:divBdr>
              <w:divsChild>
                <w:div w:id="3183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84091">
      <w:bodyDiv w:val="1"/>
      <w:marLeft w:val="0"/>
      <w:marRight w:val="0"/>
      <w:marTop w:val="0"/>
      <w:marBottom w:val="0"/>
      <w:divBdr>
        <w:top w:val="none" w:sz="0" w:space="0" w:color="auto"/>
        <w:left w:val="none" w:sz="0" w:space="0" w:color="auto"/>
        <w:bottom w:val="none" w:sz="0" w:space="0" w:color="auto"/>
        <w:right w:val="none" w:sz="0" w:space="0" w:color="auto"/>
      </w:divBdr>
    </w:div>
    <w:div w:id="289867733">
      <w:bodyDiv w:val="1"/>
      <w:marLeft w:val="0"/>
      <w:marRight w:val="0"/>
      <w:marTop w:val="0"/>
      <w:marBottom w:val="0"/>
      <w:divBdr>
        <w:top w:val="none" w:sz="0" w:space="0" w:color="auto"/>
        <w:left w:val="none" w:sz="0" w:space="0" w:color="auto"/>
        <w:bottom w:val="none" w:sz="0" w:space="0" w:color="auto"/>
        <w:right w:val="none" w:sz="0" w:space="0" w:color="auto"/>
      </w:divBdr>
      <w:divsChild>
        <w:div w:id="990014959">
          <w:marLeft w:val="0"/>
          <w:marRight w:val="0"/>
          <w:marTop w:val="0"/>
          <w:marBottom w:val="0"/>
          <w:divBdr>
            <w:top w:val="none" w:sz="0" w:space="0" w:color="auto"/>
            <w:left w:val="none" w:sz="0" w:space="0" w:color="auto"/>
            <w:bottom w:val="none" w:sz="0" w:space="0" w:color="auto"/>
            <w:right w:val="none" w:sz="0" w:space="0" w:color="auto"/>
          </w:divBdr>
          <w:divsChild>
            <w:div w:id="35855040">
              <w:marLeft w:val="0"/>
              <w:marRight w:val="0"/>
              <w:marTop w:val="0"/>
              <w:marBottom w:val="0"/>
              <w:divBdr>
                <w:top w:val="none" w:sz="0" w:space="0" w:color="auto"/>
                <w:left w:val="none" w:sz="0" w:space="0" w:color="auto"/>
                <w:bottom w:val="none" w:sz="0" w:space="0" w:color="auto"/>
                <w:right w:val="none" w:sz="0" w:space="0" w:color="auto"/>
              </w:divBdr>
              <w:divsChild>
                <w:div w:id="5682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24956">
      <w:bodyDiv w:val="1"/>
      <w:marLeft w:val="0"/>
      <w:marRight w:val="0"/>
      <w:marTop w:val="0"/>
      <w:marBottom w:val="0"/>
      <w:divBdr>
        <w:top w:val="none" w:sz="0" w:space="0" w:color="auto"/>
        <w:left w:val="none" w:sz="0" w:space="0" w:color="auto"/>
        <w:bottom w:val="none" w:sz="0" w:space="0" w:color="auto"/>
        <w:right w:val="none" w:sz="0" w:space="0" w:color="auto"/>
      </w:divBdr>
      <w:divsChild>
        <w:div w:id="1418014003">
          <w:marLeft w:val="0"/>
          <w:marRight w:val="0"/>
          <w:marTop w:val="0"/>
          <w:marBottom w:val="0"/>
          <w:divBdr>
            <w:top w:val="none" w:sz="0" w:space="0" w:color="auto"/>
            <w:left w:val="none" w:sz="0" w:space="0" w:color="auto"/>
            <w:bottom w:val="none" w:sz="0" w:space="0" w:color="auto"/>
            <w:right w:val="none" w:sz="0" w:space="0" w:color="auto"/>
          </w:divBdr>
          <w:divsChild>
            <w:div w:id="353729577">
              <w:marLeft w:val="0"/>
              <w:marRight w:val="0"/>
              <w:marTop w:val="0"/>
              <w:marBottom w:val="0"/>
              <w:divBdr>
                <w:top w:val="none" w:sz="0" w:space="0" w:color="auto"/>
                <w:left w:val="none" w:sz="0" w:space="0" w:color="auto"/>
                <w:bottom w:val="none" w:sz="0" w:space="0" w:color="auto"/>
                <w:right w:val="none" w:sz="0" w:space="0" w:color="auto"/>
              </w:divBdr>
              <w:divsChild>
                <w:div w:id="857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1099">
      <w:bodyDiv w:val="1"/>
      <w:marLeft w:val="0"/>
      <w:marRight w:val="0"/>
      <w:marTop w:val="0"/>
      <w:marBottom w:val="0"/>
      <w:divBdr>
        <w:top w:val="none" w:sz="0" w:space="0" w:color="auto"/>
        <w:left w:val="none" w:sz="0" w:space="0" w:color="auto"/>
        <w:bottom w:val="none" w:sz="0" w:space="0" w:color="auto"/>
        <w:right w:val="none" w:sz="0" w:space="0" w:color="auto"/>
      </w:divBdr>
    </w:div>
    <w:div w:id="403838746">
      <w:bodyDiv w:val="1"/>
      <w:marLeft w:val="0"/>
      <w:marRight w:val="0"/>
      <w:marTop w:val="0"/>
      <w:marBottom w:val="0"/>
      <w:divBdr>
        <w:top w:val="none" w:sz="0" w:space="0" w:color="auto"/>
        <w:left w:val="none" w:sz="0" w:space="0" w:color="auto"/>
        <w:bottom w:val="none" w:sz="0" w:space="0" w:color="auto"/>
        <w:right w:val="none" w:sz="0" w:space="0" w:color="auto"/>
      </w:divBdr>
      <w:divsChild>
        <w:div w:id="55857318">
          <w:marLeft w:val="0"/>
          <w:marRight w:val="0"/>
          <w:marTop w:val="0"/>
          <w:marBottom w:val="0"/>
          <w:divBdr>
            <w:top w:val="none" w:sz="0" w:space="0" w:color="auto"/>
            <w:left w:val="none" w:sz="0" w:space="0" w:color="auto"/>
            <w:bottom w:val="none" w:sz="0" w:space="0" w:color="auto"/>
            <w:right w:val="none" w:sz="0" w:space="0" w:color="auto"/>
          </w:divBdr>
          <w:divsChild>
            <w:div w:id="200897220">
              <w:marLeft w:val="0"/>
              <w:marRight w:val="0"/>
              <w:marTop w:val="0"/>
              <w:marBottom w:val="0"/>
              <w:divBdr>
                <w:top w:val="none" w:sz="0" w:space="0" w:color="auto"/>
                <w:left w:val="none" w:sz="0" w:space="0" w:color="auto"/>
                <w:bottom w:val="none" w:sz="0" w:space="0" w:color="auto"/>
                <w:right w:val="none" w:sz="0" w:space="0" w:color="auto"/>
              </w:divBdr>
              <w:divsChild>
                <w:div w:id="145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812066319">
          <w:marLeft w:val="0"/>
          <w:marRight w:val="0"/>
          <w:marTop w:val="100"/>
          <w:marBottom w:val="100"/>
          <w:divBdr>
            <w:top w:val="none" w:sz="0" w:space="0" w:color="auto"/>
            <w:left w:val="none" w:sz="0" w:space="0" w:color="auto"/>
            <w:bottom w:val="none" w:sz="0" w:space="0" w:color="auto"/>
            <w:right w:val="none" w:sz="0" w:space="0" w:color="auto"/>
          </w:divBdr>
          <w:divsChild>
            <w:div w:id="76244847">
              <w:marLeft w:val="0"/>
              <w:marRight w:val="0"/>
              <w:marTop w:val="0"/>
              <w:marBottom w:val="0"/>
              <w:divBdr>
                <w:top w:val="none" w:sz="0" w:space="0" w:color="auto"/>
                <w:left w:val="none" w:sz="0" w:space="0" w:color="auto"/>
                <w:bottom w:val="none" w:sz="0" w:space="0" w:color="auto"/>
                <w:right w:val="none" w:sz="0" w:space="0" w:color="auto"/>
              </w:divBdr>
              <w:divsChild>
                <w:div w:id="322321659">
                  <w:marLeft w:val="0"/>
                  <w:marRight w:val="0"/>
                  <w:marTop w:val="0"/>
                  <w:marBottom w:val="0"/>
                  <w:divBdr>
                    <w:top w:val="none" w:sz="0" w:space="0" w:color="auto"/>
                    <w:left w:val="single" w:sz="6" w:space="0" w:color="8DB2E3"/>
                    <w:bottom w:val="single" w:sz="6" w:space="0" w:color="8DB2E3"/>
                    <w:right w:val="single" w:sz="6" w:space="0" w:color="8DB2E3"/>
                  </w:divBdr>
                  <w:divsChild>
                    <w:div w:id="695812087">
                      <w:marLeft w:val="0"/>
                      <w:marRight w:val="0"/>
                      <w:marTop w:val="0"/>
                      <w:marBottom w:val="0"/>
                      <w:divBdr>
                        <w:top w:val="single" w:sz="2" w:space="0" w:color="99BBE8"/>
                        <w:left w:val="single" w:sz="2" w:space="0" w:color="99BBE8"/>
                        <w:bottom w:val="single" w:sz="2" w:space="0" w:color="99BBE8"/>
                        <w:right w:val="single" w:sz="2" w:space="0" w:color="99BBE8"/>
                      </w:divBdr>
                      <w:divsChild>
                        <w:div w:id="1495418616">
                          <w:marLeft w:val="0"/>
                          <w:marRight w:val="0"/>
                          <w:marTop w:val="0"/>
                          <w:marBottom w:val="0"/>
                          <w:divBdr>
                            <w:top w:val="none" w:sz="0" w:space="0" w:color="auto"/>
                            <w:left w:val="none" w:sz="0" w:space="0" w:color="auto"/>
                            <w:bottom w:val="none" w:sz="0" w:space="0" w:color="auto"/>
                            <w:right w:val="none" w:sz="0" w:space="0" w:color="auto"/>
                          </w:divBdr>
                          <w:divsChild>
                            <w:div w:id="565144753">
                              <w:marLeft w:val="0"/>
                              <w:marRight w:val="0"/>
                              <w:marTop w:val="0"/>
                              <w:marBottom w:val="0"/>
                              <w:divBdr>
                                <w:top w:val="single" w:sz="2" w:space="0" w:color="99BBE8"/>
                                <w:left w:val="single" w:sz="2" w:space="0" w:color="99BBE8"/>
                                <w:bottom w:val="single" w:sz="2" w:space="0" w:color="99BBE8"/>
                                <w:right w:val="single" w:sz="2" w:space="0" w:color="99BBE8"/>
                              </w:divBdr>
                              <w:divsChild>
                                <w:div w:id="212812142">
                                  <w:marLeft w:val="0"/>
                                  <w:marRight w:val="0"/>
                                  <w:marTop w:val="0"/>
                                  <w:marBottom w:val="0"/>
                                  <w:divBdr>
                                    <w:top w:val="none" w:sz="0" w:space="0" w:color="auto"/>
                                    <w:left w:val="none" w:sz="0" w:space="0" w:color="auto"/>
                                    <w:bottom w:val="none" w:sz="0" w:space="0" w:color="auto"/>
                                    <w:right w:val="none" w:sz="0" w:space="0" w:color="auto"/>
                                  </w:divBdr>
                                  <w:divsChild>
                                    <w:div w:id="7074150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572700">
      <w:bodyDiv w:val="1"/>
      <w:marLeft w:val="0"/>
      <w:marRight w:val="0"/>
      <w:marTop w:val="0"/>
      <w:marBottom w:val="0"/>
      <w:divBdr>
        <w:top w:val="none" w:sz="0" w:space="0" w:color="auto"/>
        <w:left w:val="none" w:sz="0" w:space="0" w:color="auto"/>
        <w:bottom w:val="none" w:sz="0" w:space="0" w:color="auto"/>
        <w:right w:val="none" w:sz="0" w:space="0" w:color="auto"/>
      </w:divBdr>
      <w:divsChild>
        <w:div w:id="2126267661">
          <w:marLeft w:val="0"/>
          <w:marRight w:val="0"/>
          <w:marTop w:val="0"/>
          <w:marBottom w:val="0"/>
          <w:divBdr>
            <w:top w:val="none" w:sz="0" w:space="0" w:color="auto"/>
            <w:left w:val="none" w:sz="0" w:space="0" w:color="auto"/>
            <w:bottom w:val="none" w:sz="0" w:space="0" w:color="auto"/>
            <w:right w:val="none" w:sz="0" w:space="0" w:color="auto"/>
          </w:divBdr>
          <w:divsChild>
            <w:div w:id="750390109">
              <w:marLeft w:val="0"/>
              <w:marRight w:val="0"/>
              <w:marTop w:val="0"/>
              <w:marBottom w:val="0"/>
              <w:divBdr>
                <w:top w:val="none" w:sz="0" w:space="0" w:color="auto"/>
                <w:left w:val="none" w:sz="0" w:space="0" w:color="auto"/>
                <w:bottom w:val="none" w:sz="0" w:space="0" w:color="auto"/>
                <w:right w:val="none" w:sz="0" w:space="0" w:color="auto"/>
              </w:divBdr>
              <w:divsChild>
                <w:div w:id="1530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83969">
      <w:bodyDiv w:val="1"/>
      <w:marLeft w:val="0"/>
      <w:marRight w:val="0"/>
      <w:marTop w:val="0"/>
      <w:marBottom w:val="0"/>
      <w:divBdr>
        <w:top w:val="none" w:sz="0" w:space="0" w:color="auto"/>
        <w:left w:val="none" w:sz="0" w:space="0" w:color="auto"/>
        <w:bottom w:val="none" w:sz="0" w:space="0" w:color="auto"/>
        <w:right w:val="none" w:sz="0" w:space="0" w:color="auto"/>
      </w:divBdr>
    </w:div>
    <w:div w:id="512301182">
      <w:bodyDiv w:val="1"/>
      <w:marLeft w:val="0"/>
      <w:marRight w:val="0"/>
      <w:marTop w:val="0"/>
      <w:marBottom w:val="0"/>
      <w:divBdr>
        <w:top w:val="none" w:sz="0" w:space="0" w:color="auto"/>
        <w:left w:val="none" w:sz="0" w:space="0" w:color="auto"/>
        <w:bottom w:val="none" w:sz="0" w:space="0" w:color="auto"/>
        <w:right w:val="none" w:sz="0" w:space="0" w:color="auto"/>
      </w:divBdr>
    </w:div>
    <w:div w:id="563225392">
      <w:bodyDiv w:val="1"/>
      <w:marLeft w:val="0"/>
      <w:marRight w:val="0"/>
      <w:marTop w:val="0"/>
      <w:marBottom w:val="0"/>
      <w:divBdr>
        <w:top w:val="none" w:sz="0" w:space="0" w:color="auto"/>
        <w:left w:val="none" w:sz="0" w:space="0" w:color="auto"/>
        <w:bottom w:val="none" w:sz="0" w:space="0" w:color="auto"/>
        <w:right w:val="none" w:sz="0" w:space="0" w:color="auto"/>
      </w:divBdr>
      <w:divsChild>
        <w:div w:id="861170683">
          <w:marLeft w:val="0"/>
          <w:marRight w:val="0"/>
          <w:marTop w:val="0"/>
          <w:marBottom w:val="0"/>
          <w:divBdr>
            <w:top w:val="none" w:sz="0" w:space="0" w:color="auto"/>
            <w:left w:val="none" w:sz="0" w:space="0" w:color="auto"/>
            <w:bottom w:val="none" w:sz="0" w:space="0" w:color="auto"/>
            <w:right w:val="none" w:sz="0" w:space="0" w:color="auto"/>
          </w:divBdr>
          <w:divsChild>
            <w:div w:id="698512784">
              <w:marLeft w:val="0"/>
              <w:marRight w:val="0"/>
              <w:marTop w:val="0"/>
              <w:marBottom w:val="0"/>
              <w:divBdr>
                <w:top w:val="none" w:sz="0" w:space="0" w:color="auto"/>
                <w:left w:val="none" w:sz="0" w:space="0" w:color="auto"/>
                <w:bottom w:val="none" w:sz="0" w:space="0" w:color="auto"/>
                <w:right w:val="none" w:sz="0" w:space="0" w:color="auto"/>
              </w:divBdr>
              <w:divsChild>
                <w:div w:id="3500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19554">
      <w:bodyDiv w:val="1"/>
      <w:marLeft w:val="0"/>
      <w:marRight w:val="0"/>
      <w:marTop w:val="0"/>
      <w:marBottom w:val="0"/>
      <w:divBdr>
        <w:top w:val="none" w:sz="0" w:space="0" w:color="auto"/>
        <w:left w:val="none" w:sz="0" w:space="0" w:color="auto"/>
        <w:bottom w:val="none" w:sz="0" w:space="0" w:color="auto"/>
        <w:right w:val="none" w:sz="0" w:space="0" w:color="auto"/>
      </w:divBdr>
    </w:div>
    <w:div w:id="597829672">
      <w:bodyDiv w:val="1"/>
      <w:marLeft w:val="0"/>
      <w:marRight w:val="0"/>
      <w:marTop w:val="0"/>
      <w:marBottom w:val="0"/>
      <w:divBdr>
        <w:top w:val="none" w:sz="0" w:space="0" w:color="auto"/>
        <w:left w:val="none" w:sz="0" w:space="0" w:color="auto"/>
        <w:bottom w:val="none" w:sz="0" w:space="0" w:color="auto"/>
        <w:right w:val="none" w:sz="0" w:space="0" w:color="auto"/>
      </w:divBdr>
    </w:div>
    <w:div w:id="630868659">
      <w:bodyDiv w:val="1"/>
      <w:marLeft w:val="0"/>
      <w:marRight w:val="0"/>
      <w:marTop w:val="0"/>
      <w:marBottom w:val="0"/>
      <w:divBdr>
        <w:top w:val="none" w:sz="0" w:space="0" w:color="auto"/>
        <w:left w:val="none" w:sz="0" w:space="0" w:color="auto"/>
        <w:bottom w:val="none" w:sz="0" w:space="0" w:color="auto"/>
        <w:right w:val="none" w:sz="0" w:space="0" w:color="auto"/>
      </w:divBdr>
      <w:divsChild>
        <w:div w:id="1961187709">
          <w:marLeft w:val="0"/>
          <w:marRight w:val="0"/>
          <w:marTop w:val="0"/>
          <w:marBottom w:val="0"/>
          <w:divBdr>
            <w:top w:val="none" w:sz="0" w:space="0" w:color="auto"/>
            <w:left w:val="none" w:sz="0" w:space="0" w:color="auto"/>
            <w:bottom w:val="none" w:sz="0" w:space="0" w:color="auto"/>
            <w:right w:val="none" w:sz="0" w:space="0" w:color="auto"/>
          </w:divBdr>
          <w:divsChild>
            <w:div w:id="838420968">
              <w:marLeft w:val="0"/>
              <w:marRight w:val="0"/>
              <w:marTop w:val="0"/>
              <w:marBottom w:val="0"/>
              <w:divBdr>
                <w:top w:val="none" w:sz="0" w:space="0" w:color="auto"/>
                <w:left w:val="none" w:sz="0" w:space="0" w:color="auto"/>
                <w:bottom w:val="none" w:sz="0" w:space="0" w:color="auto"/>
                <w:right w:val="none" w:sz="0" w:space="0" w:color="auto"/>
              </w:divBdr>
              <w:divsChild>
                <w:div w:id="619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6333">
      <w:bodyDiv w:val="1"/>
      <w:marLeft w:val="0"/>
      <w:marRight w:val="0"/>
      <w:marTop w:val="0"/>
      <w:marBottom w:val="0"/>
      <w:divBdr>
        <w:top w:val="none" w:sz="0" w:space="0" w:color="auto"/>
        <w:left w:val="none" w:sz="0" w:space="0" w:color="auto"/>
        <w:bottom w:val="none" w:sz="0" w:space="0" w:color="auto"/>
        <w:right w:val="none" w:sz="0" w:space="0" w:color="auto"/>
      </w:divBdr>
      <w:divsChild>
        <w:div w:id="1612516390">
          <w:marLeft w:val="0"/>
          <w:marRight w:val="0"/>
          <w:marTop w:val="0"/>
          <w:marBottom w:val="0"/>
          <w:divBdr>
            <w:top w:val="none" w:sz="0" w:space="0" w:color="auto"/>
            <w:left w:val="none" w:sz="0" w:space="0" w:color="auto"/>
            <w:bottom w:val="none" w:sz="0" w:space="0" w:color="auto"/>
            <w:right w:val="none" w:sz="0" w:space="0" w:color="auto"/>
          </w:divBdr>
          <w:divsChild>
            <w:div w:id="2145924095">
              <w:marLeft w:val="0"/>
              <w:marRight w:val="0"/>
              <w:marTop w:val="0"/>
              <w:marBottom w:val="0"/>
              <w:divBdr>
                <w:top w:val="none" w:sz="0" w:space="0" w:color="auto"/>
                <w:left w:val="none" w:sz="0" w:space="0" w:color="auto"/>
                <w:bottom w:val="none" w:sz="0" w:space="0" w:color="auto"/>
                <w:right w:val="none" w:sz="0" w:space="0" w:color="auto"/>
              </w:divBdr>
              <w:divsChild>
                <w:div w:id="16323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7972">
      <w:bodyDiv w:val="1"/>
      <w:marLeft w:val="0"/>
      <w:marRight w:val="0"/>
      <w:marTop w:val="0"/>
      <w:marBottom w:val="0"/>
      <w:divBdr>
        <w:top w:val="none" w:sz="0" w:space="0" w:color="auto"/>
        <w:left w:val="none" w:sz="0" w:space="0" w:color="auto"/>
        <w:bottom w:val="none" w:sz="0" w:space="0" w:color="auto"/>
        <w:right w:val="none" w:sz="0" w:space="0" w:color="auto"/>
      </w:divBdr>
      <w:divsChild>
        <w:div w:id="1862725">
          <w:marLeft w:val="0"/>
          <w:marRight w:val="0"/>
          <w:marTop w:val="0"/>
          <w:marBottom w:val="0"/>
          <w:divBdr>
            <w:top w:val="none" w:sz="0" w:space="0" w:color="auto"/>
            <w:left w:val="none" w:sz="0" w:space="0" w:color="auto"/>
            <w:bottom w:val="none" w:sz="0" w:space="0" w:color="auto"/>
            <w:right w:val="none" w:sz="0" w:space="0" w:color="auto"/>
          </w:divBdr>
          <w:divsChild>
            <w:div w:id="986662049">
              <w:marLeft w:val="0"/>
              <w:marRight w:val="0"/>
              <w:marTop w:val="0"/>
              <w:marBottom w:val="0"/>
              <w:divBdr>
                <w:top w:val="none" w:sz="0" w:space="0" w:color="auto"/>
                <w:left w:val="none" w:sz="0" w:space="0" w:color="auto"/>
                <w:bottom w:val="none" w:sz="0" w:space="0" w:color="auto"/>
                <w:right w:val="none" w:sz="0" w:space="0" w:color="auto"/>
              </w:divBdr>
              <w:divsChild>
                <w:div w:id="2880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6278">
      <w:bodyDiv w:val="1"/>
      <w:marLeft w:val="0"/>
      <w:marRight w:val="0"/>
      <w:marTop w:val="0"/>
      <w:marBottom w:val="0"/>
      <w:divBdr>
        <w:top w:val="none" w:sz="0" w:space="0" w:color="auto"/>
        <w:left w:val="none" w:sz="0" w:space="0" w:color="auto"/>
        <w:bottom w:val="none" w:sz="0" w:space="0" w:color="auto"/>
        <w:right w:val="none" w:sz="0" w:space="0" w:color="auto"/>
      </w:divBdr>
      <w:divsChild>
        <w:div w:id="874192802">
          <w:marLeft w:val="0"/>
          <w:marRight w:val="0"/>
          <w:marTop w:val="0"/>
          <w:marBottom w:val="0"/>
          <w:divBdr>
            <w:top w:val="none" w:sz="0" w:space="0" w:color="auto"/>
            <w:left w:val="none" w:sz="0" w:space="0" w:color="auto"/>
            <w:bottom w:val="none" w:sz="0" w:space="0" w:color="auto"/>
            <w:right w:val="none" w:sz="0" w:space="0" w:color="auto"/>
          </w:divBdr>
          <w:divsChild>
            <w:div w:id="1047071679">
              <w:marLeft w:val="0"/>
              <w:marRight w:val="0"/>
              <w:marTop w:val="0"/>
              <w:marBottom w:val="0"/>
              <w:divBdr>
                <w:top w:val="none" w:sz="0" w:space="0" w:color="auto"/>
                <w:left w:val="none" w:sz="0" w:space="0" w:color="auto"/>
                <w:bottom w:val="none" w:sz="0" w:space="0" w:color="auto"/>
                <w:right w:val="none" w:sz="0" w:space="0" w:color="auto"/>
              </w:divBdr>
              <w:divsChild>
                <w:div w:id="1610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67221">
      <w:bodyDiv w:val="1"/>
      <w:marLeft w:val="0"/>
      <w:marRight w:val="0"/>
      <w:marTop w:val="0"/>
      <w:marBottom w:val="0"/>
      <w:divBdr>
        <w:top w:val="none" w:sz="0" w:space="0" w:color="auto"/>
        <w:left w:val="none" w:sz="0" w:space="0" w:color="auto"/>
        <w:bottom w:val="none" w:sz="0" w:space="0" w:color="auto"/>
        <w:right w:val="none" w:sz="0" w:space="0" w:color="auto"/>
      </w:divBdr>
    </w:div>
    <w:div w:id="748771916">
      <w:bodyDiv w:val="1"/>
      <w:marLeft w:val="0"/>
      <w:marRight w:val="0"/>
      <w:marTop w:val="0"/>
      <w:marBottom w:val="0"/>
      <w:divBdr>
        <w:top w:val="none" w:sz="0" w:space="0" w:color="auto"/>
        <w:left w:val="none" w:sz="0" w:space="0" w:color="auto"/>
        <w:bottom w:val="none" w:sz="0" w:space="0" w:color="auto"/>
        <w:right w:val="none" w:sz="0" w:space="0" w:color="auto"/>
      </w:divBdr>
    </w:div>
    <w:div w:id="775298100">
      <w:bodyDiv w:val="1"/>
      <w:marLeft w:val="0"/>
      <w:marRight w:val="0"/>
      <w:marTop w:val="0"/>
      <w:marBottom w:val="0"/>
      <w:divBdr>
        <w:top w:val="none" w:sz="0" w:space="0" w:color="auto"/>
        <w:left w:val="none" w:sz="0" w:space="0" w:color="auto"/>
        <w:bottom w:val="none" w:sz="0" w:space="0" w:color="auto"/>
        <w:right w:val="none" w:sz="0" w:space="0" w:color="auto"/>
      </w:divBdr>
    </w:div>
    <w:div w:id="896354442">
      <w:bodyDiv w:val="1"/>
      <w:marLeft w:val="0"/>
      <w:marRight w:val="0"/>
      <w:marTop w:val="0"/>
      <w:marBottom w:val="0"/>
      <w:divBdr>
        <w:top w:val="none" w:sz="0" w:space="0" w:color="auto"/>
        <w:left w:val="none" w:sz="0" w:space="0" w:color="auto"/>
        <w:bottom w:val="none" w:sz="0" w:space="0" w:color="auto"/>
        <w:right w:val="none" w:sz="0" w:space="0" w:color="auto"/>
      </w:divBdr>
      <w:divsChild>
        <w:div w:id="679115656">
          <w:marLeft w:val="0"/>
          <w:marRight w:val="0"/>
          <w:marTop w:val="0"/>
          <w:marBottom w:val="0"/>
          <w:divBdr>
            <w:top w:val="none" w:sz="0" w:space="0" w:color="auto"/>
            <w:left w:val="none" w:sz="0" w:space="0" w:color="auto"/>
            <w:bottom w:val="none" w:sz="0" w:space="0" w:color="auto"/>
            <w:right w:val="none" w:sz="0" w:space="0" w:color="auto"/>
          </w:divBdr>
          <w:divsChild>
            <w:div w:id="600527148">
              <w:marLeft w:val="0"/>
              <w:marRight w:val="0"/>
              <w:marTop w:val="0"/>
              <w:marBottom w:val="0"/>
              <w:divBdr>
                <w:top w:val="none" w:sz="0" w:space="0" w:color="auto"/>
                <w:left w:val="none" w:sz="0" w:space="0" w:color="auto"/>
                <w:bottom w:val="none" w:sz="0" w:space="0" w:color="auto"/>
                <w:right w:val="none" w:sz="0" w:space="0" w:color="auto"/>
              </w:divBdr>
              <w:divsChild>
                <w:div w:id="29290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75062">
      <w:bodyDiv w:val="1"/>
      <w:marLeft w:val="0"/>
      <w:marRight w:val="0"/>
      <w:marTop w:val="0"/>
      <w:marBottom w:val="0"/>
      <w:divBdr>
        <w:top w:val="none" w:sz="0" w:space="0" w:color="auto"/>
        <w:left w:val="none" w:sz="0" w:space="0" w:color="auto"/>
        <w:bottom w:val="none" w:sz="0" w:space="0" w:color="auto"/>
        <w:right w:val="none" w:sz="0" w:space="0" w:color="auto"/>
      </w:divBdr>
      <w:divsChild>
        <w:div w:id="944459686">
          <w:marLeft w:val="0"/>
          <w:marRight w:val="0"/>
          <w:marTop w:val="0"/>
          <w:marBottom w:val="0"/>
          <w:divBdr>
            <w:top w:val="none" w:sz="0" w:space="0" w:color="auto"/>
            <w:left w:val="none" w:sz="0" w:space="0" w:color="auto"/>
            <w:bottom w:val="none" w:sz="0" w:space="0" w:color="auto"/>
            <w:right w:val="none" w:sz="0" w:space="0" w:color="auto"/>
          </w:divBdr>
          <w:divsChild>
            <w:div w:id="1599873701">
              <w:marLeft w:val="0"/>
              <w:marRight w:val="0"/>
              <w:marTop w:val="0"/>
              <w:marBottom w:val="0"/>
              <w:divBdr>
                <w:top w:val="none" w:sz="0" w:space="0" w:color="auto"/>
                <w:left w:val="none" w:sz="0" w:space="0" w:color="auto"/>
                <w:bottom w:val="none" w:sz="0" w:space="0" w:color="auto"/>
                <w:right w:val="none" w:sz="0" w:space="0" w:color="auto"/>
              </w:divBdr>
              <w:divsChild>
                <w:div w:id="359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3809">
      <w:bodyDiv w:val="1"/>
      <w:marLeft w:val="0"/>
      <w:marRight w:val="0"/>
      <w:marTop w:val="0"/>
      <w:marBottom w:val="0"/>
      <w:divBdr>
        <w:top w:val="none" w:sz="0" w:space="0" w:color="auto"/>
        <w:left w:val="none" w:sz="0" w:space="0" w:color="auto"/>
        <w:bottom w:val="none" w:sz="0" w:space="0" w:color="auto"/>
        <w:right w:val="none" w:sz="0" w:space="0" w:color="auto"/>
      </w:divBdr>
    </w:div>
    <w:div w:id="1120536782">
      <w:bodyDiv w:val="1"/>
      <w:marLeft w:val="0"/>
      <w:marRight w:val="0"/>
      <w:marTop w:val="0"/>
      <w:marBottom w:val="0"/>
      <w:divBdr>
        <w:top w:val="none" w:sz="0" w:space="0" w:color="auto"/>
        <w:left w:val="none" w:sz="0" w:space="0" w:color="auto"/>
        <w:bottom w:val="none" w:sz="0" w:space="0" w:color="auto"/>
        <w:right w:val="none" w:sz="0" w:space="0" w:color="auto"/>
      </w:divBdr>
    </w:div>
    <w:div w:id="1133988206">
      <w:bodyDiv w:val="1"/>
      <w:marLeft w:val="0"/>
      <w:marRight w:val="0"/>
      <w:marTop w:val="0"/>
      <w:marBottom w:val="0"/>
      <w:divBdr>
        <w:top w:val="none" w:sz="0" w:space="0" w:color="auto"/>
        <w:left w:val="none" w:sz="0" w:space="0" w:color="auto"/>
        <w:bottom w:val="none" w:sz="0" w:space="0" w:color="auto"/>
        <w:right w:val="none" w:sz="0" w:space="0" w:color="auto"/>
      </w:divBdr>
      <w:divsChild>
        <w:div w:id="1275864835">
          <w:marLeft w:val="0"/>
          <w:marRight w:val="0"/>
          <w:marTop w:val="0"/>
          <w:marBottom w:val="0"/>
          <w:divBdr>
            <w:top w:val="none" w:sz="0" w:space="0" w:color="auto"/>
            <w:left w:val="none" w:sz="0" w:space="0" w:color="auto"/>
            <w:bottom w:val="none" w:sz="0" w:space="0" w:color="auto"/>
            <w:right w:val="none" w:sz="0" w:space="0" w:color="auto"/>
          </w:divBdr>
          <w:divsChild>
            <w:div w:id="490483801">
              <w:marLeft w:val="0"/>
              <w:marRight w:val="0"/>
              <w:marTop w:val="0"/>
              <w:marBottom w:val="0"/>
              <w:divBdr>
                <w:top w:val="none" w:sz="0" w:space="0" w:color="auto"/>
                <w:left w:val="none" w:sz="0" w:space="0" w:color="auto"/>
                <w:bottom w:val="none" w:sz="0" w:space="0" w:color="auto"/>
                <w:right w:val="none" w:sz="0" w:space="0" w:color="auto"/>
              </w:divBdr>
              <w:divsChild>
                <w:div w:id="6726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09128">
      <w:bodyDiv w:val="1"/>
      <w:marLeft w:val="0"/>
      <w:marRight w:val="0"/>
      <w:marTop w:val="0"/>
      <w:marBottom w:val="0"/>
      <w:divBdr>
        <w:top w:val="none" w:sz="0" w:space="0" w:color="auto"/>
        <w:left w:val="none" w:sz="0" w:space="0" w:color="auto"/>
        <w:bottom w:val="none" w:sz="0" w:space="0" w:color="auto"/>
        <w:right w:val="none" w:sz="0" w:space="0" w:color="auto"/>
      </w:divBdr>
      <w:divsChild>
        <w:div w:id="1084569045">
          <w:marLeft w:val="0"/>
          <w:marRight w:val="0"/>
          <w:marTop w:val="0"/>
          <w:marBottom w:val="0"/>
          <w:divBdr>
            <w:top w:val="none" w:sz="0" w:space="0" w:color="auto"/>
            <w:left w:val="none" w:sz="0" w:space="0" w:color="auto"/>
            <w:bottom w:val="none" w:sz="0" w:space="0" w:color="auto"/>
            <w:right w:val="none" w:sz="0" w:space="0" w:color="auto"/>
          </w:divBdr>
          <w:divsChild>
            <w:div w:id="1992325600">
              <w:marLeft w:val="0"/>
              <w:marRight w:val="0"/>
              <w:marTop w:val="0"/>
              <w:marBottom w:val="0"/>
              <w:divBdr>
                <w:top w:val="none" w:sz="0" w:space="0" w:color="auto"/>
                <w:left w:val="none" w:sz="0" w:space="0" w:color="auto"/>
                <w:bottom w:val="none" w:sz="0" w:space="0" w:color="auto"/>
                <w:right w:val="none" w:sz="0" w:space="0" w:color="auto"/>
              </w:divBdr>
              <w:divsChild>
                <w:div w:id="2504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6279">
      <w:bodyDiv w:val="1"/>
      <w:marLeft w:val="0"/>
      <w:marRight w:val="0"/>
      <w:marTop w:val="0"/>
      <w:marBottom w:val="0"/>
      <w:divBdr>
        <w:top w:val="none" w:sz="0" w:space="0" w:color="auto"/>
        <w:left w:val="none" w:sz="0" w:space="0" w:color="auto"/>
        <w:bottom w:val="none" w:sz="0" w:space="0" w:color="auto"/>
        <w:right w:val="none" w:sz="0" w:space="0" w:color="auto"/>
      </w:divBdr>
    </w:div>
    <w:div w:id="1251811092">
      <w:bodyDiv w:val="1"/>
      <w:marLeft w:val="0"/>
      <w:marRight w:val="0"/>
      <w:marTop w:val="0"/>
      <w:marBottom w:val="0"/>
      <w:divBdr>
        <w:top w:val="none" w:sz="0" w:space="0" w:color="auto"/>
        <w:left w:val="none" w:sz="0" w:space="0" w:color="auto"/>
        <w:bottom w:val="none" w:sz="0" w:space="0" w:color="auto"/>
        <w:right w:val="none" w:sz="0" w:space="0" w:color="auto"/>
      </w:divBdr>
    </w:div>
    <w:div w:id="1324436486">
      <w:bodyDiv w:val="1"/>
      <w:marLeft w:val="0"/>
      <w:marRight w:val="0"/>
      <w:marTop w:val="0"/>
      <w:marBottom w:val="0"/>
      <w:divBdr>
        <w:top w:val="none" w:sz="0" w:space="0" w:color="auto"/>
        <w:left w:val="none" w:sz="0" w:space="0" w:color="auto"/>
        <w:bottom w:val="none" w:sz="0" w:space="0" w:color="auto"/>
        <w:right w:val="none" w:sz="0" w:space="0" w:color="auto"/>
      </w:divBdr>
    </w:div>
    <w:div w:id="1422529254">
      <w:bodyDiv w:val="1"/>
      <w:marLeft w:val="0"/>
      <w:marRight w:val="0"/>
      <w:marTop w:val="0"/>
      <w:marBottom w:val="0"/>
      <w:divBdr>
        <w:top w:val="none" w:sz="0" w:space="0" w:color="auto"/>
        <w:left w:val="none" w:sz="0" w:space="0" w:color="auto"/>
        <w:bottom w:val="none" w:sz="0" w:space="0" w:color="auto"/>
        <w:right w:val="none" w:sz="0" w:space="0" w:color="auto"/>
      </w:divBdr>
      <w:divsChild>
        <w:div w:id="1030715796">
          <w:marLeft w:val="0"/>
          <w:marRight w:val="0"/>
          <w:marTop w:val="0"/>
          <w:marBottom w:val="0"/>
          <w:divBdr>
            <w:top w:val="none" w:sz="0" w:space="0" w:color="auto"/>
            <w:left w:val="none" w:sz="0" w:space="0" w:color="auto"/>
            <w:bottom w:val="none" w:sz="0" w:space="0" w:color="auto"/>
            <w:right w:val="none" w:sz="0" w:space="0" w:color="auto"/>
          </w:divBdr>
          <w:divsChild>
            <w:div w:id="1530991125">
              <w:marLeft w:val="0"/>
              <w:marRight w:val="0"/>
              <w:marTop w:val="0"/>
              <w:marBottom w:val="0"/>
              <w:divBdr>
                <w:top w:val="none" w:sz="0" w:space="0" w:color="auto"/>
                <w:left w:val="none" w:sz="0" w:space="0" w:color="auto"/>
                <w:bottom w:val="none" w:sz="0" w:space="0" w:color="auto"/>
                <w:right w:val="none" w:sz="0" w:space="0" w:color="auto"/>
              </w:divBdr>
              <w:divsChild>
                <w:div w:id="3742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0581">
      <w:bodyDiv w:val="1"/>
      <w:marLeft w:val="0"/>
      <w:marRight w:val="0"/>
      <w:marTop w:val="0"/>
      <w:marBottom w:val="0"/>
      <w:divBdr>
        <w:top w:val="none" w:sz="0" w:space="0" w:color="auto"/>
        <w:left w:val="none" w:sz="0" w:space="0" w:color="auto"/>
        <w:bottom w:val="none" w:sz="0" w:space="0" w:color="auto"/>
        <w:right w:val="none" w:sz="0" w:space="0" w:color="auto"/>
      </w:divBdr>
      <w:divsChild>
        <w:div w:id="1562785798">
          <w:marLeft w:val="0"/>
          <w:marRight w:val="0"/>
          <w:marTop w:val="0"/>
          <w:marBottom w:val="0"/>
          <w:divBdr>
            <w:top w:val="none" w:sz="0" w:space="0" w:color="auto"/>
            <w:left w:val="none" w:sz="0" w:space="0" w:color="auto"/>
            <w:bottom w:val="none" w:sz="0" w:space="0" w:color="auto"/>
            <w:right w:val="none" w:sz="0" w:space="0" w:color="auto"/>
          </w:divBdr>
          <w:divsChild>
            <w:div w:id="1535579346">
              <w:marLeft w:val="0"/>
              <w:marRight w:val="0"/>
              <w:marTop w:val="0"/>
              <w:marBottom w:val="0"/>
              <w:divBdr>
                <w:top w:val="none" w:sz="0" w:space="0" w:color="auto"/>
                <w:left w:val="none" w:sz="0" w:space="0" w:color="auto"/>
                <w:bottom w:val="none" w:sz="0" w:space="0" w:color="auto"/>
                <w:right w:val="none" w:sz="0" w:space="0" w:color="auto"/>
              </w:divBdr>
              <w:divsChild>
                <w:div w:id="15900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1869">
      <w:bodyDiv w:val="1"/>
      <w:marLeft w:val="0"/>
      <w:marRight w:val="0"/>
      <w:marTop w:val="0"/>
      <w:marBottom w:val="0"/>
      <w:divBdr>
        <w:top w:val="none" w:sz="0" w:space="0" w:color="auto"/>
        <w:left w:val="none" w:sz="0" w:space="0" w:color="auto"/>
        <w:bottom w:val="none" w:sz="0" w:space="0" w:color="auto"/>
        <w:right w:val="none" w:sz="0" w:space="0" w:color="auto"/>
      </w:divBdr>
      <w:divsChild>
        <w:div w:id="914630544">
          <w:marLeft w:val="0"/>
          <w:marRight w:val="0"/>
          <w:marTop w:val="100"/>
          <w:marBottom w:val="100"/>
          <w:divBdr>
            <w:top w:val="none" w:sz="0" w:space="0" w:color="auto"/>
            <w:left w:val="none" w:sz="0" w:space="0" w:color="auto"/>
            <w:bottom w:val="none" w:sz="0" w:space="0" w:color="auto"/>
            <w:right w:val="none" w:sz="0" w:space="0" w:color="auto"/>
          </w:divBdr>
          <w:divsChild>
            <w:div w:id="1262179152">
              <w:marLeft w:val="0"/>
              <w:marRight w:val="0"/>
              <w:marTop w:val="0"/>
              <w:marBottom w:val="0"/>
              <w:divBdr>
                <w:top w:val="none" w:sz="0" w:space="0" w:color="auto"/>
                <w:left w:val="none" w:sz="0" w:space="0" w:color="auto"/>
                <w:bottom w:val="none" w:sz="0" w:space="0" w:color="auto"/>
                <w:right w:val="none" w:sz="0" w:space="0" w:color="auto"/>
              </w:divBdr>
              <w:divsChild>
                <w:div w:id="2110542759">
                  <w:marLeft w:val="0"/>
                  <w:marRight w:val="0"/>
                  <w:marTop w:val="0"/>
                  <w:marBottom w:val="0"/>
                  <w:divBdr>
                    <w:top w:val="none" w:sz="0" w:space="0" w:color="auto"/>
                    <w:left w:val="single" w:sz="6" w:space="0" w:color="8DB2E3"/>
                    <w:bottom w:val="single" w:sz="6" w:space="0" w:color="8DB2E3"/>
                    <w:right w:val="single" w:sz="6" w:space="0" w:color="8DB2E3"/>
                  </w:divBdr>
                  <w:divsChild>
                    <w:div w:id="16471987">
                      <w:marLeft w:val="0"/>
                      <w:marRight w:val="0"/>
                      <w:marTop w:val="0"/>
                      <w:marBottom w:val="0"/>
                      <w:divBdr>
                        <w:top w:val="single" w:sz="2" w:space="0" w:color="99BBE8"/>
                        <w:left w:val="single" w:sz="2" w:space="0" w:color="99BBE8"/>
                        <w:bottom w:val="single" w:sz="2" w:space="0" w:color="99BBE8"/>
                        <w:right w:val="single" w:sz="2" w:space="0" w:color="99BBE8"/>
                      </w:divBdr>
                      <w:divsChild>
                        <w:div w:id="162745910">
                          <w:marLeft w:val="0"/>
                          <w:marRight w:val="0"/>
                          <w:marTop w:val="0"/>
                          <w:marBottom w:val="0"/>
                          <w:divBdr>
                            <w:top w:val="none" w:sz="0" w:space="0" w:color="auto"/>
                            <w:left w:val="none" w:sz="0" w:space="0" w:color="auto"/>
                            <w:bottom w:val="none" w:sz="0" w:space="0" w:color="auto"/>
                            <w:right w:val="none" w:sz="0" w:space="0" w:color="auto"/>
                          </w:divBdr>
                          <w:divsChild>
                            <w:div w:id="1630429531">
                              <w:marLeft w:val="0"/>
                              <w:marRight w:val="0"/>
                              <w:marTop w:val="0"/>
                              <w:marBottom w:val="0"/>
                              <w:divBdr>
                                <w:top w:val="single" w:sz="2" w:space="0" w:color="99BBE8"/>
                                <w:left w:val="single" w:sz="2" w:space="0" w:color="99BBE8"/>
                                <w:bottom w:val="single" w:sz="2" w:space="0" w:color="99BBE8"/>
                                <w:right w:val="single" w:sz="2" w:space="0" w:color="99BBE8"/>
                              </w:divBdr>
                              <w:divsChild>
                                <w:div w:id="2022706149">
                                  <w:marLeft w:val="0"/>
                                  <w:marRight w:val="0"/>
                                  <w:marTop w:val="0"/>
                                  <w:marBottom w:val="0"/>
                                  <w:divBdr>
                                    <w:top w:val="none" w:sz="0" w:space="0" w:color="auto"/>
                                    <w:left w:val="none" w:sz="0" w:space="0" w:color="auto"/>
                                    <w:bottom w:val="none" w:sz="0" w:space="0" w:color="auto"/>
                                    <w:right w:val="none" w:sz="0" w:space="0" w:color="auto"/>
                                  </w:divBdr>
                                  <w:divsChild>
                                    <w:div w:id="12989519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529221">
      <w:bodyDiv w:val="1"/>
      <w:marLeft w:val="0"/>
      <w:marRight w:val="0"/>
      <w:marTop w:val="0"/>
      <w:marBottom w:val="0"/>
      <w:divBdr>
        <w:top w:val="none" w:sz="0" w:space="0" w:color="auto"/>
        <w:left w:val="none" w:sz="0" w:space="0" w:color="auto"/>
        <w:bottom w:val="none" w:sz="0" w:space="0" w:color="auto"/>
        <w:right w:val="none" w:sz="0" w:space="0" w:color="auto"/>
      </w:divBdr>
    </w:div>
    <w:div w:id="1609585474">
      <w:bodyDiv w:val="1"/>
      <w:marLeft w:val="0"/>
      <w:marRight w:val="0"/>
      <w:marTop w:val="0"/>
      <w:marBottom w:val="0"/>
      <w:divBdr>
        <w:top w:val="none" w:sz="0" w:space="0" w:color="auto"/>
        <w:left w:val="none" w:sz="0" w:space="0" w:color="auto"/>
        <w:bottom w:val="none" w:sz="0" w:space="0" w:color="auto"/>
        <w:right w:val="none" w:sz="0" w:space="0" w:color="auto"/>
      </w:divBdr>
    </w:div>
    <w:div w:id="1736121992">
      <w:bodyDiv w:val="1"/>
      <w:marLeft w:val="0"/>
      <w:marRight w:val="0"/>
      <w:marTop w:val="0"/>
      <w:marBottom w:val="0"/>
      <w:divBdr>
        <w:top w:val="none" w:sz="0" w:space="0" w:color="auto"/>
        <w:left w:val="none" w:sz="0" w:space="0" w:color="auto"/>
        <w:bottom w:val="none" w:sz="0" w:space="0" w:color="auto"/>
        <w:right w:val="none" w:sz="0" w:space="0" w:color="auto"/>
      </w:divBdr>
      <w:divsChild>
        <w:div w:id="17238610">
          <w:marLeft w:val="0"/>
          <w:marRight w:val="0"/>
          <w:marTop w:val="0"/>
          <w:marBottom w:val="0"/>
          <w:divBdr>
            <w:top w:val="none" w:sz="0" w:space="0" w:color="auto"/>
            <w:left w:val="none" w:sz="0" w:space="0" w:color="auto"/>
            <w:bottom w:val="none" w:sz="0" w:space="0" w:color="auto"/>
            <w:right w:val="none" w:sz="0" w:space="0" w:color="auto"/>
          </w:divBdr>
          <w:divsChild>
            <w:div w:id="1247499383">
              <w:marLeft w:val="0"/>
              <w:marRight w:val="0"/>
              <w:marTop w:val="0"/>
              <w:marBottom w:val="0"/>
              <w:divBdr>
                <w:top w:val="none" w:sz="0" w:space="0" w:color="auto"/>
                <w:left w:val="none" w:sz="0" w:space="0" w:color="auto"/>
                <w:bottom w:val="none" w:sz="0" w:space="0" w:color="auto"/>
                <w:right w:val="none" w:sz="0" w:space="0" w:color="auto"/>
              </w:divBdr>
              <w:divsChild>
                <w:div w:id="20524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40376">
      <w:bodyDiv w:val="1"/>
      <w:marLeft w:val="0"/>
      <w:marRight w:val="0"/>
      <w:marTop w:val="0"/>
      <w:marBottom w:val="0"/>
      <w:divBdr>
        <w:top w:val="none" w:sz="0" w:space="0" w:color="auto"/>
        <w:left w:val="none" w:sz="0" w:space="0" w:color="auto"/>
        <w:bottom w:val="none" w:sz="0" w:space="0" w:color="auto"/>
        <w:right w:val="none" w:sz="0" w:space="0" w:color="auto"/>
      </w:divBdr>
    </w:div>
    <w:div w:id="1871139714">
      <w:bodyDiv w:val="1"/>
      <w:marLeft w:val="0"/>
      <w:marRight w:val="0"/>
      <w:marTop w:val="0"/>
      <w:marBottom w:val="0"/>
      <w:divBdr>
        <w:top w:val="none" w:sz="0" w:space="0" w:color="auto"/>
        <w:left w:val="none" w:sz="0" w:space="0" w:color="auto"/>
        <w:bottom w:val="none" w:sz="0" w:space="0" w:color="auto"/>
        <w:right w:val="none" w:sz="0" w:space="0" w:color="auto"/>
      </w:divBdr>
      <w:divsChild>
        <w:div w:id="942497518">
          <w:marLeft w:val="0"/>
          <w:marRight w:val="0"/>
          <w:marTop w:val="0"/>
          <w:marBottom w:val="0"/>
          <w:divBdr>
            <w:top w:val="none" w:sz="0" w:space="0" w:color="auto"/>
            <w:left w:val="none" w:sz="0" w:space="0" w:color="auto"/>
            <w:bottom w:val="none" w:sz="0" w:space="0" w:color="auto"/>
            <w:right w:val="none" w:sz="0" w:space="0" w:color="auto"/>
          </w:divBdr>
          <w:divsChild>
            <w:div w:id="1900751843">
              <w:marLeft w:val="0"/>
              <w:marRight w:val="0"/>
              <w:marTop w:val="0"/>
              <w:marBottom w:val="0"/>
              <w:divBdr>
                <w:top w:val="none" w:sz="0" w:space="0" w:color="auto"/>
                <w:left w:val="none" w:sz="0" w:space="0" w:color="auto"/>
                <w:bottom w:val="none" w:sz="0" w:space="0" w:color="auto"/>
                <w:right w:val="none" w:sz="0" w:space="0" w:color="auto"/>
              </w:divBdr>
              <w:divsChild>
                <w:div w:id="16632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51680">
      <w:bodyDiv w:val="1"/>
      <w:marLeft w:val="0"/>
      <w:marRight w:val="0"/>
      <w:marTop w:val="0"/>
      <w:marBottom w:val="0"/>
      <w:divBdr>
        <w:top w:val="none" w:sz="0" w:space="0" w:color="auto"/>
        <w:left w:val="none" w:sz="0" w:space="0" w:color="auto"/>
        <w:bottom w:val="none" w:sz="0" w:space="0" w:color="auto"/>
        <w:right w:val="none" w:sz="0" w:space="0" w:color="auto"/>
      </w:divBdr>
      <w:divsChild>
        <w:div w:id="1857579225">
          <w:marLeft w:val="0"/>
          <w:marRight w:val="0"/>
          <w:marTop w:val="0"/>
          <w:marBottom w:val="0"/>
          <w:divBdr>
            <w:top w:val="none" w:sz="0" w:space="0" w:color="auto"/>
            <w:left w:val="none" w:sz="0" w:space="0" w:color="auto"/>
            <w:bottom w:val="none" w:sz="0" w:space="0" w:color="auto"/>
            <w:right w:val="none" w:sz="0" w:space="0" w:color="auto"/>
          </w:divBdr>
          <w:divsChild>
            <w:div w:id="1168322766">
              <w:marLeft w:val="0"/>
              <w:marRight w:val="0"/>
              <w:marTop w:val="0"/>
              <w:marBottom w:val="0"/>
              <w:divBdr>
                <w:top w:val="none" w:sz="0" w:space="0" w:color="auto"/>
                <w:left w:val="none" w:sz="0" w:space="0" w:color="auto"/>
                <w:bottom w:val="none" w:sz="0" w:space="0" w:color="auto"/>
                <w:right w:val="none" w:sz="0" w:space="0" w:color="auto"/>
              </w:divBdr>
              <w:divsChild>
                <w:div w:id="606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27626">
      <w:bodyDiv w:val="1"/>
      <w:marLeft w:val="0"/>
      <w:marRight w:val="0"/>
      <w:marTop w:val="0"/>
      <w:marBottom w:val="0"/>
      <w:divBdr>
        <w:top w:val="none" w:sz="0" w:space="0" w:color="auto"/>
        <w:left w:val="none" w:sz="0" w:space="0" w:color="auto"/>
        <w:bottom w:val="none" w:sz="0" w:space="0" w:color="auto"/>
        <w:right w:val="none" w:sz="0" w:space="0" w:color="auto"/>
      </w:divBdr>
      <w:divsChild>
        <w:div w:id="1281061275">
          <w:marLeft w:val="0"/>
          <w:marRight w:val="0"/>
          <w:marTop w:val="0"/>
          <w:marBottom w:val="0"/>
          <w:divBdr>
            <w:top w:val="none" w:sz="0" w:space="0" w:color="auto"/>
            <w:left w:val="none" w:sz="0" w:space="0" w:color="auto"/>
            <w:bottom w:val="none" w:sz="0" w:space="0" w:color="auto"/>
            <w:right w:val="none" w:sz="0" w:space="0" w:color="auto"/>
          </w:divBdr>
          <w:divsChild>
            <w:div w:id="2022000730">
              <w:marLeft w:val="0"/>
              <w:marRight w:val="0"/>
              <w:marTop w:val="0"/>
              <w:marBottom w:val="0"/>
              <w:divBdr>
                <w:top w:val="none" w:sz="0" w:space="0" w:color="auto"/>
                <w:left w:val="none" w:sz="0" w:space="0" w:color="auto"/>
                <w:bottom w:val="none" w:sz="0" w:space="0" w:color="auto"/>
                <w:right w:val="none" w:sz="0" w:space="0" w:color="auto"/>
              </w:divBdr>
              <w:divsChild>
                <w:div w:id="2868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8650">
      <w:bodyDiv w:val="1"/>
      <w:marLeft w:val="0"/>
      <w:marRight w:val="0"/>
      <w:marTop w:val="0"/>
      <w:marBottom w:val="0"/>
      <w:divBdr>
        <w:top w:val="none" w:sz="0" w:space="0" w:color="auto"/>
        <w:left w:val="none" w:sz="0" w:space="0" w:color="auto"/>
        <w:bottom w:val="none" w:sz="0" w:space="0" w:color="auto"/>
        <w:right w:val="none" w:sz="0" w:space="0" w:color="auto"/>
      </w:divBdr>
    </w:div>
    <w:div w:id="207527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E3D107-D87A-3840-9440-9B2834B0DB9E}">
  <we:reference id="wa104382081" version="1.55.1.0" store="en-US" storeType="OMEX"/>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EDD88-BBC2-43A8-8A43-340998151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2275</TotalTime>
  <Pages>11</Pages>
  <Words>1293</Words>
  <Characters>7371</Characters>
  <Application>Microsoft Office Word</Application>
  <DocSecurity>0</DocSecurity>
  <Lines>61</Lines>
  <Paragraphs>17</Paragraphs>
  <ScaleCrop>false</ScaleCrop>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NE.Ref</dc:description>
  <cp:lastModifiedBy>Asher WANG</cp:lastModifiedBy>
  <cp:revision>501</cp:revision>
  <dcterms:created xsi:type="dcterms:W3CDTF">2022-10-04T12:53:00Z</dcterms:created>
  <dcterms:modified xsi:type="dcterms:W3CDTF">2025-11-05T09:38:00Z</dcterms:modified>
</cp:coreProperties>
</file>