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Supplementary Materials</w:t>
      </w:r>
    </w:p>
    <w:p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hint="eastAsia" w:ascii="Times New Roman" w:hAnsi="Times New Roman" w:cs="Times New Roman"/>
          <w:b/>
          <w:bCs/>
          <w:sz w:val="20"/>
          <w:szCs w:val="20"/>
        </w:rPr>
        <w:t>Supplementary Tables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Table S1. </w:t>
      </w:r>
      <w:r>
        <w:rPr>
          <w:rFonts w:hint="eastAsia"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welve inflammatory biomarkers evaluated in this study</w:t>
      </w:r>
      <w:r>
        <w:rPr>
          <w:rFonts w:hint="eastAsia" w:ascii="Times New Roman" w:hAnsi="Times New Roman" w:cs="Times New Roman"/>
          <w:sz w:val="20"/>
          <w:szCs w:val="20"/>
        </w:rPr>
        <w:t>.</w:t>
      </w:r>
    </w:p>
    <w:tbl>
      <w:tblPr>
        <w:tblStyle w:val="5"/>
        <w:tblW w:w="86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2"/>
        <w:gridCol w:w="1975"/>
        <w:gridCol w:w="2088"/>
        <w:gridCol w:w="10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Biomarker name</w:t>
            </w:r>
          </w:p>
        </w:tc>
        <w:tc>
          <w:tcPr>
            <w:tcW w:w="51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Biomarker components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3592" w:type="dxa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Pan-immune-inflammation value (PIV)</w:t>
            </w:r>
          </w:p>
        </w:tc>
        <w:tc>
          <w:tcPr>
            <w:tcW w:w="510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Neutrophil (/μl) × platelet (/μl) × monocyte (/μl) / lymphocyte (/μl)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Neutrophil-to-lymphocyte ratio (NLR)</w:t>
            </w:r>
          </w:p>
        </w:tc>
        <w:tc>
          <w:tcPr>
            <w:tcW w:w="510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Neutrophil (/μl) / lymphocyte (/μl)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Lymphocyte-to-monocyte ratio (LMR)</w:t>
            </w:r>
          </w:p>
        </w:tc>
        <w:tc>
          <w:tcPr>
            <w:tcW w:w="510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Lymphocyte (/μl) / monocyte (/μl)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Platelet-to-lymphocyte ratio (PLR)</w:t>
            </w:r>
          </w:p>
        </w:tc>
        <w:tc>
          <w:tcPr>
            <w:tcW w:w="510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Platelet (/μl) / lymphocyte (/μl)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Systemic immune-inflammation index (SII)</w:t>
            </w:r>
          </w:p>
        </w:tc>
        <w:tc>
          <w:tcPr>
            <w:tcW w:w="510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Platelet (/μl) × neutrophil (/μl) / lymphocyte (/μl)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Systemic inflammation response index (SIRI)</w:t>
            </w:r>
          </w:p>
        </w:tc>
        <w:tc>
          <w:tcPr>
            <w:tcW w:w="510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Neutrophil (/μl) × monocyte (/μl) / lymphocyte (/μl)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Neutrophil-albumin ratio (NAR)</w:t>
            </w:r>
          </w:p>
        </w:tc>
        <w:tc>
          <w:tcPr>
            <w:tcW w:w="510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Neutrophil (/μl) / albumin (g/dl)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Lymphocyte × albumin (LA)</w:t>
            </w:r>
          </w:p>
        </w:tc>
        <w:tc>
          <w:tcPr>
            <w:tcW w:w="510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Lymphocyte (/μl) × albumin (g/dl)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Neutrophil × monocyte (NM)</w:t>
            </w:r>
          </w:p>
        </w:tc>
        <w:tc>
          <w:tcPr>
            <w:tcW w:w="510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Neutrophil (/μl) × monocyte (/μl)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Neutrophil × platelet (NP)</w:t>
            </w:r>
          </w:p>
        </w:tc>
        <w:tc>
          <w:tcPr>
            <w:tcW w:w="510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Neutrophil (/μl) × platelet (/μl)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2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Monocyte × platelet (MP)</w:t>
            </w:r>
          </w:p>
        </w:tc>
        <w:tc>
          <w:tcPr>
            <w:tcW w:w="51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Monocyte (/μl) × platelet (/μl)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Systemic inflammation score (SIS)</w:t>
            </w:r>
          </w:p>
        </w:tc>
        <w:tc>
          <w:tcPr>
            <w:tcW w:w="197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Albumin (g/dl)</w:t>
            </w:r>
          </w:p>
        </w:tc>
        <w:tc>
          <w:tcPr>
            <w:tcW w:w="208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LMR</w:t>
            </w:r>
          </w:p>
        </w:tc>
        <w:tc>
          <w:tcPr>
            <w:tcW w:w="103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Score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2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≥ 4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≥ 4.44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2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≥ 4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 4.44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2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 4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≥ 4.44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 4</w:t>
            </w:r>
          </w:p>
        </w:tc>
        <w:tc>
          <w:tcPr>
            <w:tcW w:w="208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 4.44</w:t>
            </w:r>
          </w:p>
        </w:tc>
        <w:tc>
          <w:tcPr>
            <w:tcW w:w="103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>
      <w:pPr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Abbreviations:</w:t>
      </w:r>
      <w:r>
        <w:rPr>
          <w:rFonts w:hint="eastAsia"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PIV, pan-immune-inflammation value; NLR, neutrophil-to-lymphocyte ratio; LMR, lymphocyte-to-monocyte ratio; PLR, platelet-to-lymphocyte ratio; SII, systemic immune-inflammation index; SIRI, systemic inflammation response index; NAR, neutrophil-to-albumin ratio; LA, lymphocyte × albumin; NM, neutrophil × monocyte; NP, neutrophil × platelet; MP, monocyte × platelet; SIS, systemic inflammation score.</w:t>
      </w:r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Table S</w:t>
      </w:r>
      <w:r>
        <w:rPr>
          <w:rFonts w:hint="eastAsia"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hint="eastAsia" w:ascii="Times New Roman" w:hAnsi="Times New Roman" w:cs="Times New Roman"/>
          <w:sz w:val="20"/>
          <w:szCs w:val="20"/>
        </w:rPr>
        <w:t>Variance inflation factor for variables included in multivariate Cox regression.</w:t>
      </w:r>
    </w:p>
    <w:tbl>
      <w:tblPr>
        <w:tblStyle w:val="5"/>
        <w:tblW w:w="784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2"/>
        <w:gridCol w:w="2300"/>
        <w:gridCol w:w="2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Variable</w:t>
            </w:r>
          </w:p>
        </w:tc>
        <w:tc>
          <w:tcPr>
            <w:tcW w:w="23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VIF (OS model)</w:t>
            </w:r>
          </w:p>
        </w:tc>
        <w:tc>
          <w:tcPr>
            <w:tcW w:w="2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VIF (DFS model)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3342" w:type="dxa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PIV (High vs. Low)</w:t>
            </w:r>
          </w:p>
        </w:tc>
        <w:tc>
          <w:tcPr>
            <w:tcW w:w="230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1.32</w:t>
            </w:r>
          </w:p>
        </w:tc>
        <w:tc>
          <w:tcPr>
            <w:tcW w:w="220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1.28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2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CEA (≥ 5 ng/ml vs. &lt; 5 ng/ml)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1.41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1.39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2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CA19-9 (≥ 37 U/ml vs. &lt; 37 U/ml)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1.36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1.34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2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Perineural invasion (Yes vs. No)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1.22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1.21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2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TNM (III vs. I/II)</w:t>
            </w:r>
          </w:p>
        </w:tc>
        <w:tc>
          <w:tcPr>
            <w:tcW w:w="230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1.27</w:t>
            </w:r>
          </w:p>
        </w:tc>
        <w:tc>
          <w:tcPr>
            <w:tcW w:w="220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1.25</w:t>
            </w:r>
          </w:p>
        </w:tc>
      </w:tr>
    </w:tbl>
    <w:p>
      <w:pPr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Abbreviations:</w:t>
      </w:r>
      <w:r>
        <w:rPr>
          <w:rFonts w:hint="eastAsia" w:ascii="Times New Roman" w:hAnsi="Times New Roman" w:cs="Times New Roman"/>
          <w:sz w:val="20"/>
          <w:szCs w:val="20"/>
        </w:rPr>
        <w:t xml:space="preserve"> PIV, pan-immune-inflammation value; CEA, carcinoembryonic antigen; CA19-9, carbohydrate antigen 19-9; TNM, tumor-node-metastasis; OS, overall survival; DFS, disease-free survival; VIF, variance inflation factor.</w:t>
      </w:r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Table S</w:t>
      </w:r>
      <w:r>
        <w:rPr>
          <w:rFonts w:hint="eastAsia"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Cs w:val="21"/>
        </w:rPr>
        <w:t>Forest plots of hazard ratios</w:t>
      </w:r>
      <w:r>
        <w:rPr>
          <w:rFonts w:hint="eastAsia" w:ascii="Times New Roman" w:hAnsi="Times New Roman" w:cs="Times New Roman"/>
          <w:szCs w:val="21"/>
        </w:rPr>
        <w:t xml:space="preserve"> between high and low PIV</w:t>
      </w:r>
      <w:r>
        <w:rPr>
          <w:rFonts w:ascii="Times New Roman" w:hAnsi="Times New Roman" w:cs="Times New Roman"/>
          <w:szCs w:val="21"/>
        </w:rPr>
        <w:t xml:space="preserve"> for </w:t>
      </w:r>
      <w:r>
        <w:rPr>
          <w:rFonts w:hint="eastAsia" w:ascii="Times New Roman" w:hAnsi="Times New Roman" w:cs="Times New Roman"/>
          <w:szCs w:val="21"/>
        </w:rPr>
        <w:t>OS and DFS</w:t>
      </w:r>
      <w:r>
        <w:rPr>
          <w:rFonts w:ascii="Times New Roman" w:hAnsi="Times New Roman" w:cs="Times New Roman"/>
          <w:szCs w:val="21"/>
        </w:rPr>
        <w:t xml:space="preserve"> in different subgroups</w:t>
      </w:r>
      <w:r>
        <w:rPr>
          <w:rFonts w:hint="eastAsia" w:ascii="Times New Roman" w:hAnsi="Times New Roman" w:cs="Times New Roman"/>
          <w:szCs w:val="21"/>
        </w:rPr>
        <w:t xml:space="preserve"> (high PIV as reference)</w:t>
      </w:r>
      <w:r>
        <w:rPr>
          <w:rFonts w:ascii="Times New Roman" w:hAnsi="Times New Roman" w:cs="Times New Roman"/>
          <w:szCs w:val="21"/>
        </w:rPr>
        <w:t>.</w:t>
      </w:r>
    </w:p>
    <w:tbl>
      <w:tblPr>
        <w:tblStyle w:val="5"/>
        <w:tblW w:w="80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1888"/>
        <w:gridCol w:w="975"/>
        <w:gridCol w:w="1775"/>
        <w:gridCol w:w="14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7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Variable</w:t>
            </w:r>
          </w:p>
        </w:tc>
        <w:tc>
          <w:tcPr>
            <w:tcW w:w="286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Overall survival</w:t>
            </w:r>
          </w:p>
        </w:tc>
        <w:tc>
          <w:tcPr>
            <w:tcW w:w="323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Disease free survival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HR (95%CI)</w:t>
            </w:r>
          </w:p>
        </w:tc>
        <w:tc>
          <w:tcPr>
            <w:tcW w:w="9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 value</w:t>
            </w:r>
          </w:p>
        </w:tc>
        <w:tc>
          <w:tcPr>
            <w:tcW w:w="17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HR (95%CI)</w:t>
            </w:r>
          </w:p>
        </w:tc>
        <w:tc>
          <w:tcPr>
            <w:tcW w:w="14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 value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917" w:type="dxa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188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7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7" w:type="dxa"/>
            <w:vAlign w:val="center"/>
          </w:tcPr>
          <w:p>
            <w:pPr>
              <w:ind w:firstLine="200" w:firstLineChars="1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OLE_LINK2"/>
            <w:r>
              <w:rPr>
                <w:rFonts w:hint="eastAsia" w:ascii="Times New Roman" w:hAnsi="Times New Roman" w:cs="Times New Roman"/>
                <w:sz w:val="20"/>
                <w:szCs w:val="20"/>
              </w:rPr>
              <w:t>&lt;</w:t>
            </w:r>
            <w:bookmarkEnd w:id="0"/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year</w:t>
            </w: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0.292(0.177,0.482)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0.319(0.203,0.500)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17" w:type="dxa"/>
            <w:vAlign w:val="center"/>
          </w:tcPr>
          <w:p>
            <w:pPr>
              <w:ind w:firstLine="200" w:firstLineChars="10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bookmarkStart w:id="1" w:name="OLE_LINK1"/>
            <w:r>
              <w:rPr>
                <w:rFonts w:ascii="Times New Roman" w:hAnsi="Times New Roman" w:cs="Times New Roman"/>
                <w:sz w:val="20"/>
                <w:szCs w:val="20"/>
              </w:rPr>
              <w:t>≥</w:t>
            </w:r>
            <w:bookmarkEnd w:id="1"/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year</w:t>
            </w: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0.369(0.227,0.600)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0.401(0.258,0.623)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Gender</w:t>
            </w: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7" w:type="dxa"/>
            <w:vAlign w:val="center"/>
          </w:tcPr>
          <w:p>
            <w:pPr>
              <w:ind w:firstLine="200" w:firstLineChars="10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0.290(0.144,0.586)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0.324(0.175,0.599)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7" w:type="dxa"/>
            <w:vAlign w:val="center"/>
          </w:tcPr>
          <w:p>
            <w:pPr>
              <w:ind w:firstLine="200" w:firstLineChars="1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0.345(0.231,0.517)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0.369(0.256,0.533)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Obstructive jaundice</w:t>
            </w: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7" w:type="dxa"/>
            <w:vAlign w:val="center"/>
          </w:tcPr>
          <w:p>
            <w:pPr>
              <w:ind w:firstLine="200" w:firstLineChars="1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0.284(0.157,0.515)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0.270(0.156,0.468)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7" w:type="dxa"/>
            <w:vAlign w:val="center"/>
          </w:tcPr>
          <w:p>
            <w:pPr>
              <w:ind w:firstLine="200" w:firstLineChars="1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0.349(0.226,0.538)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0.413(0.281,0.608)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HBV infection</w:t>
            </w: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7" w:type="dxa"/>
            <w:vAlign w:val="center"/>
          </w:tcPr>
          <w:p>
            <w:pPr>
              <w:ind w:firstLine="200" w:firstLineChars="1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0.281(0.120,0.658)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0.208(0.091,0.475)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7" w:type="dxa"/>
            <w:vAlign w:val="center"/>
          </w:tcPr>
          <w:p>
            <w:pPr>
              <w:ind w:firstLine="200" w:firstLineChars="1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0.327(0.223,0.481)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0.371(0.264,0.522)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CEA</w:t>
            </w: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7" w:type="dxa"/>
            <w:vAlign w:val="center"/>
          </w:tcPr>
          <w:p>
            <w:pPr>
              <w:ind w:firstLine="200" w:firstLineChars="1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≥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5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ng/ml</w:t>
            </w: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0.841(0.427,0.914)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0.015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0.813(0.411,0.958)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0.042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7" w:type="dxa"/>
            <w:vAlign w:val="center"/>
          </w:tcPr>
          <w:p>
            <w:pPr>
              <w:ind w:firstLine="200" w:firstLineChars="1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&lt; 5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ng/ml</w:t>
            </w: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0.282(0.188,0.425)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0.336(0.235,0.480)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CA19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7" w:type="dxa"/>
            <w:vAlign w:val="center"/>
          </w:tcPr>
          <w:p>
            <w:pPr>
              <w:ind w:firstLine="200" w:firstLineChars="1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≥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37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U/ml</w:t>
            </w: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0.426(0.292,0.621)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0.421(0.297,0.597)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7" w:type="dxa"/>
            <w:vAlign w:val="center"/>
          </w:tcPr>
          <w:p>
            <w:pPr>
              <w:ind w:firstLine="200" w:firstLineChars="1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&lt; 37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U/ml</w:t>
            </w: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0.167(0.068,0.412)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0.271(0.132,0.556)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Differentiation</w:t>
            </w: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7" w:type="dxa"/>
            <w:vAlign w:val="center"/>
          </w:tcPr>
          <w:p>
            <w:pPr>
              <w:ind w:firstLine="200" w:firstLineChars="1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Poor</w:t>
            </w: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0.502(0.297,0.848)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0.009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0.468(0.280,0.781)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7" w:type="dxa"/>
            <w:vAlign w:val="center"/>
          </w:tcPr>
          <w:p>
            <w:pPr>
              <w:ind w:firstLine="200" w:firstLineChars="1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Well/Moderate</w:t>
            </w: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0.244(0.151,0.395)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0.309(0.207,0.462)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Perineural invasion</w:t>
            </w: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7" w:type="dxa"/>
            <w:vAlign w:val="center"/>
          </w:tcPr>
          <w:p>
            <w:pPr>
              <w:ind w:firstLine="200" w:firstLineChars="1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0.244(0.155,0.384)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0.308(0.209,0.454)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7" w:type="dxa"/>
            <w:vAlign w:val="center"/>
          </w:tcPr>
          <w:p>
            <w:pPr>
              <w:ind w:firstLine="200" w:firstLineChars="1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0.523(0.297,0.920)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0.025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0.464(0.269,0.801)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TNM</w:t>
            </w: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7" w:type="dxa"/>
            <w:vAlign w:val="center"/>
          </w:tcPr>
          <w:p>
            <w:pPr>
              <w:ind w:firstLine="200" w:firstLineChars="1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I/II</w:t>
            </w: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0.242(0.145,0.403)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0.305(0.200,0.467)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7" w:type="dxa"/>
            <w:tcBorders>
              <w:bottom w:val="single" w:color="auto" w:sz="4" w:space="0"/>
            </w:tcBorders>
            <w:vAlign w:val="center"/>
          </w:tcPr>
          <w:p>
            <w:pPr>
              <w:ind w:firstLine="200" w:firstLineChars="1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88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0.495(0.307,0.800)</w:t>
            </w:r>
          </w:p>
        </w:tc>
        <w:tc>
          <w:tcPr>
            <w:tcW w:w="97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0.004</w:t>
            </w:r>
          </w:p>
        </w:tc>
        <w:tc>
          <w:tcPr>
            <w:tcW w:w="177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0.470(0.295,0.749)</w:t>
            </w:r>
          </w:p>
        </w:tc>
        <w:tc>
          <w:tcPr>
            <w:tcW w:w="146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0.001</w:t>
            </w:r>
          </w:p>
        </w:tc>
      </w:tr>
    </w:tbl>
    <w:p>
      <w:pPr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Abbreviations:</w:t>
      </w:r>
      <w:r>
        <w:rPr>
          <w:rFonts w:hint="eastAsia" w:ascii="Times New Roman" w:hAnsi="Times New Roman" w:cs="Times New Roman"/>
          <w:sz w:val="20"/>
          <w:szCs w:val="20"/>
        </w:rPr>
        <w:t xml:space="preserve"> PIV, pan-immune-inflammation value; CEA, carcinoembryonic antigen; CA19-9, carbohydrate antigen 19-9; TNM, tumor-node-metastasis; OS, overall survival; DFS, disease-free survival</w:t>
      </w:r>
      <w:bookmarkStart w:id="2" w:name="_GoBack"/>
      <w:bookmarkEnd w:id="2"/>
      <w:r>
        <w:rPr>
          <w:rFonts w:hint="eastAsia" w:ascii="Times New Roman" w:hAnsi="Times New Roman" w:cs="Times New Roman"/>
          <w:sz w:val="20"/>
          <w:szCs w:val="20"/>
        </w:rPr>
        <w:t>.</w:t>
      </w:r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hint="eastAsia" w:ascii="Times New Roman" w:hAnsi="Times New Roman" w:cs="Times New Roman"/>
          <w:b/>
          <w:bCs/>
          <w:sz w:val="20"/>
          <w:szCs w:val="20"/>
        </w:rPr>
        <w:t>Supplementary Figure</w:t>
      </w:r>
    </w:p>
    <w:p>
      <w:pPr>
        <w:jc w:val="left"/>
        <w:rPr>
          <w:rFonts w:ascii="Times New Roman" w:hAnsi="Times New Roman" w:eastAsia="宋体" w:cs="Times New Roman"/>
          <w:kern w:val="0"/>
          <w:sz w:val="20"/>
          <w:szCs w:val="20"/>
          <w:lang w:bidi="ar"/>
        </w:rPr>
      </w:pPr>
      <w:r>
        <w:rPr>
          <w:rFonts w:hint="eastAsia" w:ascii="Times New Roman" w:hAnsi="Times New Roman" w:eastAsia="宋体" w:cs="Times New Roman"/>
          <w:kern w:val="0"/>
          <w:sz w:val="20"/>
          <w:szCs w:val="20"/>
          <w:lang w:bidi="ar"/>
        </w:rPr>
        <w:t xml:space="preserve">Figure S1. </w:t>
      </w:r>
      <w:r>
        <w:rPr>
          <w:rFonts w:ascii="Times New Roman" w:hAnsi="Times New Roman" w:eastAsia="宋体" w:cs="Times New Roman"/>
          <w:kern w:val="0"/>
          <w:sz w:val="20"/>
          <w:szCs w:val="20"/>
          <w:lang w:bidi="ar"/>
        </w:rPr>
        <w:t>Flow chart of patient selection in this study.</w:t>
      </w:r>
    </w:p>
    <w:p>
      <w:pPr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宋体" w:cs="Times New Roman"/>
          <w:kern w:val="0"/>
          <w:sz w:val="20"/>
          <w:szCs w:val="20"/>
          <w:lang w:bidi="ar"/>
        </w:rPr>
        <w:drawing>
          <wp:inline distT="0" distB="0" distL="114300" distR="114300">
            <wp:extent cx="5269230" cy="4899660"/>
            <wp:effectExtent l="0" t="0" r="11430" b="7620"/>
            <wp:docPr id="1" name="图片 1" descr="Figure 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ure S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89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20"/>
          <w:szCs w:val="20"/>
        </w:rPr>
        <w:t>Notes: iCCA, intrahepatic cholangiocarcinoma; Center 1, The Affiliated Hospital of Jiangnan University; Center 2, The Affiliated Suzhou Hospital of Nanjing Medical University; Center 3, Harbin Medical University Cancer Hospital.</w:t>
      </w:r>
    </w:p>
    <w:p>
      <w:pPr>
        <w:jc w:val="left"/>
        <w:rPr>
          <w:rFonts w:ascii="Times New Roman" w:hAnsi="Times New Roman" w:cs="Times New Roman"/>
          <w:sz w:val="20"/>
          <w:szCs w:val="20"/>
        </w:rPr>
      </w:pPr>
    </w:p>
    <w:p>
      <w:pPr>
        <w:jc w:val="left"/>
        <w:rPr>
          <w:rFonts w:ascii="Times New Roman" w:hAnsi="Times New Roman" w:cs="Times New Roman"/>
          <w:sz w:val="20"/>
          <w:szCs w:val="20"/>
        </w:rPr>
      </w:pPr>
    </w:p>
    <w:p>
      <w:pPr>
        <w:jc w:val="left"/>
        <w:rPr>
          <w:rFonts w:ascii="Times New Roman" w:hAnsi="Times New Roman" w:cs="Times New Roman"/>
          <w:sz w:val="20"/>
          <w:szCs w:val="20"/>
        </w:rPr>
      </w:pPr>
    </w:p>
    <w:p>
      <w:pPr>
        <w:jc w:val="left"/>
        <w:rPr>
          <w:rFonts w:ascii="Times New Roman" w:hAnsi="Times New Roman" w:eastAsia="宋体" w:cs="Times New Roman"/>
          <w:kern w:val="0"/>
          <w:sz w:val="20"/>
          <w:szCs w:val="20"/>
          <w:lang w:bidi="ar"/>
        </w:rPr>
      </w:pPr>
      <w:r>
        <w:rPr>
          <w:rFonts w:ascii="Times New Roman" w:hAnsi="Times New Roman" w:eastAsia="宋体" w:cs="Times New Roman"/>
          <w:kern w:val="0"/>
          <w:sz w:val="20"/>
          <w:szCs w:val="20"/>
          <w:lang w:bidi="ar"/>
        </w:rPr>
        <w:drawing>
          <wp:inline distT="0" distB="0" distL="114300" distR="114300">
            <wp:extent cx="5269230" cy="3571875"/>
            <wp:effectExtent l="0" t="0" r="11430" b="1905"/>
            <wp:docPr id="2" name="图片 2" descr="Figure 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igure S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Times New Roman" w:hAnsi="Times New Roman" w:eastAsia="宋体" w:cs="Times New Roman"/>
          <w:kern w:val="0"/>
          <w:sz w:val="20"/>
          <w:szCs w:val="20"/>
          <w:lang w:bidi="ar"/>
        </w:rPr>
      </w:pPr>
    </w:p>
    <w:p>
      <w:pPr>
        <w:jc w:val="left"/>
        <w:rPr>
          <w:rFonts w:ascii="Times New Roman" w:hAnsi="Times New Roman" w:eastAsia="宋体" w:cs="Times New Roman"/>
          <w:kern w:val="0"/>
          <w:sz w:val="20"/>
          <w:szCs w:val="20"/>
          <w:lang w:bidi="ar"/>
        </w:rPr>
      </w:pPr>
      <w:r>
        <w:rPr>
          <w:rFonts w:hint="eastAsia" w:ascii="Times New Roman" w:hAnsi="Times New Roman" w:eastAsia="宋体" w:cs="Times New Roman"/>
          <w:kern w:val="0"/>
          <w:sz w:val="20"/>
          <w:szCs w:val="20"/>
          <w:lang w:bidi="ar"/>
        </w:rPr>
        <w:t>Figure S2. Decision curve analysis (DCA) of overall survival (OS) and disease-free survival (DFS) prediction by the nomograms. The DCA of the nomogram for 12-month OS (A), 36-month OS (B), and 60-month OS (C) and for 12-month DFS (D), 36-month DFS (E), and 60-month DFS (F).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dvPTim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E93"/>
    <w:rsid w:val="00030E93"/>
    <w:rsid w:val="005C7FAE"/>
    <w:rsid w:val="006B15BD"/>
    <w:rsid w:val="006B2B22"/>
    <w:rsid w:val="00F70C8A"/>
    <w:rsid w:val="02141E27"/>
    <w:rsid w:val="05EE5ABD"/>
    <w:rsid w:val="072D458A"/>
    <w:rsid w:val="0D3C6EA4"/>
    <w:rsid w:val="0E280947"/>
    <w:rsid w:val="169B16A6"/>
    <w:rsid w:val="16E50512"/>
    <w:rsid w:val="1A2D6D8C"/>
    <w:rsid w:val="1A864B38"/>
    <w:rsid w:val="22FD38BC"/>
    <w:rsid w:val="265E5200"/>
    <w:rsid w:val="2BE86BB2"/>
    <w:rsid w:val="2C446639"/>
    <w:rsid w:val="310E0ECF"/>
    <w:rsid w:val="33375EE5"/>
    <w:rsid w:val="384C0D69"/>
    <w:rsid w:val="3CDA2059"/>
    <w:rsid w:val="3DF24054"/>
    <w:rsid w:val="3F606229"/>
    <w:rsid w:val="450E12A5"/>
    <w:rsid w:val="463C2940"/>
    <w:rsid w:val="47E22414"/>
    <w:rsid w:val="481543F3"/>
    <w:rsid w:val="494616E0"/>
    <w:rsid w:val="49513C56"/>
    <w:rsid w:val="4B7B0767"/>
    <w:rsid w:val="4CDC000A"/>
    <w:rsid w:val="4E7500C4"/>
    <w:rsid w:val="55494BEF"/>
    <w:rsid w:val="56FB582A"/>
    <w:rsid w:val="579D2A47"/>
    <w:rsid w:val="59254592"/>
    <w:rsid w:val="59804F82"/>
    <w:rsid w:val="5DDA466E"/>
    <w:rsid w:val="5E281D50"/>
    <w:rsid w:val="66FE60BF"/>
    <w:rsid w:val="695121D7"/>
    <w:rsid w:val="6AF47CF0"/>
    <w:rsid w:val="6B80394B"/>
    <w:rsid w:val="6D6A14E6"/>
    <w:rsid w:val="6E321035"/>
    <w:rsid w:val="71DA487F"/>
    <w:rsid w:val="761323C6"/>
    <w:rsid w:val="7C8776B4"/>
    <w:rsid w:val="7EBA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iPriority w:val="0"/>
    <w:rPr>
      <w:sz w:val="20"/>
      <w:szCs w:val="20"/>
    </w:rPr>
  </w:style>
  <w:style w:type="paragraph" w:styleId="3">
    <w:name w:val="annotation subject"/>
    <w:basedOn w:val="2"/>
    <w:next w:val="2"/>
    <w:link w:val="11"/>
    <w:qFormat/>
    <w:uiPriority w:val="0"/>
    <w:rPr>
      <w:b/>
      <w:bCs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annotation reference"/>
    <w:basedOn w:val="6"/>
    <w:qFormat/>
    <w:uiPriority w:val="0"/>
    <w:rPr>
      <w:sz w:val="16"/>
      <w:szCs w:val="16"/>
    </w:rPr>
  </w:style>
  <w:style w:type="character" w:customStyle="1" w:styleId="8">
    <w:name w:val="fontstyle01"/>
    <w:basedOn w:val="6"/>
    <w:qFormat/>
    <w:uiPriority w:val="0"/>
    <w:rPr>
      <w:rFonts w:ascii="AdvPTimes" w:hAnsi="AdvPTimes" w:eastAsia="AdvPTimes" w:cs="AdvPTimes"/>
      <w:color w:val="000000"/>
      <w:sz w:val="18"/>
      <w:szCs w:val="18"/>
    </w:rPr>
  </w:style>
  <w:style w:type="character" w:customStyle="1" w:styleId="9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Comment Text Char"/>
    <w:basedOn w:val="6"/>
    <w:link w:val="2"/>
    <w:uiPriority w:val="0"/>
    <w:rPr>
      <w:rFonts w:asciiTheme="minorHAnsi" w:hAnsiTheme="minorHAnsi" w:eastAsiaTheme="minorEastAsia" w:cstheme="minorBidi"/>
      <w:kern w:val="2"/>
      <w:lang w:val="en-US" w:eastAsia="zh-CN"/>
    </w:rPr>
  </w:style>
  <w:style w:type="character" w:customStyle="1" w:styleId="11">
    <w:name w:val="Comment Subject Char"/>
    <w:basedOn w:val="10"/>
    <w:link w:val="3"/>
    <w:uiPriority w:val="0"/>
    <w:rPr>
      <w:rFonts w:asciiTheme="minorHAnsi" w:hAnsiTheme="minorHAnsi" w:eastAsiaTheme="minorEastAsia" w:cstheme="minorBidi"/>
      <w:b/>
      <w:bCs/>
      <w:kern w:val="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644</Words>
  <Characters>3671</Characters>
  <Lines>30</Lines>
  <Paragraphs>8</Paragraphs>
  <TotalTime>7</TotalTime>
  <ScaleCrop>false</ScaleCrop>
  <LinksUpToDate>false</LinksUpToDate>
  <CharactersWithSpaces>4307</CharactersWithSpaces>
  <Application>WPS Office_11.8.6.11829_F1E327BC-269C-435d-A152-05C5408002CA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2025-04-05T13:28:00Z</dcterms:created>
  <dc:creator>Lenovo</dc:creator>
  <cp:lastModifiedBy>Lenovo</cp:lastModifiedBy>
  <dcterms:modified xsi:type="dcterms:W3CDTF">2025-10-13T12:55:25Z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2052-11.8.6.11829</vt:lpwstr>
  </property>
  <property fmtid="{D5CDD505-2E9C-101B-9397-08002B2CF9AE}" pid="3" name="ICV">
    <vt:lpwstr>010B087F86AD45328ED10A43D4FFB804</vt:lpwstr>
  </property>
</Properties>
</file>