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956F" w14:textId="2172E9A2" w:rsidR="00FC768C" w:rsidRPr="00CF395D" w:rsidRDefault="00E17B37">
      <w:pPr>
        <w:rPr>
          <w:rFonts w:ascii="Times New Roman" w:hAnsi="Times New Roman" w:cs="Times New Roman"/>
          <w:b/>
          <w:bCs/>
        </w:rPr>
      </w:pPr>
      <w:r w:rsidRPr="00CF395D">
        <w:rPr>
          <w:rFonts w:ascii="Times New Roman" w:hAnsi="Times New Roman" w:cs="Times New Roman"/>
          <w:b/>
          <w:bCs/>
        </w:rPr>
        <w:t>Supplementary Table S1. Database-specific search strategies and last run date (September 30, 2025, JST)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2"/>
        <w:gridCol w:w="6110"/>
        <w:gridCol w:w="1719"/>
        <w:gridCol w:w="3019"/>
      </w:tblGrid>
      <w:tr w:rsidR="00FC768C" w:rsidRPr="00CF395D" w14:paraId="3BF6A113" w14:textId="77777777" w:rsidTr="004929BE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37BBDD6" w14:textId="77777777" w:rsidR="00FC768C" w:rsidRPr="00CF395D" w:rsidRDefault="00553B33">
            <w:r w:rsidRPr="00CF395D">
              <w:t>Database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</w:tcBorders>
          </w:tcPr>
          <w:p w14:paraId="0D2E6D9F" w14:textId="77777777" w:rsidR="00FC768C" w:rsidRPr="00CF395D" w:rsidRDefault="00553B33">
            <w:r w:rsidRPr="00CF395D">
              <w:t>Search string (verbatim)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9302D0D" w14:textId="77777777" w:rsidR="00FC768C" w:rsidRPr="00CF395D" w:rsidRDefault="00553B33">
            <w:r w:rsidRPr="00CF395D">
              <w:t>Date last run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583D1FB7" w14:textId="77777777" w:rsidR="00FC768C" w:rsidRPr="00CF395D" w:rsidRDefault="00553B33">
            <w:r w:rsidRPr="00CF395D">
              <w:t>Notes</w:t>
            </w:r>
          </w:p>
        </w:tc>
      </w:tr>
      <w:tr w:rsidR="00C72E12" w:rsidRPr="00CF395D" w14:paraId="185AFB0B" w14:textId="77777777" w:rsidTr="004929BE">
        <w:tc>
          <w:tcPr>
            <w:tcW w:w="2112" w:type="dxa"/>
            <w:tcBorders>
              <w:top w:val="single" w:sz="4" w:space="0" w:color="auto"/>
            </w:tcBorders>
          </w:tcPr>
          <w:p w14:paraId="7F8E1776" w14:textId="77777777" w:rsidR="00C72E12" w:rsidRPr="00CF395D" w:rsidRDefault="00C72E12" w:rsidP="00C72E12">
            <w:r w:rsidRPr="00CF395D">
              <w:t>PubMed/MEDLINE</w:t>
            </w:r>
          </w:p>
        </w:tc>
        <w:tc>
          <w:tcPr>
            <w:tcW w:w="6110" w:type="dxa"/>
            <w:tcBorders>
              <w:top w:val="single" w:sz="4" w:space="0" w:color="auto"/>
            </w:tcBorders>
          </w:tcPr>
          <w:p w14:paraId="0927079A" w14:textId="3D262306" w:rsidR="00C72E12" w:rsidRPr="00CF395D" w:rsidRDefault="00C72E12" w:rsidP="00C72E12">
            <w:r w:rsidRPr="00CF395D">
              <w:t>( "Pulmonary Disease, Chronic Obstructive"[Mesh] OR COPD[tiab] OR "chronic obstructive pulmonary disease"[tiab] OR emphysema[tiab] )</w:t>
            </w:r>
            <w:r w:rsidRPr="00CF395D">
              <w:br/>
              <w:t>AND (</w:t>
            </w:r>
            <w:r w:rsidRPr="00CF395D">
              <w:br/>
              <w:t xml:space="preserve">  "maximal inspiratory pressure"[tiab] OR MIP[tiab] OR</w:t>
            </w:r>
            <w:r w:rsidRPr="00CF395D">
              <w:br/>
              <w:t xml:space="preserve">  "maximal expiratory pressure"[tiab] OR MEP[tiab] OR</w:t>
            </w:r>
            <w:r w:rsidRPr="00CF395D">
              <w:br/>
              <w:t xml:space="preserve">  "sniff nasal inspiratory pressure"[tiab] OR SNIP[tiab] OR</w:t>
            </w:r>
            <w:r w:rsidRPr="00CF395D">
              <w:br/>
              <w:t xml:space="preserve">  "peak inspiratory flow rate"[tiab] OR PIFR[tiab] OR</w:t>
            </w:r>
            <w:r w:rsidRPr="00CF395D">
              <w:br/>
              <w:t xml:space="preserve">  "peak expiratory flow rate"[tiab] OR PEFR[tiab] OR</w:t>
            </w:r>
            <w:r w:rsidRPr="00CF395D">
              <w:br/>
              <w:t xml:space="preserve">  "cough peak flow"[tiab] OR CPF[tiab]</w:t>
            </w:r>
            <w:r w:rsidRPr="00CF395D">
              <w:br/>
              <w:t>)</w:t>
            </w:r>
            <w:r w:rsidRPr="00CF395D">
              <w:br/>
              <w:t>AND (</w:t>
            </w:r>
            <w:r w:rsidRPr="00CF395D">
              <w:br/>
              <w:t xml:space="preserve">  mortality[tiab] OR survival[tiab] OR prognosis[tiab] OR "end of life"[tiab] OR</w:t>
            </w:r>
            <w:r w:rsidRPr="00CF395D">
              <w:br/>
              <w:t xml:space="preserve">  "overall mortality"[tiab] OR "hazard ratio"[tiab] OR "12 month"[tiab] OR "12-month"[tiab] OR</w:t>
            </w:r>
            <w:r w:rsidRPr="00CF395D">
              <w:br/>
              <w:t xml:space="preserve">  "1 year"[tiab] OR "one-year"[tiab] OR "long-term"[tiab] OR "long term"[tiab]</w:t>
            </w:r>
            <w:r w:rsidRPr="00CF395D">
              <w:br/>
              <w:t>)</w:t>
            </w:r>
            <w:r w:rsidRPr="00CF395D">
              <w:br/>
              <w:t>NOT (animals[MeSH] NOT humans[MeSH])</w:t>
            </w:r>
            <w:r w:rsidRPr="00CF395D">
              <w:br/>
              <w:t>AND ("1900/01/01"[Date - Publication] : "2025/09/30"[Date - Publication])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395B4AA1" w14:textId="77777777" w:rsidR="00C72E12" w:rsidRPr="00CF395D" w:rsidRDefault="00C72E12" w:rsidP="00C72E12">
            <w:r w:rsidRPr="00CF395D">
              <w:t>September 30, 2025 (JST)</w:t>
            </w: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7E4AD85A" w14:textId="77777777" w:rsidR="00C72E12" w:rsidRPr="00CF395D" w:rsidRDefault="00C72E12" w:rsidP="00C72E12">
            <w:r w:rsidRPr="00CF395D">
              <w:t>Humans filter via NOT animal-only; no device-brand filter.</w:t>
            </w:r>
          </w:p>
        </w:tc>
      </w:tr>
      <w:tr w:rsidR="00C72E12" w:rsidRPr="00FC3C10" w14:paraId="471FDBC8" w14:textId="77777777" w:rsidTr="004929BE">
        <w:tc>
          <w:tcPr>
            <w:tcW w:w="2112" w:type="dxa"/>
          </w:tcPr>
          <w:p w14:paraId="755DA2B2" w14:textId="77777777" w:rsidR="00C72E12" w:rsidRPr="00CF395D" w:rsidRDefault="00C72E12" w:rsidP="00C72E12">
            <w:r w:rsidRPr="00CF395D">
              <w:t>Cochrane Library—CENTRAL</w:t>
            </w:r>
          </w:p>
        </w:tc>
        <w:tc>
          <w:tcPr>
            <w:tcW w:w="6110" w:type="dxa"/>
          </w:tcPr>
          <w:p w14:paraId="24376E5E" w14:textId="3D288027" w:rsidR="00C72E12" w:rsidRPr="00CF395D" w:rsidRDefault="00C72E12" w:rsidP="00C72E12">
            <w:r w:rsidRPr="00CF395D">
              <w:t>([mh "Pulmonary Disease, Chronic Obstructive"] OR COPD:ti,ab,kw OR "chronic obstructive pulmonary disease":ti,ab,kw OR emphysema:ti,ab,kw)</w:t>
            </w:r>
            <w:r w:rsidRPr="00CF395D">
              <w:br/>
            </w:r>
            <w:r w:rsidRPr="00CF395D">
              <w:lastRenderedPageBreak/>
              <w:t>AND (</w:t>
            </w:r>
            <w:r w:rsidRPr="00CF395D">
              <w:br/>
              <w:t xml:space="preserve">  [mh "Respiratory Muscles"] OR [mh "Muscle Strength"] OR</w:t>
            </w:r>
            <w:r w:rsidRPr="00CF395D">
              <w:br/>
              <w:t xml:space="preserve">  "maximal inspiratory pressure":ti,ab,kw OR MIP:ti,ab,kw OR</w:t>
            </w:r>
            <w:r w:rsidRPr="00CF395D">
              <w:br/>
              <w:t xml:space="preserve">  "maximal expiratory pressure":ti,ab,kw OR MEP:ti,ab,kw OR</w:t>
            </w:r>
            <w:r w:rsidRPr="00CF395D">
              <w:br/>
              <w:t xml:space="preserve">  "sniff nasal inspiratory pressure":ti,ab,kw OR SNIP:ti,ab,kw OR</w:t>
            </w:r>
            <w:r w:rsidRPr="00CF395D">
              <w:br/>
              <w:t xml:space="preserve">  "peak inspiratory flow rate":ti,ab,kw OR PIFR:ti,ab,kw OR</w:t>
            </w:r>
            <w:r w:rsidRPr="00CF395D">
              <w:br/>
              <w:t xml:space="preserve">  "peak expiratory flow rate":ti,ab,kw OR PEFR:ti,ab,kw OR</w:t>
            </w:r>
            <w:r w:rsidRPr="00CF395D">
              <w:br/>
              <w:t xml:space="preserve">  "cough peak flow":ti,ab,kw OR CPF:ti,ab,kw</w:t>
            </w:r>
            <w:r w:rsidRPr="00CF395D">
              <w:br/>
              <w:t>)</w:t>
            </w:r>
            <w:r w:rsidRPr="00CF395D">
              <w:br/>
              <w:t>AND (</w:t>
            </w:r>
            <w:r w:rsidRPr="00CF395D">
              <w:br/>
              <w:t xml:space="preserve">  mortality:ti,ab,kw OR survival:ti,ab,kw OR prognosis:ti,ab,kw OR "end of life":ti,ab,kw OR</w:t>
            </w:r>
            <w:r w:rsidRPr="00CF395D">
              <w:br/>
              <w:t xml:space="preserve">  "overall mortality":ti,ab,kw OR "hazard ratio":ti,ab,kw OR "12 month":ti,ab,kw OR "12-month":ti,ab,kw OR</w:t>
            </w:r>
            <w:r w:rsidRPr="00CF395D">
              <w:br/>
              <w:t xml:space="preserve">  "1 year":ti,ab,kw OR "one-year":ti,ab,kw OR "long-term":ti,ab,kw OR "long term":ti,ab,kw</w:t>
            </w:r>
            <w:r w:rsidRPr="00CF395D">
              <w:br/>
              <w:t>)</w:t>
            </w:r>
          </w:p>
        </w:tc>
        <w:tc>
          <w:tcPr>
            <w:tcW w:w="1719" w:type="dxa"/>
          </w:tcPr>
          <w:p w14:paraId="7D91CE9B" w14:textId="77777777" w:rsidR="00C72E12" w:rsidRPr="00CF395D" w:rsidRDefault="00C72E12" w:rsidP="00C72E12">
            <w:r w:rsidRPr="00CF395D">
              <w:lastRenderedPageBreak/>
              <w:t>September 30, 2025 (JST)</w:t>
            </w:r>
          </w:p>
        </w:tc>
        <w:tc>
          <w:tcPr>
            <w:tcW w:w="3019" w:type="dxa"/>
          </w:tcPr>
          <w:p w14:paraId="5DB014EE" w14:textId="77777777" w:rsidR="00C72E12" w:rsidRPr="00CF395D" w:rsidRDefault="00C72E12" w:rsidP="00C72E12">
            <w:pPr>
              <w:rPr>
                <w:lang w:val="de-CH"/>
              </w:rPr>
            </w:pPr>
            <w:r w:rsidRPr="00CF395D">
              <w:rPr>
                <w:lang w:val="de-CH"/>
              </w:rPr>
              <w:t>Field tags [mh], :ti,ab,kw.</w:t>
            </w:r>
          </w:p>
        </w:tc>
      </w:tr>
      <w:tr w:rsidR="00C72E12" w:rsidRPr="00CF395D" w14:paraId="4612E3F7" w14:textId="77777777" w:rsidTr="004929BE">
        <w:tc>
          <w:tcPr>
            <w:tcW w:w="2112" w:type="dxa"/>
            <w:tcBorders>
              <w:bottom w:val="single" w:sz="4" w:space="0" w:color="auto"/>
            </w:tcBorders>
          </w:tcPr>
          <w:p w14:paraId="2C3F6205" w14:textId="77777777" w:rsidR="00C72E12" w:rsidRPr="00CF395D" w:rsidRDefault="00C72E12" w:rsidP="00C72E12">
            <w:r w:rsidRPr="00CF395D">
              <w:t>Web of Science Core Collection</w:t>
            </w:r>
          </w:p>
        </w:tc>
        <w:tc>
          <w:tcPr>
            <w:tcW w:w="6110" w:type="dxa"/>
            <w:tcBorders>
              <w:bottom w:val="single" w:sz="4" w:space="0" w:color="auto"/>
            </w:tcBorders>
          </w:tcPr>
          <w:p w14:paraId="16A035E8" w14:textId="341B7A16" w:rsidR="00C72E12" w:rsidRPr="00CF395D" w:rsidRDefault="00C72E12" w:rsidP="00C72E12">
            <w:r w:rsidRPr="00CF395D">
              <w:t>TS=(</w:t>
            </w:r>
            <w:r w:rsidRPr="00CF395D">
              <w:br/>
              <w:t xml:space="preserve">  (COPD OR "chronic obstructive pulmonary disease" OR emphysema)</w:t>
            </w:r>
            <w:r w:rsidRPr="00CF395D">
              <w:br/>
              <w:t xml:space="preserve">  AND (</w:t>
            </w:r>
            <w:r w:rsidRPr="00CF395D">
              <w:br/>
              <w:t xml:space="preserve">    "maximal inspiratory pressure" OR MIP OR</w:t>
            </w:r>
            <w:r w:rsidRPr="00CF395D">
              <w:br/>
              <w:t xml:space="preserve">    "maximal expiratory pressure" OR MEP OR</w:t>
            </w:r>
            <w:r w:rsidRPr="00CF395D">
              <w:br/>
              <w:t xml:space="preserve">    "sniff nasal inspiratory pressure" OR SNIP OR</w:t>
            </w:r>
            <w:r w:rsidRPr="00CF395D">
              <w:br/>
              <w:t xml:space="preserve">    "peak inspiratory flow rate" OR PIFR OR</w:t>
            </w:r>
            <w:r w:rsidRPr="00CF395D">
              <w:br/>
              <w:t xml:space="preserve">    "peak expiratory flow rate" OR PEFR OR</w:t>
            </w:r>
            <w:r w:rsidRPr="00CF395D">
              <w:br/>
              <w:t xml:space="preserve">    "cough peak flow" OR CPF</w:t>
            </w:r>
            <w:r w:rsidRPr="00CF395D">
              <w:br/>
            </w:r>
            <w:r w:rsidRPr="00CF395D">
              <w:lastRenderedPageBreak/>
              <w:t xml:space="preserve">  )</w:t>
            </w:r>
            <w:r w:rsidRPr="00CF395D">
              <w:br/>
              <w:t xml:space="preserve">  AND (</w:t>
            </w:r>
            <w:r w:rsidRPr="00CF395D">
              <w:br/>
              <w:t xml:space="preserve">    mortality OR survival OR prognosis OR "end of life" OR "overall mortality" OR "hazard ratio" OR</w:t>
            </w:r>
            <w:r w:rsidRPr="00CF395D">
              <w:br/>
              <w:t xml:space="preserve">    "12 month" OR "12-month" OR "1 year" OR "one-year" OR "long-term" OR "long term"</w:t>
            </w:r>
            <w:r w:rsidRPr="00CF395D">
              <w:br/>
              <w:t xml:space="preserve">  )</w:t>
            </w:r>
            <w:r w:rsidRPr="00CF395D">
              <w:br/>
              <w:t>)</w:t>
            </w:r>
            <w:r w:rsidRPr="00CF395D">
              <w:br/>
              <w:t>Timespan=1900-2025; Indexes=SCI-EXPANDED, SSCI, ESCI; Language=(English OR Japanese)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1B40C1D3" w14:textId="77777777" w:rsidR="00C72E12" w:rsidRPr="00CF395D" w:rsidRDefault="00C72E12" w:rsidP="00C72E12">
            <w:r w:rsidRPr="00CF395D">
              <w:lastRenderedPageBreak/>
              <w:t>September 30, 2025 (JST)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1E588C81" w14:textId="77777777" w:rsidR="00C72E12" w:rsidRPr="00CF395D" w:rsidRDefault="00C72E12" w:rsidP="00C72E12">
            <w:r w:rsidRPr="00CF395D">
              <w:t>TS=Title/Abstract/Keywords. Timespan 1900–2025.</w:t>
            </w:r>
          </w:p>
        </w:tc>
      </w:tr>
    </w:tbl>
    <w:p w14:paraId="719285B2" w14:textId="77777777" w:rsidR="00FC3C10" w:rsidRDefault="00FC3C10" w:rsidP="00E17B37">
      <w:pPr>
        <w:rPr>
          <w:rFonts w:ascii="Times New Roman" w:hAnsi="Times New Roman" w:cs="Times New Roman"/>
        </w:rPr>
      </w:pPr>
    </w:p>
    <w:p w14:paraId="5DC04FEC" w14:textId="5333495E" w:rsidR="008467E6" w:rsidRPr="00CF395D" w:rsidRDefault="00E17B37" w:rsidP="00E17B37">
      <w:pPr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Abbreviations:</w:t>
      </w:r>
      <w:r w:rsidRPr="00CF395D">
        <w:rPr>
          <w:rFonts w:ascii="Times New Roman" w:hAnsi="Times New Roman" w:cs="Times New Roman"/>
          <w:lang w:eastAsia="ja-JP"/>
        </w:rPr>
        <w:t xml:space="preserve"> </w:t>
      </w:r>
      <w:r w:rsidRPr="00CF395D">
        <w:rPr>
          <w:rFonts w:ascii="Times New Roman" w:hAnsi="Times New Roman" w:cs="Times New Roman"/>
        </w:rPr>
        <w:t>CENTRAL, Cochrane Central Register of Controlled Trials; JST, Japan Standard Time; MeSH, Medical Subject Headings; PRISMA, Preferred Reporting Items for Systematic Reviews and Meta-Analyses; tiab, title/abstract field; kw, keyword field; TS, Topic (title/abstract/keywords) field (Web of Science).</w:t>
      </w:r>
    </w:p>
    <w:p w14:paraId="2804F530" w14:textId="77777777" w:rsidR="00EA2845" w:rsidRPr="00CF395D" w:rsidRDefault="00EA2845" w:rsidP="00E17B37">
      <w:pPr>
        <w:rPr>
          <w:rFonts w:ascii="Times New Roman" w:hAnsi="Times New Roman" w:cs="Times New Roman"/>
          <w:lang w:eastAsia="ja-JP"/>
        </w:rPr>
      </w:pPr>
    </w:p>
    <w:p w14:paraId="49820014" w14:textId="1B49DDFA" w:rsidR="00EA2845" w:rsidRPr="00CF395D" w:rsidRDefault="00EA2845">
      <w:pPr>
        <w:rPr>
          <w:rFonts w:ascii="Times New Roman" w:hAnsi="Times New Roman" w:cs="Times New Roman"/>
          <w:lang w:eastAsia="ja-JP"/>
        </w:rPr>
      </w:pPr>
      <w:r w:rsidRPr="00CF395D">
        <w:rPr>
          <w:rFonts w:ascii="Times New Roman" w:hAnsi="Times New Roman" w:cs="Times New Roman"/>
          <w:lang w:eastAsia="ja-JP"/>
        </w:rPr>
        <w:br w:type="page"/>
      </w:r>
    </w:p>
    <w:p w14:paraId="7BD58A12" w14:textId="10BB8237" w:rsidR="00EA2845" w:rsidRPr="00CF395D" w:rsidRDefault="00EA2845" w:rsidP="00E17B37">
      <w:pPr>
        <w:rPr>
          <w:rFonts w:ascii="Times New Roman" w:hAnsi="Times New Roman" w:cs="Times New Roman"/>
          <w:b/>
          <w:bCs/>
          <w:lang w:eastAsia="ja-JP"/>
        </w:rPr>
      </w:pPr>
      <w:r w:rsidRPr="00CF395D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Pr="00CF395D">
        <w:rPr>
          <w:rFonts w:ascii="Times New Roman" w:hAnsi="Times New Roman" w:cs="Times New Roman" w:hint="eastAsia"/>
          <w:b/>
          <w:bCs/>
          <w:lang w:eastAsia="ja-JP"/>
        </w:rPr>
        <w:t>S2</w:t>
      </w:r>
      <w:r w:rsidRPr="00CF395D">
        <w:rPr>
          <w:rFonts w:ascii="Times New Roman" w:hAnsi="Times New Roman" w:cs="Times New Roman"/>
          <w:b/>
          <w:bCs/>
        </w:rPr>
        <w:t>. Study characteristics and effect estimates</w:t>
      </w:r>
    </w:p>
    <w:tbl>
      <w:tblPr>
        <w:tblW w:w="13041" w:type="dxa"/>
        <w:tblLayout w:type="fixed"/>
        <w:tblLook w:val="04A0" w:firstRow="1" w:lastRow="0" w:firstColumn="1" w:lastColumn="0" w:noHBand="0" w:noVBand="1"/>
      </w:tblPr>
      <w:tblGrid>
        <w:gridCol w:w="970"/>
        <w:gridCol w:w="1015"/>
        <w:gridCol w:w="992"/>
        <w:gridCol w:w="343"/>
        <w:gridCol w:w="649"/>
        <w:gridCol w:w="567"/>
        <w:gridCol w:w="993"/>
        <w:gridCol w:w="850"/>
        <w:gridCol w:w="850"/>
        <w:gridCol w:w="851"/>
        <w:gridCol w:w="709"/>
        <w:gridCol w:w="567"/>
        <w:gridCol w:w="850"/>
        <w:gridCol w:w="851"/>
        <w:gridCol w:w="1984"/>
      </w:tblGrid>
      <w:tr w:rsidR="00E7745F" w:rsidRPr="00CF395D" w14:paraId="62EA025A" w14:textId="2E5AE7DD" w:rsidTr="009C71F5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687BE4D1" w14:textId="77777777" w:rsidR="00E7745F" w:rsidRPr="00CF395D" w:rsidRDefault="00E7745F">
            <w:r w:rsidRPr="00CF395D">
              <w:t>Author</w:t>
            </w:r>
            <w:r w:rsidRPr="00CF395D">
              <w:rPr>
                <w:rFonts w:hint="eastAsia"/>
                <w:lang w:eastAsia="ja-JP"/>
              </w:rPr>
              <w:t>_</w:t>
            </w:r>
            <w:r w:rsidRPr="00CF395D">
              <w:t xml:space="preserve"> (year)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4061065" w14:textId="77777777" w:rsidR="00E7745F" w:rsidRPr="00CF395D" w:rsidRDefault="00E7745F">
            <w:r w:rsidRPr="00CF395D">
              <w:t>Country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AFF72B" w14:textId="77777777" w:rsidR="00E7745F" w:rsidRPr="00CF395D" w:rsidRDefault="00E7745F">
            <w:r w:rsidRPr="00CF395D">
              <w:t>Design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14:paraId="24A9E57E" w14:textId="77777777" w:rsidR="00E7745F" w:rsidRPr="00CF395D" w:rsidRDefault="00E7745F">
            <w:r w:rsidRPr="00CF395D">
              <w:t>N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24D5E772" w14:textId="77777777" w:rsidR="00E7745F" w:rsidRPr="00CF395D" w:rsidRDefault="00E7745F">
            <w:r w:rsidRPr="00CF395D">
              <w:t xml:space="preserve">Age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1CBDA2" w14:textId="77777777" w:rsidR="00E7745F" w:rsidRPr="00CF395D" w:rsidRDefault="00E7745F">
            <w:r w:rsidRPr="00CF395D">
              <w:t>Male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A3B2B1" w14:textId="77777777" w:rsidR="00E7745F" w:rsidRPr="00CF395D" w:rsidRDefault="00E7745F">
            <w:r w:rsidRPr="00CF395D">
              <w:rPr>
                <w:rFonts w:hint="eastAsia"/>
                <w:lang w:eastAsia="ja-JP"/>
              </w:rPr>
              <w:t xml:space="preserve">% pred. </w:t>
            </w:r>
            <w:r w:rsidRPr="00CF395D">
              <w:t>FEV</w:t>
            </w:r>
            <w:r w:rsidRPr="00CF395D">
              <w:rPr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7C80F0" w14:textId="4B62C9C3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GOLD 1/2/3/4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0AE4AD" w14:textId="567A3628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Smoking status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F3996A" w14:textId="329F9124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BMI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5145CF" w14:textId="306753B8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Sarcopenia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EFE8EB" w14:textId="27D055C9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ICS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C76D98" w14:textId="59B260ED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6MWD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41B30" w14:textId="456B0764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mMRC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7DC8F9" w14:textId="4B408B31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Protocol details</w:t>
            </w:r>
          </w:p>
        </w:tc>
      </w:tr>
      <w:tr w:rsidR="00E7745F" w:rsidRPr="00CF395D" w14:paraId="512651C0" w14:textId="2493E16F" w:rsidTr="009C71F5">
        <w:tc>
          <w:tcPr>
            <w:tcW w:w="970" w:type="dxa"/>
            <w:tcBorders>
              <w:top w:val="single" w:sz="4" w:space="0" w:color="auto"/>
            </w:tcBorders>
          </w:tcPr>
          <w:p w14:paraId="466921EB" w14:textId="77777777" w:rsidR="00E7745F" w:rsidRPr="00CF395D" w:rsidRDefault="00E7745F">
            <w:r w:rsidRPr="00CF395D">
              <w:t>Gray</w:t>
            </w:r>
            <w:r w:rsidRPr="00CF395D">
              <w:rPr>
                <w:rFonts w:hint="eastAsia"/>
                <w:lang w:eastAsia="ja-JP"/>
              </w:rPr>
              <w:t>-</w:t>
            </w:r>
            <w:r w:rsidRPr="00CF395D">
              <w:t>Donald_1996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A470B70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Canada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8EA414" w14:textId="77777777" w:rsidR="00E7745F" w:rsidRPr="00CF395D" w:rsidRDefault="00E7745F">
            <w:r w:rsidRPr="00CF395D">
              <w:t>Prospective cohort; single center</w:t>
            </w:r>
          </w:p>
        </w:tc>
        <w:tc>
          <w:tcPr>
            <w:tcW w:w="343" w:type="dxa"/>
            <w:tcBorders>
              <w:top w:val="single" w:sz="4" w:space="0" w:color="auto"/>
            </w:tcBorders>
          </w:tcPr>
          <w:p w14:paraId="55394551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184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11251B28" w14:textId="77777777" w:rsidR="00E7745F" w:rsidRPr="00CF395D" w:rsidRDefault="00E7745F">
            <w:pPr>
              <w:rPr>
                <w:rFonts w:ascii="Times New Roman" w:hAnsi="Times New Roman" w:cs="Times New Roman"/>
                <w:lang w:eastAsia="ja-JP"/>
              </w:rPr>
            </w:pPr>
            <w:r w:rsidRPr="00CF395D">
              <w:rPr>
                <w:rFonts w:ascii="Times New Roman" w:hAnsi="Times New Roman" w:cs="Times New Roman"/>
                <w:lang w:eastAsia="ja-JP"/>
              </w:rPr>
              <w:t>63.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1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7.7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78F8221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72.3%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7801976" w14:textId="77777777" w:rsidR="00E7745F" w:rsidRPr="00CF395D" w:rsidRDefault="00E7745F">
            <w:r w:rsidRPr="00CF395D">
              <w:rPr>
                <w:rFonts w:ascii="Times New Roman" w:hAnsi="Times New Roman" w:cs="Times New Roman" w:hint="eastAsia"/>
                <w:lang w:eastAsia="ja-JP"/>
              </w:rPr>
              <w:t>27.6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9.1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9AF30C" w14:textId="282F3CF4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5D85CE" w14:textId="51057C25" w:rsidR="00E7745F" w:rsidRPr="00CF395D" w:rsidRDefault="00E7745F">
            <w:r w:rsidRPr="00CF395D">
              <w:rPr>
                <w:rFonts w:hint="eastAsia"/>
                <w:lang w:eastAsia="ja-JP"/>
              </w:rPr>
              <w:t>Current smoker: 80 (23.1%)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E303AE" w14:textId="7E22AC6D" w:rsidR="00E7745F" w:rsidRPr="00CF395D" w:rsidRDefault="00E7745F">
            <w:r w:rsidRPr="00CF395D">
              <w:rPr>
                <w:rFonts w:hint="eastAsia"/>
                <w:lang w:eastAsia="ja-JP"/>
              </w:rPr>
              <w:t>24.0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110DDE" w14:textId="43CC2CA2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4DC774" w14:textId="469E9EEE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E983C2" w14:textId="1D584AF8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70826C" w14:textId="524FB238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3C253B" w14:textId="08952EA8" w:rsidR="00E7745F" w:rsidRPr="00CF395D" w:rsidRDefault="00E7745F" w:rsidP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M</w:t>
            </w:r>
            <w:r w:rsidRPr="00CF395D">
              <w:rPr>
                <w:lang w:eastAsia="ja-JP"/>
              </w:rPr>
              <w:t>aximal inspiratory (Plmax) and expiratory (PEmax) mouth</w:t>
            </w:r>
            <w:r w:rsidRPr="00CF395D">
              <w:rPr>
                <w:rFonts w:hint="eastAsia"/>
                <w:lang w:eastAsia="ja-JP"/>
              </w:rPr>
              <w:t xml:space="preserve"> </w:t>
            </w:r>
            <w:r w:rsidRPr="00CF395D">
              <w:rPr>
                <w:lang w:eastAsia="ja-JP"/>
              </w:rPr>
              <w:t>pressures at FRC and a volume close to total lung capacity, respectively.</w:t>
            </w:r>
            <w:r w:rsidRPr="00CF395D">
              <w:rPr>
                <w:rFonts w:hint="eastAsia"/>
                <w:lang w:eastAsia="ja-JP"/>
              </w:rPr>
              <w:t xml:space="preserve"> </w:t>
            </w:r>
            <w:r w:rsidRPr="00CF395D">
              <w:rPr>
                <w:lang w:eastAsia="ja-JP"/>
              </w:rPr>
              <w:t>Three measurements were recorded, and the highest value was used in</w:t>
            </w:r>
            <w:r w:rsidRPr="00CF395D">
              <w:rPr>
                <w:rFonts w:hint="eastAsia"/>
                <w:lang w:eastAsia="ja-JP"/>
              </w:rPr>
              <w:t xml:space="preserve"> </w:t>
            </w:r>
            <w:r w:rsidRPr="00CF395D">
              <w:rPr>
                <w:lang w:eastAsia="ja-JP"/>
              </w:rPr>
              <w:t>the analysis.</w:t>
            </w:r>
          </w:p>
        </w:tc>
      </w:tr>
      <w:tr w:rsidR="00E7745F" w:rsidRPr="00CF395D" w14:paraId="71FE595E" w14:textId="166D3455" w:rsidTr="00E7745F">
        <w:tc>
          <w:tcPr>
            <w:tcW w:w="970" w:type="dxa"/>
          </w:tcPr>
          <w:p w14:paraId="461B0266" w14:textId="77777777" w:rsidR="00E7745F" w:rsidRPr="00CF395D" w:rsidRDefault="00E7745F">
            <w:r w:rsidRPr="00CF395D">
              <w:t>Xu_2019</w:t>
            </w:r>
          </w:p>
        </w:tc>
        <w:tc>
          <w:tcPr>
            <w:tcW w:w="1015" w:type="dxa"/>
          </w:tcPr>
          <w:p w14:paraId="1537E01E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China</w:t>
            </w:r>
          </w:p>
        </w:tc>
        <w:tc>
          <w:tcPr>
            <w:tcW w:w="992" w:type="dxa"/>
          </w:tcPr>
          <w:p w14:paraId="1B9DA94E" w14:textId="77777777" w:rsidR="00E7745F" w:rsidRPr="00CF395D" w:rsidRDefault="00E7745F">
            <w:r w:rsidRPr="00CF395D">
              <w:t>Prospective cohort; single center</w:t>
            </w:r>
          </w:p>
        </w:tc>
        <w:tc>
          <w:tcPr>
            <w:tcW w:w="343" w:type="dxa"/>
          </w:tcPr>
          <w:p w14:paraId="0A74D6FA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326</w:t>
            </w:r>
          </w:p>
        </w:tc>
        <w:tc>
          <w:tcPr>
            <w:tcW w:w="649" w:type="dxa"/>
          </w:tcPr>
          <w:p w14:paraId="3F67ECCB" w14:textId="77777777" w:rsidR="00E7745F" w:rsidRPr="00CF395D" w:rsidRDefault="00E7745F">
            <w:r w:rsidRPr="00CF395D">
              <w:rPr>
                <w:rFonts w:ascii="Times New Roman" w:hAnsi="Times New Roman" w:cs="Times New Roman" w:hint="eastAsia"/>
                <w:lang w:eastAsia="ja-JP"/>
              </w:rPr>
              <w:t xml:space="preserve">Survival </w:t>
            </w:r>
            <w:r w:rsidRPr="00CF395D">
              <w:rPr>
                <w:rFonts w:ascii="Times New Roman" w:hAnsi="Times New Roman" w:cs="Times New Roman"/>
                <w:lang w:eastAsia="ja-JP"/>
              </w:rPr>
              <w:t>63.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1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 xml:space="preserve">7.7, </w:t>
            </w:r>
            <w:r w:rsidRPr="00CF395D">
              <w:rPr>
                <w:rFonts w:ascii="Times New Roman" w:hAnsi="Times New Roman" w:cs="Times New Roman"/>
                <w:lang w:eastAsia="ja-JP"/>
              </w:rPr>
              <w:t>non-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S</w:t>
            </w:r>
            <w:r w:rsidRPr="00CF395D">
              <w:rPr>
                <w:rFonts w:ascii="Times New Roman" w:hAnsi="Times New Roman" w:cs="Times New Roman"/>
                <w:lang w:eastAsia="ja-JP"/>
              </w:rPr>
              <w:t>urv</w:t>
            </w:r>
            <w:r w:rsidRPr="00CF395D">
              <w:rPr>
                <w:rFonts w:ascii="Times New Roman" w:hAnsi="Times New Roman" w:cs="Times New Roman"/>
                <w:lang w:eastAsia="ja-JP"/>
              </w:rPr>
              <w:lastRenderedPageBreak/>
              <w:t>ival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 xml:space="preserve"> 71.8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9.3</w:t>
            </w:r>
          </w:p>
        </w:tc>
        <w:tc>
          <w:tcPr>
            <w:tcW w:w="567" w:type="dxa"/>
          </w:tcPr>
          <w:p w14:paraId="10F3F586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lastRenderedPageBreak/>
              <w:t>80.1%</w:t>
            </w:r>
          </w:p>
        </w:tc>
        <w:tc>
          <w:tcPr>
            <w:tcW w:w="993" w:type="dxa"/>
          </w:tcPr>
          <w:p w14:paraId="7A1EDDFB" w14:textId="77777777" w:rsidR="00E7745F" w:rsidRPr="00CF395D" w:rsidRDefault="00E7745F">
            <w:r w:rsidRPr="00CF395D">
              <w:rPr>
                <w:rFonts w:ascii="Times New Roman" w:hAnsi="Times New Roman" w:cs="Times New Roman" w:hint="eastAsia"/>
                <w:lang w:eastAsia="ja-JP"/>
              </w:rPr>
              <w:t>Survival:54.9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 xml:space="preserve">19.3, </w:t>
            </w:r>
            <w:r w:rsidRPr="00CF395D">
              <w:rPr>
                <w:rFonts w:ascii="Times New Roman" w:hAnsi="Times New Roman" w:cs="Times New Roman"/>
                <w:lang w:eastAsia="ja-JP"/>
              </w:rPr>
              <w:t>non-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S</w:t>
            </w:r>
            <w:r w:rsidRPr="00CF395D">
              <w:rPr>
                <w:rFonts w:ascii="Times New Roman" w:hAnsi="Times New Roman" w:cs="Times New Roman"/>
                <w:lang w:eastAsia="ja-JP"/>
              </w:rPr>
              <w:t>urvival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 xml:space="preserve">: 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lastRenderedPageBreak/>
              <w:t>33.7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13.1</w:t>
            </w:r>
          </w:p>
        </w:tc>
        <w:tc>
          <w:tcPr>
            <w:tcW w:w="850" w:type="dxa"/>
          </w:tcPr>
          <w:p w14:paraId="1C87CA4A" w14:textId="42CB0F3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lastRenderedPageBreak/>
              <w:t>NR</w:t>
            </w:r>
          </w:p>
        </w:tc>
        <w:tc>
          <w:tcPr>
            <w:tcW w:w="850" w:type="dxa"/>
          </w:tcPr>
          <w:p w14:paraId="3EA4CBCD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Pack-years</w:t>
            </w:r>
          </w:p>
          <w:p w14:paraId="0D36F141" w14:textId="49E16882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Survival:24.7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 xml:space="preserve">28.9, </w:t>
            </w:r>
            <w:r w:rsidRPr="00CF395D">
              <w:rPr>
                <w:rFonts w:hint="eastAsia"/>
                <w:lang w:eastAsia="ja-JP"/>
              </w:rPr>
              <w:lastRenderedPageBreak/>
              <w:t>non-survival:24.4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22.9</w:t>
            </w:r>
          </w:p>
        </w:tc>
        <w:tc>
          <w:tcPr>
            <w:tcW w:w="851" w:type="dxa"/>
          </w:tcPr>
          <w:p w14:paraId="0FD202E3" w14:textId="27C281B8" w:rsidR="00E7745F" w:rsidRPr="00CF395D" w:rsidRDefault="00E7745F">
            <w:r w:rsidRPr="00CF395D">
              <w:rPr>
                <w:rFonts w:hint="eastAsia"/>
                <w:lang w:eastAsia="ja-JP"/>
              </w:rPr>
              <w:lastRenderedPageBreak/>
              <w:t>Survival:22.3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3.8, non-surviv</w:t>
            </w:r>
            <w:r w:rsidRPr="00CF395D">
              <w:rPr>
                <w:rFonts w:hint="eastAsia"/>
                <w:lang w:eastAsia="ja-JP"/>
              </w:rPr>
              <w:lastRenderedPageBreak/>
              <w:t>al:</w:t>
            </w:r>
            <w:r w:rsidR="00273BD9" w:rsidRPr="00CF395D">
              <w:rPr>
                <w:lang w:eastAsia="ja-JP"/>
              </w:rPr>
              <w:t xml:space="preserve"> </w:t>
            </w:r>
            <w:r w:rsidRPr="00CF395D">
              <w:rPr>
                <w:rFonts w:hint="eastAsia"/>
                <w:lang w:eastAsia="ja-JP"/>
              </w:rPr>
              <w:t>21.4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3.6</w:t>
            </w:r>
          </w:p>
        </w:tc>
        <w:tc>
          <w:tcPr>
            <w:tcW w:w="709" w:type="dxa"/>
          </w:tcPr>
          <w:p w14:paraId="03F979E3" w14:textId="792A4C5D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lastRenderedPageBreak/>
              <w:t>FFMI (kg/m2)</w:t>
            </w:r>
          </w:p>
          <w:p w14:paraId="06C581C1" w14:textId="33A918D4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Survival:16.5</w:t>
            </w:r>
            <w:r w:rsidRPr="00CF395D">
              <w:rPr>
                <w:rFonts w:hint="eastAsia"/>
                <w:lang w:eastAsia="ja-JP"/>
              </w:rPr>
              <w:lastRenderedPageBreak/>
              <w:t>±</w:t>
            </w:r>
            <w:r w:rsidRPr="00CF395D">
              <w:rPr>
                <w:rFonts w:hint="eastAsia"/>
                <w:lang w:eastAsia="ja-JP"/>
              </w:rPr>
              <w:t>2.3, non-survival:14.3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2.0</w:t>
            </w:r>
          </w:p>
        </w:tc>
        <w:tc>
          <w:tcPr>
            <w:tcW w:w="567" w:type="dxa"/>
          </w:tcPr>
          <w:p w14:paraId="620F80EF" w14:textId="00158549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lastRenderedPageBreak/>
              <w:t>NR</w:t>
            </w:r>
          </w:p>
        </w:tc>
        <w:tc>
          <w:tcPr>
            <w:tcW w:w="850" w:type="dxa"/>
          </w:tcPr>
          <w:p w14:paraId="07D23708" w14:textId="5D93B14A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Survival:436.7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105.3m, non-</w:t>
            </w:r>
            <w:r w:rsidRPr="00CF395D">
              <w:rPr>
                <w:rFonts w:hint="eastAsia"/>
                <w:lang w:eastAsia="ja-JP"/>
              </w:rPr>
              <w:lastRenderedPageBreak/>
              <w:t>survival327.0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127.7m</w:t>
            </w:r>
          </w:p>
        </w:tc>
        <w:tc>
          <w:tcPr>
            <w:tcW w:w="851" w:type="dxa"/>
          </w:tcPr>
          <w:p w14:paraId="2695D818" w14:textId="7129ED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lastRenderedPageBreak/>
              <w:t>Survival: 1.5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1.0, non-surviv</w:t>
            </w:r>
            <w:r w:rsidRPr="00CF395D">
              <w:rPr>
                <w:rFonts w:hint="eastAsia"/>
                <w:lang w:eastAsia="ja-JP"/>
              </w:rPr>
              <w:lastRenderedPageBreak/>
              <w:t>al:3.0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1.2</w:t>
            </w:r>
          </w:p>
        </w:tc>
        <w:tc>
          <w:tcPr>
            <w:tcW w:w="1984" w:type="dxa"/>
          </w:tcPr>
          <w:p w14:paraId="767D69EE" w14:textId="3F8C70D1" w:rsidR="00E7745F" w:rsidRPr="00CF395D" w:rsidRDefault="00E7745F" w:rsidP="00E7745F">
            <w:pPr>
              <w:rPr>
                <w:lang w:eastAsia="ja-JP"/>
              </w:rPr>
            </w:pPr>
            <w:r w:rsidRPr="00CF395D">
              <w:rPr>
                <w:lang w:eastAsia="ja-JP"/>
              </w:rPr>
              <w:lastRenderedPageBreak/>
              <w:t>Quality control was</w:t>
            </w:r>
            <w:r w:rsidRPr="00CF395D">
              <w:rPr>
                <w:rFonts w:hint="eastAsia"/>
                <w:lang w:eastAsia="ja-JP"/>
              </w:rPr>
              <w:t xml:space="preserve"> </w:t>
            </w:r>
            <w:r w:rsidRPr="00CF395D">
              <w:rPr>
                <w:lang w:eastAsia="ja-JP"/>
              </w:rPr>
              <w:t>conducted according to the ATS and the European</w:t>
            </w:r>
            <w:r w:rsidRPr="00CF395D">
              <w:rPr>
                <w:rFonts w:hint="eastAsia"/>
                <w:lang w:eastAsia="ja-JP"/>
              </w:rPr>
              <w:t xml:space="preserve"> </w:t>
            </w:r>
            <w:r w:rsidRPr="00CF395D">
              <w:rPr>
                <w:lang w:eastAsia="ja-JP"/>
              </w:rPr>
              <w:t xml:space="preserve">Respiratory Society protocols, </w:t>
            </w:r>
            <w:r w:rsidRPr="00CF395D">
              <w:rPr>
                <w:lang w:eastAsia="ja-JP"/>
              </w:rPr>
              <w:lastRenderedPageBreak/>
              <w:t>and the maximum</w:t>
            </w:r>
            <w:r w:rsidRPr="00CF395D">
              <w:rPr>
                <w:rFonts w:hint="eastAsia"/>
                <w:lang w:eastAsia="ja-JP"/>
              </w:rPr>
              <w:t xml:space="preserve"> </w:t>
            </w:r>
            <w:r w:rsidRPr="00CF395D">
              <w:rPr>
                <w:lang w:eastAsia="ja-JP"/>
              </w:rPr>
              <w:t>value out of three measurements was selected.</w:t>
            </w:r>
          </w:p>
        </w:tc>
      </w:tr>
      <w:tr w:rsidR="00E7745F" w:rsidRPr="00CF395D" w14:paraId="2BB0B20F" w14:textId="4455D37C" w:rsidTr="00E7745F">
        <w:tc>
          <w:tcPr>
            <w:tcW w:w="970" w:type="dxa"/>
          </w:tcPr>
          <w:p w14:paraId="45B76BF3" w14:textId="77777777" w:rsidR="00E7745F" w:rsidRPr="00CF395D" w:rsidRDefault="00E7745F">
            <w:r w:rsidRPr="00CF395D">
              <w:lastRenderedPageBreak/>
              <w:t>Benzo</w:t>
            </w:r>
            <w:r w:rsidRPr="00CF395D">
              <w:rPr>
                <w:rFonts w:hint="eastAsia"/>
                <w:lang w:eastAsia="ja-JP"/>
              </w:rPr>
              <w:t>_</w:t>
            </w:r>
            <w:r w:rsidRPr="00CF395D">
              <w:t>2013</w:t>
            </w:r>
          </w:p>
        </w:tc>
        <w:tc>
          <w:tcPr>
            <w:tcW w:w="1015" w:type="dxa"/>
          </w:tcPr>
          <w:p w14:paraId="28B52C69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USA</w:t>
            </w:r>
          </w:p>
        </w:tc>
        <w:tc>
          <w:tcPr>
            <w:tcW w:w="992" w:type="dxa"/>
          </w:tcPr>
          <w:p w14:paraId="49757789" w14:textId="77777777" w:rsidR="00E7745F" w:rsidRPr="00CF395D" w:rsidRDefault="00E7745F">
            <w:r w:rsidRPr="00CF395D">
              <w:t>NETT secondary analysis; multicenter, repeated measures</w:t>
            </w:r>
          </w:p>
        </w:tc>
        <w:tc>
          <w:tcPr>
            <w:tcW w:w="343" w:type="dxa"/>
          </w:tcPr>
          <w:p w14:paraId="3A778FDF" w14:textId="77777777" w:rsidR="00E7745F" w:rsidRPr="00CF395D" w:rsidRDefault="00E7745F">
            <w:r w:rsidRPr="00CF395D">
              <w:t>1218</w:t>
            </w:r>
          </w:p>
        </w:tc>
        <w:tc>
          <w:tcPr>
            <w:tcW w:w="649" w:type="dxa"/>
          </w:tcPr>
          <w:p w14:paraId="17D73455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66.1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6.1</w:t>
            </w:r>
          </w:p>
        </w:tc>
        <w:tc>
          <w:tcPr>
            <w:tcW w:w="567" w:type="dxa"/>
          </w:tcPr>
          <w:p w14:paraId="35FF5DF2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61.0%</w:t>
            </w:r>
          </w:p>
        </w:tc>
        <w:tc>
          <w:tcPr>
            <w:tcW w:w="993" w:type="dxa"/>
          </w:tcPr>
          <w:p w14:paraId="20C3E82E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26.8 (SD:NR)</w:t>
            </w:r>
          </w:p>
        </w:tc>
        <w:tc>
          <w:tcPr>
            <w:tcW w:w="850" w:type="dxa"/>
          </w:tcPr>
          <w:p w14:paraId="56F09D4D" w14:textId="0D24C66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0" w:type="dxa"/>
          </w:tcPr>
          <w:p w14:paraId="16AEE955" w14:textId="124F6E6B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1" w:type="dxa"/>
          </w:tcPr>
          <w:p w14:paraId="4F3A1355" w14:textId="4F33CFEF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709" w:type="dxa"/>
          </w:tcPr>
          <w:p w14:paraId="0204793A" w14:textId="443BC1C1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567" w:type="dxa"/>
          </w:tcPr>
          <w:p w14:paraId="00AB5548" w14:textId="5B65636D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0" w:type="dxa"/>
          </w:tcPr>
          <w:p w14:paraId="47F348E8" w14:textId="40F55EDA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Mean: 371.1m</w:t>
            </w:r>
          </w:p>
        </w:tc>
        <w:tc>
          <w:tcPr>
            <w:tcW w:w="851" w:type="dxa"/>
          </w:tcPr>
          <w:p w14:paraId="5B40BB06" w14:textId="680D76B3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Mean: 3.2</w:t>
            </w:r>
          </w:p>
        </w:tc>
        <w:tc>
          <w:tcPr>
            <w:tcW w:w="1984" w:type="dxa"/>
          </w:tcPr>
          <w:p w14:paraId="2D8E743D" w14:textId="2E52D8AE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  <w:p w14:paraId="2B9F17FC" w14:textId="77777777" w:rsidR="00E7745F" w:rsidRPr="00CF395D" w:rsidRDefault="00E7745F" w:rsidP="00E7745F">
            <w:pPr>
              <w:jc w:val="center"/>
              <w:rPr>
                <w:lang w:eastAsia="ja-JP"/>
              </w:rPr>
            </w:pPr>
          </w:p>
        </w:tc>
      </w:tr>
      <w:tr w:rsidR="00E7745F" w:rsidRPr="00CF395D" w14:paraId="432F6031" w14:textId="1167F385" w:rsidTr="00E7745F">
        <w:tc>
          <w:tcPr>
            <w:tcW w:w="970" w:type="dxa"/>
          </w:tcPr>
          <w:p w14:paraId="34ABB8F3" w14:textId="77777777" w:rsidR="00E7745F" w:rsidRPr="00CF395D" w:rsidRDefault="00E7745F">
            <w:r w:rsidRPr="00CF395D">
              <w:t>Moore</w:t>
            </w:r>
            <w:r w:rsidRPr="00CF395D">
              <w:rPr>
                <w:rFonts w:hint="eastAsia"/>
                <w:lang w:eastAsia="ja-JP"/>
              </w:rPr>
              <w:t>_</w:t>
            </w:r>
            <w:r w:rsidRPr="00CF395D">
              <w:t>2010</w:t>
            </w:r>
          </w:p>
        </w:tc>
        <w:tc>
          <w:tcPr>
            <w:tcW w:w="1015" w:type="dxa"/>
          </w:tcPr>
          <w:p w14:paraId="3AE31167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UK</w:t>
            </w:r>
          </w:p>
        </w:tc>
        <w:tc>
          <w:tcPr>
            <w:tcW w:w="992" w:type="dxa"/>
          </w:tcPr>
          <w:p w14:paraId="341F6F11" w14:textId="77777777" w:rsidR="00E7745F" w:rsidRPr="00CF395D" w:rsidRDefault="00E7745F">
            <w:r w:rsidRPr="00CF395D">
              <w:t>Prospective cohort; single center</w:t>
            </w:r>
          </w:p>
        </w:tc>
        <w:tc>
          <w:tcPr>
            <w:tcW w:w="343" w:type="dxa"/>
          </w:tcPr>
          <w:p w14:paraId="34F4A011" w14:textId="77777777" w:rsidR="00E7745F" w:rsidRPr="00CF395D" w:rsidRDefault="00E7745F">
            <w:r w:rsidRPr="00CF395D">
              <w:t>110</w:t>
            </w:r>
          </w:p>
        </w:tc>
        <w:tc>
          <w:tcPr>
            <w:tcW w:w="649" w:type="dxa"/>
          </w:tcPr>
          <w:p w14:paraId="27AD6B31" w14:textId="77777777" w:rsidR="00E7745F" w:rsidRPr="00CF395D" w:rsidRDefault="00E7745F">
            <w:r w:rsidRPr="00CF395D">
              <w:rPr>
                <w:rFonts w:hint="eastAsia"/>
                <w:lang w:eastAsia="ja-JP"/>
              </w:rPr>
              <w:t>62.8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9.4</w:t>
            </w:r>
          </w:p>
        </w:tc>
        <w:tc>
          <w:tcPr>
            <w:tcW w:w="567" w:type="dxa"/>
          </w:tcPr>
          <w:p w14:paraId="42F6076C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66.4%</w:t>
            </w:r>
          </w:p>
        </w:tc>
        <w:tc>
          <w:tcPr>
            <w:tcW w:w="993" w:type="dxa"/>
          </w:tcPr>
          <w:p w14:paraId="7387A527" w14:textId="77777777" w:rsidR="00E7745F" w:rsidRPr="00CF395D" w:rsidRDefault="00E7745F">
            <w:r w:rsidRPr="00CF395D">
              <w:rPr>
                <w:rFonts w:ascii="Times New Roman" w:hAnsi="Times New Roman" w:cs="Times New Roman" w:hint="eastAsia"/>
                <w:lang w:eastAsia="ja-JP"/>
              </w:rPr>
              <w:t>33.6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18.2</w:t>
            </w:r>
          </w:p>
        </w:tc>
        <w:tc>
          <w:tcPr>
            <w:tcW w:w="850" w:type="dxa"/>
          </w:tcPr>
          <w:p w14:paraId="1C62EFAB" w14:textId="09CA2608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2/21/37/50</w:t>
            </w:r>
          </w:p>
        </w:tc>
        <w:tc>
          <w:tcPr>
            <w:tcW w:w="850" w:type="dxa"/>
          </w:tcPr>
          <w:p w14:paraId="35D7D117" w14:textId="6CA36619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1" w:type="dxa"/>
          </w:tcPr>
          <w:p w14:paraId="337D2604" w14:textId="06B0D1D9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25.1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6.3</w:t>
            </w:r>
          </w:p>
        </w:tc>
        <w:tc>
          <w:tcPr>
            <w:tcW w:w="709" w:type="dxa"/>
          </w:tcPr>
          <w:p w14:paraId="632825F1" w14:textId="75065C81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567" w:type="dxa"/>
          </w:tcPr>
          <w:p w14:paraId="16447B20" w14:textId="766B4821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0" w:type="dxa"/>
          </w:tcPr>
          <w:p w14:paraId="5C3435AB" w14:textId="7FFFC618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1" w:type="dxa"/>
          </w:tcPr>
          <w:p w14:paraId="59FBC00E" w14:textId="76157A10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1984" w:type="dxa"/>
          </w:tcPr>
          <w:p w14:paraId="5BF5E80B" w14:textId="3C5B5A07" w:rsidR="00E7745F" w:rsidRPr="00CF395D" w:rsidRDefault="009C71F5" w:rsidP="00E7745F">
            <w:pPr>
              <w:rPr>
                <w:lang w:eastAsia="ja-JP"/>
              </w:rPr>
            </w:pPr>
            <w:r w:rsidRPr="00CF395D">
              <w:rPr>
                <w:lang w:eastAsia="ja-JP"/>
              </w:rPr>
              <w:t xml:space="preserve">Catheter-in-bung (dental putty) occluding one nostril </w:t>
            </w:r>
            <w:r w:rsidRPr="00CF395D">
              <w:rPr>
                <w:rFonts w:hint="eastAsia"/>
                <w:lang w:eastAsia="ja-JP"/>
              </w:rPr>
              <w:t>→</w:t>
            </w:r>
            <w:r w:rsidRPr="00CF395D">
              <w:rPr>
                <w:lang w:eastAsia="ja-JP"/>
              </w:rPr>
              <w:t xml:space="preserve"> transducer; contralateral nostril for sniffs; multiple attempts; </w:t>
            </w:r>
            <w:r w:rsidRPr="00CF395D">
              <w:rPr>
                <w:lang w:eastAsia="ja-JP"/>
              </w:rPr>
              <w:lastRenderedPageBreak/>
              <w:t>pressure in obstructed nostril ≈ nasopharyngeal (surrogate of alveolar) pressure.</w:t>
            </w:r>
          </w:p>
        </w:tc>
      </w:tr>
      <w:tr w:rsidR="00E7745F" w:rsidRPr="00CF395D" w14:paraId="40D610E7" w14:textId="03D3C6B7" w:rsidTr="009C71F5">
        <w:tc>
          <w:tcPr>
            <w:tcW w:w="970" w:type="dxa"/>
          </w:tcPr>
          <w:p w14:paraId="0B8A20A1" w14:textId="77777777" w:rsidR="00E7745F" w:rsidRPr="00CF395D" w:rsidRDefault="00E7745F">
            <w:r w:rsidRPr="00CF395D">
              <w:lastRenderedPageBreak/>
              <w:t>Nizet</w:t>
            </w:r>
            <w:r w:rsidRPr="00CF395D">
              <w:rPr>
                <w:rFonts w:hint="eastAsia"/>
                <w:lang w:eastAsia="ja-JP"/>
              </w:rPr>
              <w:t>_</w:t>
            </w:r>
            <w:r w:rsidRPr="00CF395D">
              <w:t>2005</w:t>
            </w:r>
          </w:p>
        </w:tc>
        <w:tc>
          <w:tcPr>
            <w:tcW w:w="1015" w:type="dxa"/>
          </w:tcPr>
          <w:p w14:paraId="4D127862" w14:textId="77777777" w:rsidR="00E7745F" w:rsidRPr="00CF395D" w:rsidRDefault="00E7745F">
            <w:r w:rsidRPr="00CF395D">
              <w:t>Netherlands</w:t>
            </w:r>
          </w:p>
        </w:tc>
        <w:tc>
          <w:tcPr>
            <w:tcW w:w="992" w:type="dxa"/>
          </w:tcPr>
          <w:p w14:paraId="58A134C5" w14:textId="77777777" w:rsidR="00E7745F" w:rsidRPr="00CF395D" w:rsidRDefault="00E7745F">
            <w:r w:rsidRPr="00CF395D">
              <w:t>Prospective cohort; hypercapnic COPD subset</w:t>
            </w:r>
          </w:p>
        </w:tc>
        <w:tc>
          <w:tcPr>
            <w:tcW w:w="343" w:type="dxa"/>
          </w:tcPr>
          <w:p w14:paraId="3B725C5B" w14:textId="77777777" w:rsidR="00E7745F" w:rsidRPr="00CF395D" w:rsidRDefault="00E7745F">
            <w:r w:rsidRPr="00CF395D">
              <w:t>47</w:t>
            </w:r>
          </w:p>
        </w:tc>
        <w:tc>
          <w:tcPr>
            <w:tcW w:w="649" w:type="dxa"/>
          </w:tcPr>
          <w:p w14:paraId="2D4DF364" w14:textId="77777777" w:rsidR="00E7745F" w:rsidRPr="00CF395D" w:rsidRDefault="00E7745F">
            <w:r w:rsidRPr="00CF395D">
              <w:rPr>
                <w:rFonts w:hint="eastAsia"/>
                <w:lang w:eastAsia="ja-JP"/>
              </w:rPr>
              <w:t>66.3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6.7</w:t>
            </w:r>
          </w:p>
        </w:tc>
        <w:tc>
          <w:tcPr>
            <w:tcW w:w="567" w:type="dxa"/>
          </w:tcPr>
          <w:p w14:paraId="227EFF1F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59.6%</w:t>
            </w:r>
          </w:p>
        </w:tc>
        <w:tc>
          <w:tcPr>
            <w:tcW w:w="993" w:type="dxa"/>
          </w:tcPr>
          <w:p w14:paraId="7D0E2026" w14:textId="77777777" w:rsidR="00E7745F" w:rsidRPr="00CF395D" w:rsidRDefault="00E7745F">
            <w:r w:rsidRPr="00CF395D">
              <w:rPr>
                <w:rFonts w:ascii="Times New Roman" w:hAnsi="Times New Roman" w:cs="Times New Roman" w:hint="eastAsia"/>
                <w:lang w:eastAsia="ja-JP"/>
              </w:rPr>
              <w:t>32.4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14.1</w:t>
            </w:r>
          </w:p>
        </w:tc>
        <w:tc>
          <w:tcPr>
            <w:tcW w:w="850" w:type="dxa"/>
          </w:tcPr>
          <w:p w14:paraId="4DBC0AAB" w14:textId="0C6557D3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0" w:type="dxa"/>
          </w:tcPr>
          <w:p w14:paraId="21F4547B" w14:textId="2031D0B4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Current smoker: 14 (29.8%)</w:t>
            </w:r>
          </w:p>
        </w:tc>
        <w:tc>
          <w:tcPr>
            <w:tcW w:w="851" w:type="dxa"/>
          </w:tcPr>
          <w:p w14:paraId="3559C422" w14:textId="61DB2D76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lang w:eastAsia="ja-JP"/>
              </w:rPr>
              <w:t>25.6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lang w:eastAsia="ja-JP"/>
              </w:rPr>
              <w:t xml:space="preserve"> 5.5</w:t>
            </w:r>
          </w:p>
        </w:tc>
        <w:tc>
          <w:tcPr>
            <w:tcW w:w="709" w:type="dxa"/>
          </w:tcPr>
          <w:p w14:paraId="4FC610D6" w14:textId="0377646C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567" w:type="dxa"/>
          </w:tcPr>
          <w:p w14:paraId="7C80BC54" w14:textId="11529C8C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31 (66.0%)</w:t>
            </w:r>
          </w:p>
        </w:tc>
        <w:tc>
          <w:tcPr>
            <w:tcW w:w="850" w:type="dxa"/>
          </w:tcPr>
          <w:p w14:paraId="71C5D381" w14:textId="3A41D914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1" w:type="dxa"/>
          </w:tcPr>
          <w:p w14:paraId="4D4FF8C5" w14:textId="66B71D6D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1984" w:type="dxa"/>
          </w:tcPr>
          <w:p w14:paraId="6E7B105A" w14:textId="1E678F9D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</w:tr>
      <w:tr w:rsidR="00E7745F" w:rsidRPr="00CF395D" w14:paraId="0ED08AEB" w14:textId="022F3D8B" w:rsidTr="009C71F5">
        <w:tc>
          <w:tcPr>
            <w:tcW w:w="970" w:type="dxa"/>
            <w:tcBorders>
              <w:bottom w:val="single" w:sz="4" w:space="0" w:color="auto"/>
            </w:tcBorders>
          </w:tcPr>
          <w:p w14:paraId="6F533B8B" w14:textId="1296B7BF" w:rsidR="00E7745F" w:rsidRPr="00CF395D" w:rsidRDefault="00E7745F">
            <w:r w:rsidRPr="00CF395D">
              <w:t>Silva</w:t>
            </w:r>
            <w:r w:rsidR="00FD1339" w:rsidRPr="00CF395D">
              <w:rPr>
                <w:rFonts w:hint="eastAsia"/>
                <w:lang w:eastAsia="ja-JP"/>
              </w:rPr>
              <w:t>_</w:t>
            </w:r>
            <w:r w:rsidRPr="00CF395D">
              <w:t xml:space="preserve">2024 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720243A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Brazil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1AB217" w14:textId="77777777" w:rsidR="00E7745F" w:rsidRPr="00CF395D" w:rsidRDefault="00E7745F">
            <w:r w:rsidRPr="00CF395D">
              <w:t>Prospective cohort; single center</w:t>
            </w: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362F0136" w14:textId="77777777" w:rsidR="00E7745F" w:rsidRPr="00CF395D" w:rsidRDefault="00E7745F">
            <w:r w:rsidRPr="00CF395D">
              <w:t>79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444E3AD3" w14:textId="42108125" w:rsidR="00E7745F" w:rsidRPr="00CF395D" w:rsidRDefault="00E7745F">
            <w:r w:rsidRPr="00CF395D">
              <w:rPr>
                <w:rFonts w:hint="eastAsia"/>
                <w:lang w:eastAsia="ja-JP"/>
              </w:rPr>
              <w:t>66.2</w:t>
            </w:r>
            <w:r w:rsidRPr="00CF395D">
              <w:rPr>
                <w:rFonts w:ascii="Times New Roman" w:hAnsi="Times New Roman" w:cs="Times New Roman"/>
                <w:lang w:eastAsia="ja-JP"/>
              </w:rPr>
              <w:t>±</w:t>
            </w:r>
            <w:r w:rsidRPr="00CF395D">
              <w:rPr>
                <w:rFonts w:ascii="Times New Roman" w:hAnsi="Times New Roman" w:cs="Times New Roman" w:hint="eastAsia"/>
                <w:lang w:eastAsia="ja-JP"/>
              </w:rPr>
              <w:t>8.7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339210" w14:textId="7777777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65.8%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772862" w14:textId="77777777" w:rsidR="00E7745F" w:rsidRPr="00CF395D" w:rsidRDefault="00E7745F">
            <w:r w:rsidRPr="00CF395D">
              <w:rPr>
                <w:rFonts w:ascii="Times New Roman" w:hAnsi="Times New Roman" w:cs="Times New Roman" w:hint="eastAsia"/>
                <w:lang w:eastAsia="ja-JP"/>
              </w:rPr>
              <w:t>35.2 (26.3-40.3)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3BC8A4" w14:textId="5393827E" w:rsidR="00E7745F" w:rsidRPr="00CF395D" w:rsidRDefault="00E7745F">
            <w:r w:rsidRPr="00CF395D">
              <w:rPr>
                <w:rFonts w:hint="eastAsia"/>
                <w:lang w:eastAsia="ja-JP"/>
              </w:rPr>
              <w:t>1/6/37/35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5516C3" w14:textId="77EA71EE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5609D6" w14:textId="3DD23B1B" w:rsidR="00E7745F" w:rsidRPr="00CF395D" w:rsidRDefault="00E7745F">
            <w:r w:rsidRPr="00CF395D">
              <w:rPr>
                <w:rFonts w:hint="eastAsia"/>
                <w:lang w:eastAsia="ja-JP"/>
              </w:rPr>
              <w:t>24.1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1.6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C41933" w14:textId="23D36A93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NR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07BE27" w14:textId="283EA4A7" w:rsidR="00E7745F" w:rsidRPr="00CF395D" w:rsidRDefault="00E7745F">
            <w:pPr>
              <w:rPr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79 (100.0%)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C996FE" w14:textId="2044AC89" w:rsidR="00E7745F" w:rsidRPr="00CF395D" w:rsidRDefault="00E7745F" w:rsidP="00A30829">
            <w:pPr>
              <w:rPr>
                <w:rFonts w:ascii="Times New Roman" w:hAnsi="Times New Roman" w:cs="Times New Roman"/>
                <w:lang w:eastAsia="ja-JP"/>
              </w:rPr>
            </w:pPr>
            <w:r w:rsidRPr="00CF395D">
              <w:rPr>
                <w:rFonts w:hint="eastAsia"/>
                <w:lang w:eastAsia="ja-JP"/>
              </w:rPr>
              <w:t>398.8</w:t>
            </w:r>
            <w:r w:rsidRPr="00CF395D">
              <w:rPr>
                <w:rFonts w:hint="eastAsia"/>
                <w:lang w:eastAsia="ja-JP"/>
              </w:rPr>
              <w:t>±</w:t>
            </w:r>
            <w:r w:rsidRPr="00CF395D">
              <w:rPr>
                <w:rFonts w:hint="eastAsia"/>
                <w:lang w:eastAsia="ja-JP"/>
              </w:rPr>
              <w:t>107.5m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B24426" w14:textId="5136B326" w:rsidR="00E7745F" w:rsidRPr="00CF395D" w:rsidRDefault="00E7745F">
            <w:pPr>
              <w:rPr>
                <w:rFonts w:ascii="Times New Roman" w:hAnsi="Times New Roman" w:cs="Times New Roman"/>
                <w:lang w:eastAsia="ja-JP"/>
              </w:rPr>
            </w:pPr>
            <w:r w:rsidRPr="00CF395D">
              <w:rPr>
                <w:rFonts w:ascii="Times New Roman" w:hAnsi="Times New Roman" w:cs="Times New Roman" w:hint="eastAsia"/>
                <w:lang w:eastAsia="ja-JP"/>
              </w:rPr>
              <w:t>NR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589FE3" w14:textId="77777777" w:rsidR="00E7745F" w:rsidRPr="00CF395D" w:rsidRDefault="00E7745F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B4A6E35" w14:textId="77777777" w:rsidR="00FC3C10" w:rsidRDefault="00FC3C10" w:rsidP="004929BE">
      <w:pPr>
        <w:rPr>
          <w:rFonts w:ascii="Times New Roman" w:hAnsi="Times New Roman" w:cs="Times New Roman"/>
        </w:rPr>
      </w:pPr>
    </w:p>
    <w:p w14:paraId="1B90DC0C" w14:textId="1D1FE2BF" w:rsidR="004929BE" w:rsidRPr="00CF395D" w:rsidRDefault="004929BE" w:rsidP="004929BE">
      <w:pPr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6MWD, 6-minute walk distance; BMI, body mass index; CI, confidence interval; COPD, chronic obstructive pulmonary disease; FFMI, fat-free mass index; FEV₁ %pred, forced expiratory volume in 1 s, percent predicted; GOLD, Global Initiative for Chronic Obstructive Lung Disease; HR, hazard ratio; ICS, inhaled corticosteroid; IQR, interquartile range; mMRC, modified Medical Research Council dyspnea scale; NETT, National Emphysema Treatment Trial; NR, not reported; OR, odds ratio.</w:t>
      </w:r>
    </w:p>
    <w:p w14:paraId="1F567E58" w14:textId="77777777" w:rsidR="004929BE" w:rsidRPr="00CF395D" w:rsidRDefault="004929BE" w:rsidP="004929BE">
      <w:pPr>
        <w:rPr>
          <w:rFonts w:ascii="Times New Roman" w:hAnsi="Times New Roman" w:cs="Times New Roman"/>
        </w:rPr>
      </w:pPr>
    </w:p>
    <w:p w14:paraId="22B3D840" w14:textId="36C7E8E5" w:rsidR="00EA2845" w:rsidRPr="00EA2845" w:rsidRDefault="004929BE" w:rsidP="004929BE">
      <w:pPr>
        <w:rPr>
          <w:rFonts w:ascii="Times New Roman" w:hAnsi="Times New Roman" w:cs="Times New Roman"/>
          <w:lang w:eastAsia="ja-JP"/>
        </w:rPr>
      </w:pPr>
      <w:r w:rsidRPr="00CF395D">
        <w:rPr>
          <w:rFonts w:ascii="Times New Roman" w:hAnsi="Times New Roman" w:cs="Times New Roman"/>
        </w:rPr>
        <w:t xml:space="preserve">Notes: Unless otherwise specified, the outcome refers to all-cause mortality. Continuous variables are reported as mean±SD; where medians are presented, values are shown as median (IQR). Percentages are calculated from each </w:t>
      </w:r>
      <w:r w:rsidR="003E5088" w:rsidRPr="00CF395D">
        <w:rPr>
          <w:rFonts w:ascii="Times New Roman" w:hAnsi="Times New Roman" w:cs="Times New Roman"/>
        </w:rPr>
        <w:t xml:space="preserve">study's </w:t>
      </w:r>
      <w:r w:rsidRPr="00CF395D">
        <w:rPr>
          <w:rFonts w:ascii="Times New Roman" w:hAnsi="Times New Roman" w:cs="Times New Roman"/>
        </w:rPr>
        <w:t xml:space="preserve">total sample (N) unless otherwise stated. FEV₁ is </w:t>
      </w:r>
      <w:r w:rsidRPr="00CF395D">
        <w:rPr>
          <w:rFonts w:ascii="Times New Roman" w:hAnsi="Times New Roman" w:cs="Times New Roman"/>
        </w:rPr>
        <w:lastRenderedPageBreak/>
        <w:t xml:space="preserve">presented as % predicted according to each </w:t>
      </w:r>
      <w:r w:rsidR="003E5088" w:rsidRPr="00CF395D">
        <w:rPr>
          <w:rFonts w:ascii="Times New Roman" w:hAnsi="Times New Roman" w:cs="Times New Roman"/>
        </w:rPr>
        <w:t xml:space="preserve">study's </w:t>
      </w:r>
      <w:r w:rsidRPr="00CF395D">
        <w:rPr>
          <w:rFonts w:ascii="Times New Roman" w:hAnsi="Times New Roman" w:cs="Times New Roman"/>
        </w:rPr>
        <w:t xml:space="preserve">reference equations. GOLD stages are listed in the order 1/2/3/4. Smoking status follows the source definition of </w:t>
      </w:r>
      <w:r w:rsidR="003E5088" w:rsidRPr="00CF395D">
        <w:rPr>
          <w:rFonts w:ascii="Times New Roman" w:hAnsi="Times New Roman" w:cs="Times New Roman"/>
        </w:rPr>
        <w:t>"</w:t>
      </w:r>
      <w:r w:rsidRPr="00CF395D">
        <w:rPr>
          <w:rFonts w:ascii="Times New Roman" w:hAnsi="Times New Roman" w:cs="Times New Roman"/>
        </w:rPr>
        <w:t>current smoker</w:t>
      </w:r>
      <w:r w:rsidR="003E5088" w:rsidRPr="00CF395D">
        <w:rPr>
          <w:rFonts w:ascii="Times New Roman" w:hAnsi="Times New Roman" w:cs="Times New Roman"/>
        </w:rPr>
        <w:t xml:space="preserve">"; </w:t>
      </w:r>
      <w:r w:rsidRPr="00CF395D">
        <w:rPr>
          <w:rFonts w:ascii="Times New Roman" w:hAnsi="Times New Roman" w:cs="Times New Roman"/>
        </w:rPr>
        <w:t>cumulative exposure is presented as pack-years. FFMI is expressed in kg/m²; 6MWD in metres (m). ICS use denotes receipt of an inhaled corticosteroid at baseline. Items unavailable in the source are denoted as NR. Where effect estimates were harmoni</w:t>
      </w:r>
      <w:r w:rsidR="003451AD" w:rsidRPr="00CF395D">
        <w:rPr>
          <w:rFonts w:ascii="Times New Roman" w:hAnsi="Times New Roman" w:cs="Times New Roman"/>
        </w:rPr>
        <w:t>z</w:t>
      </w:r>
      <w:r w:rsidRPr="00CF395D">
        <w:rPr>
          <w:rFonts w:ascii="Times New Roman" w:hAnsi="Times New Roman" w:cs="Times New Roman"/>
        </w:rPr>
        <w:t>ed across reporting scales (e.g., per 10 units to per 1 unit), a log-linear relationship was assumed.</w:t>
      </w:r>
    </w:p>
    <w:sectPr w:rsidR="00EA2845" w:rsidRPr="00EA2845" w:rsidSect="00EA2845">
      <w:footerReference w:type="even" r:id="rId8"/>
      <w:footerReference w:type="default" r:id="rId9"/>
      <w:footerReference w:type="first" r:id="rId10"/>
      <w:pgSz w:w="15840" w:h="12240" w:orient="landscape" w:code="1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A241" w14:textId="77777777" w:rsidR="00341525" w:rsidRDefault="00341525" w:rsidP="0030544D">
      <w:pPr>
        <w:spacing w:after="0" w:line="240" w:lineRule="auto"/>
      </w:pPr>
      <w:r>
        <w:separator/>
      </w:r>
    </w:p>
  </w:endnote>
  <w:endnote w:type="continuationSeparator" w:id="0">
    <w:p w14:paraId="1549928D" w14:textId="77777777" w:rsidR="00341525" w:rsidRDefault="00341525" w:rsidP="0030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BCA" w14:textId="04F8B5C0" w:rsidR="00FD6B17" w:rsidRDefault="00FD6B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614BD5" wp14:editId="475BEF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2412999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C4E62" w14:textId="0C07E1C4" w:rsidR="00FD6B17" w:rsidRPr="00FD6B17" w:rsidRDefault="00FD6B17" w:rsidP="00FD6B1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6B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14B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6C4E62" w14:textId="0C07E1C4" w:rsidR="00FD6B17" w:rsidRPr="00FD6B17" w:rsidRDefault="00FD6B17" w:rsidP="00FD6B1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6B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FB66" w14:textId="740E7638" w:rsidR="00FD6B17" w:rsidRDefault="00FD6B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DA4996" wp14:editId="57A4F85F">
              <wp:simplePos x="914400" y="7153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21017282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DC548" w14:textId="06265BF6" w:rsidR="00FD6B17" w:rsidRPr="00FD6B17" w:rsidRDefault="00FD6B17" w:rsidP="00FD6B1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6B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A49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91DC548" w14:textId="06265BF6" w:rsidR="00FD6B17" w:rsidRPr="00FD6B17" w:rsidRDefault="00FD6B17" w:rsidP="00FD6B1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6B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4F36" w14:textId="3EBD6BF3" w:rsidR="00FD6B17" w:rsidRDefault="00FD6B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E310C3" wp14:editId="451467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8405576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D9983" w14:textId="1AB6EECA" w:rsidR="00FD6B17" w:rsidRPr="00FD6B17" w:rsidRDefault="00FD6B17" w:rsidP="00FD6B1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6B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310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EBD9983" w14:textId="1AB6EECA" w:rsidR="00FD6B17" w:rsidRPr="00FD6B17" w:rsidRDefault="00FD6B17" w:rsidP="00FD6B1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6B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688D" w14:textId="77777777" w:rsidR="00341525" w:rsidRDefault="00341525" w:rsidP="0030544D">
      <w:pPr>
        <w:spacing w:after="0" w:line="240" w:lineRule="auto"/>
      </w:pPr>
      <w:r>
        <w:separator/>
      </w:r>
    </w:p>
  </w:footnote>
  <w:footnote w:type="continuationSeparator" w:id="0">
    <w:p w14:paraId="12EBD69E" w14:textId="77777777" w:rsidR="00341525" w:rsidRDefault="00341525" w:rsidP="0030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8973429">
    <w:abstractNumId w:val="8"/>
  </w:num>
  <w:num w:numId="2" w16cid:durableId="274018959">
    <w:abstractNumId w:val="6"/>
  </w:num>
  <w:num w:numId="3" w16cid:durableId="1081869678">
    <w:abstractNumId w:val="5"/>
  </w:num>
  <w:num w:numId="4" w16cid:durableId="415833670">
    <w:abstractNumId w:val="4"/>
  </w:num>
  <w:num w:numId="5" w16cid:durableId="751925675">
    <w:abstractNumId w:val="7"/>
  </w:num>
  <w:num w:numId="6" w16cid:durableId="238298696">
    <w:abstractNumId w:val="3"/>
  </w:num>
  <w:num w:numId="7" w16cid:durableId="65803136">
    <w:abstractNumId w:val="2"/>
  </w:num>
  <w:num w:numId="8" w16cid:durableId="1050806165">
    <w:abstractNumId w:val="1"/>
  </w:num>
  <w:num w:numId="9" w16cid:durableId="7197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wMDE0NTA1NDCwtDBW0lEKTi0uzszPAykwqgUAp2xJ3ywAAAA="/>
  </w:docVars>
  <w:rsids>
    <w:rsidRoot w:val="00B47730"/>
    <w:rsid w:val="00034616"/>
    <w:rsid w:val="00040509"/>
    <w:rsid w:val="00052837"/>
    <w:rsid w:val="0006063C"/>
    <w:rsid w:val="00105910"/>
    <w:rsid w:val="0015074B"/>
    <w:rsid w:val="001A62E5"/>
    <w:rsid w:val="00222F8F"/>
    <w:rsid w:val="00273BD9"/>
    <w:rsid w:val="0029639D"/>
    <w:rsid w:val="002B75A9"/>
    <w:rsid w:val="0030544D"/>
    <w:rsid w:val="00326F90"/>
    <w:rsid w:val="00341525"/>
    <w:rsid w:val="003451AD"/>
    <w:rsid w:val="00374521"/>
    <w:rsid w:val="003E5088"/>
    <w:rsid w:val="003F448A"/>
    <w:rsid w:val="004847B5"/>
    <w:rsid w:val="004929BE"/>
    <w:rsid w:val="004B42BA"/>
    <w:rsid w:val="0053525C"/>
    <w:rsid w:val="00553B33"/>
    <w:rsid w:val="005A552D"/>
    <w:rsid w:val="005E0774"/>
    <w:rsid w:val="005E5B00"/>
    <w:rsid w:val="006650B2"/>
    <w:rsid w:val="0067596A"/>
    <w:rsid w:val="00676721"/>
    <w:rsid w:val="00684771"/>
    <w:rsid w:val="00784893"/>
    <w:rsid w:val="007B5AF1"/>
    <w:rsid w:val="00811B08"/>
    <w:rsid w:val="008467E6"/>
    <w:rsid w:val="009C71F5"/>
    <w:rsid w:val="00A30829"/>
    <w:rsid w:val="00A40810"/>
    <w:rsid w:val="00AA1D8D"/>
    <w:rsid w:val="00AC77E3"/>
    <w:rsid w:val="00B2442D"/>
    <w:rsid w:val="00B47730"/>
    <w:rsid w:val="00BE3A11"/>
    <w:rsid w:val="00C1008F"/>
    <w:rsid w:val="00C62B3E"/>
    <w:rsid w:val="00C72E12"/>
    <w:rsid w:val="00C85038"/>
    <w:rsid w:val="00CB0664"/>
    <w:rsid w:val="00CD3264"/>
    <w:rsid w:val="00CF395D"/>
    <w:rsid w:val="00D01174"/>
    <w:rsid w:val="00D57428"/>
    <w:rsid w:val="00DA0C42"/>
    <w:rsid w:val="00E17B37"/>
    <w:rsid w:val="00E47F8A"/>
    <w:rsid w:val="00E7745F"/>
    <w:rsid w:val="00EA2845"/>
    <w:rsid w:val="00EB41A9"/>
    <w:rsid w:val="00EE3DE9"/>
    <w:rsid w:val="00F55C44"/>
    <w:rsid w:val="00F61880"/>
    <w:rsid w:val="00F83FAD"/>
    <w:rsid w:val="00FC3C10"/>
    <w:rsid w:val="00FC4637"/>
    <w:rsid w:val="00FC693F"/>
    <w:rsid w:val="00FC768C"/>
    <w:rsid w:val="00FD1339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BEF03"/>
  <w14:defaultImageDpi w14:val="300"/>
  <w15:docId w15:val="{B69CC770-6833-47C3-AF5F-651DE5F9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53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Spence, Oliver</cp:lastModifiedBy>
  <cp:revision>15</cp:revision>
  <dcterms:created xsi:type="dcterms:W3CDTF">2025-11-05T04:27:00Z</dcterms:created>
  <dcterms:modified xsi:type="dcterms:W3CDTF">2025-12-01T23:00:00Z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3219e45e,e61f21a,7d45d41f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2025-12-01T23:00:20Z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ee5a624c-8fb3-4951-b70b-9d2aae14b18c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