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2CBA" w14:textId="1BCDB6CF" w:rsidR="00663298" w:rsidRPr="008E1212" w:rsidRDefault="0094518F" w:rsidP="00663298">
      <w:pPr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noProof/>
          <w:color w:val="000000"/>
          <w:szCs w:val="20"/>
          <w14:ligatures w14:val="standardContextual"/>
        </w:rPr>
        <w:drawing>
          <wp:inline distT="0" distB="0" distL="0" distR="0" wp14:anchorId="3DEAF146" wp14:editId="22E4CCF7">
            <wp:extent cx="5274310" cy="43491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A154" w14:textId="77777777" w:rsidR="00663298" w:rsidRPr="008E1212" w:rsidRDefault="00663298" w:rsidP="00663298">
      <w:pPr>
        <w:jc w:val="both"/>
        <w:rPr>
          <w:rFonts w:ascii="Times New Roman" w:hAnsi="Times New Roman"/>
          <w:color w:val="000000"/>
          <w:szCs w:val="20"/>
        </w:rPr>
      </w:pPr>
      <w:r w:rsidRPr="008E1212">
        <w:rPr>
          <w:rFonts w:ascii="Times New Roman" w:hAnsi="Times New Roman"/>
          <w:b/>
          <w:bCs/>
          <w:color w:val="000000"/>
          <w:szCs w:val="20"/>
        </w:rPr>
        <w:t xml:space="preserve">Figure </w:t>
      </w:r>
      <w:r w:rsidRPr="008E1212">
        <w:rPr>
          <w:rFonts w:ascii="Times New Roman" w:hAnsi="Times New Roman"/>
          <w:b/>
          <w:bCs/>
          <w:color w:val="000000"/>
          <w:szCs w:val="20"/>
          <w:lang w:eastAsia="zh-CN"/>
        </w:rPr>
        <w:t>S</w:t>
      </w:r>
      <w:r w:rsidRPr="008E1212">
        <w:rPr>
          <w:rFonts w:ascii="Times New Roman" w:hAnsi="Times New Roman"/>
          <w:b/>
          <w:bCs/>
          <w:color w:val="000000"/>
          <w:szCs w:val="20"/>
        </w:rPr>
        <w:t>1</w:t>
      </w:r>
      <w:r w:rsidRPr="008E1212">
        <w:rPr>
          <w:rFonts w:ascii="Times New Roman" w:hAnsi="Times New Roman"/>
          <w:color w:val="000000"/>
          <w:szCs w:val="20"/>
        </w:rPr>
        <w:t xml:space="preserve">: </w:t>
      </w:r>
      <w:r w:rsidRPr="008E1212">
        <w:rPr>
          <w:rFonts w:ascii="Times New Roman" w:hAnsi="Times New Roman"/>
          <w:b/>
          <w:bCs/>
          <w:color w:val="000000"/>
          <w:szCs w:val="20"/>
        </w:rPr>
        <w:t>Distribution of Pathogens Detected by mNGS and Standard Methods.</w:t>
      </w:r>
      <w:r w:rsidRPr="008E1212">
        <w:rPr>
          <w:rFonts w:ascii="Times New Roman" w:hAnsi="Times New Roman"/>
          <w:color w:val="000000"/>
          <w:szCs w:val="20"/>
        </w:rPr>
        <w:t xml:space="preserve"> mNGS achieved an overall pathogen detection rate of 92%, significantly outperforming traditional culture methods, which detected pathogens in 72% of the cases. The Venn diagram in this figure highlights the overlap between the two methods, showing that mNGS detected 20% more pathogens that were missed by culture, particularly in non-responder patients. Non-responders, who failed to improve with standard antibiotic therapy, had a higher incidence of difficult-to-culture pathogens like Aspergillus and Pseudomonas, which were often only identified by mNGS.</w:t>
      </w:r>
    </w:p>
    <w:p w14:paraId="52F1F17A" w14:textId="77777777" w:rsidR="00261989" w:rsidRDefault="00261989"/>
    <w:sectPr w:rsidR="0026198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D562" w14:textId="77777777" w:rsidR="007E775B" w:rsidRDefault="007E775B" w:rsidP="000F27A2">
      <w:pPr>
        <w:spacing w:line="240" w:lineRule="auto"/>
      </w:pPr>
      <w:r>
        <w:separator/>
      </w:r>
    </w:p>
  </w:endnote>
  <w:endnote w:type="continuationSeparator" w:id="0">
    <w:p w14:paraId="15208E09" w14:textId="77777777" w:rsidR="007E775B" w:rsidRDefault="007E775B" w:rsidP="000F2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D1FC" w14:textId="6A3E47C4" w:rsidR="000F27A2" w:rsidRDefault="000F27A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54113A" wp14:editId="687E61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061068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7CB3E" w14:textId="3E8CED67" w:rsidR="000F27A2" w:rsidRPr="000F27A2" w:rsidRDefault="000F27A2" w:rsidP="000F27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7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411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287CB3E" w14:textId="3E8CED67" w:rsidR="000F27A2" w:rsidRPr="000F27A2" w:rsidRDefault="000F27A2" w:rsidP="000F27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7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37BC" w14:textId="337182D3" w:rsidR="000F27A2" w:rsidRDefault="000F27A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B498CB" wp14:editId="7249796F">
              <wp:simplePos x="1145969" y="991589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8768174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1B283" w14:textId="48EA2A13" w:rsidR="000F27A2" w:rsidRPr="000F27A2" w:rsidRDefault="000F27A2" w:rsidP="000F27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7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498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C1B283" w14:textId="48EA2A13" w:rsidR="000F27A2" w:rsidRPr="000F27A2" w:rsidRDefault="000F27A2" w:rsidP="000F27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7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FA8F" w14:textId="166B52BB" w:rsidR="000F27A2" w:rsidRDefault="000F27A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519A30" wp14:editId="5E236D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301777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9124C" w14:textId="155F9699" w:rsidR="000F27A2" w:rsidRPr="000F27A2" w:rsidRDefault="000F27A2" w:rsidP="000F27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27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19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299124C" w14:textId="155F9699" w:rsidR="000F27A2" w:rsidRPr="000F27A2" w:rsidRDefault="000F27A2" w:rsidP="000F27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27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7E08" w14:textId="77777777" w:rsidR="007E775B" w:rsidRDefault="007E775B" w:rsidP="000F27A2">
      <w:pPr>
        <w:spacing w:line="240" w:lineRule="auto"/>
      </w:pPr>
      <w:r>
        <w:separator/>
      </w:r>
    </w:p>
  </w:footnote>
  <w:footnote w:type="continuationSeparator" w:id="0">
    <w:p w14:paraId="24E93879" w14:textId="77777777" w:rsidR="007E775B" w:rsidRDefault="007E775B" w:rsidP="000F27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8"/>
    <w:rsid w:val="00090288"/>
    <w:rsid w:val="000C4A94"/>
    <w:rsid w:val="000F27A2"/>
    <w:rsid w:val="000F2D86"/>
    <w:rsid w:val="00113470"/>
    <w:rsid w:val="00117EB0"/>
    <w:rsid w:val="0016268C"/>
    <w:rsid w:val="00183250"/>
    <w:rsid w:val="00211F5A"/>
    <w:rsid w:val="00261989"/>
    <w:rsid w:val="002A600B"/>
    <w:rsid w:val="00301394"/>
    <w:rsid w:val="003200D4"/>
    <w:rsid w:val="003F417D"/>
    <w:rsid w:val="00423FEA"/>
    <w:rsid w:val="005531BC"/>
    <w:rsid w:val="005B6220"/>
    <w:rsid w:val="005D7EE3"/>
    <w:rsid w:val="00663298"/>
    <w:rsid w:val="00664F94"/>
    <w:rsid w:val="00673022"/>
    <w:rsid w:val="006810D5"/>
    <w:rsid w:val="006A1146"/>
    <w:rsid w:val="006C095F"/>
    <w:rsid w:val="007042B9"/>
    <w:rsid w:val="007C7892"/>
    <w:rsid w:val="007E775B"/>
    <w:rsid w:val="00864535"/>
    <w:rsid w:val="0094518F"/>
    <w:rsid w:val="009D013B"/>
    <w:rsid w:val="00A265E2"/>
    <w:rsid w:val="00A50F9E"/>
    <w:rsid w:val="00AB5895"/>
    <w:rsid w:val="00B042BF"/>
    <w:rsid w:val="00B102FA"/>
    <w:rsid w:val="00B2592A"/>
    <w:rsid w:val="00BC7478"/>
    <w:rsid w:val="00C32893"/>
    <w:rsid w:val="00E47291"/>
    <w:rsid w:val="00ED2FCF"/>
    <w:rsid w:val="00ED508B"/>
    <w:rsid w:val="00ED5E38"/>
    <w:rsid w:val="00F13273"/>
    <w:rsid w:val="00FA2DCC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4AA9"/>
  <w15:chartTrackingRefBased/>
  <w15:docId w15:val="{872D9CA1-55DF-4C4C-AD9A-93C8E711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98"/>
    <w:pPr>
      <w:spacing w:after="0" w:line="480" w:lineRule="auto"/>
    </w:pPr>
    <w:rPr>
      <w:rFonts w:ascii="Arial" w:hAnsi="Arial" w:cs="Times New Roman"/>
      <w:kern w:val="0"/>
      <w:sz w:val="2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6329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66329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63298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7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A2"/>
    <w:rPr>
      <w:rFonts w:ascii="Arial" w:hAnsi="Arial" w:cs="Times New Roman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 editor</dc:creator>
  <cp:keywords/>
  <dc:description/>
  <cp:lastModifiedBy>Shaw, Grace</cp:lastModifiedBy>
  <cp:revision>3</cp:revision>
  <dcterms:created xsi:type="dcterms:W3CDTF">2025-10-29T16:01:00Z</dcterms:created>
  <dcterms:modified xsi:type="dcterms:W3CDTF">2025-11-02T22:04:00Z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db83ba9,123ed1b3,6fddf606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2025-11-02T22:04:17Z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fb91682b-3a68-4619-863d-8de387e7c3ab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