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16A8">
      <w:pPr>
        <w:spacing w:line="276" w:lineRule="auto"/>
        <w:rPr>
          <w:rFonts w:hint="default" w:ascii="Times New Roman Regular" w:hAnsi="Times New Roman Regular" w:eastAsia="PingFang SC" w:cs="Times New Roman Regular"/>
          <w:b w:val="0"/>
          <w:bCs w:val="0"/>
          <w:sz w:val="22"/>
          <w:szCs w:val="22"/>
        </w:rPr>
      </w:pPr>
      <w:bookmarkStart w:id="0" w:name="_GoBack"/>
      <w:bookmarkEnd w:id="0"/>
      <w:r>
        <w:rPr>
          <w:rFonts w:hint="default" w:ascii="Times New Roman Regular" w:hAnsi="Times New Roman Regular" w:eastAsia="PingFang SC" w:cs="Times New Roman Regular"/>
          <w:b w:val="0"/>
          <w:bCs w:val="0"/>
          <w:sz w:val="22"/>
          <w:szCs w:val="22"/>
          <w:highlight w:val="none"/>
        </w:rPr>
        <w:t>Appendix 1.</w:t>
      </w:r>
      <w:r>
        <w:rPr>
          <w:rFonts w:hint="default" w:ascii="Times New Roman Regular" w:hAnsi="Times New Roman Regular" w:eastAsia="PingFang SC" w:cs="Times New Roman Regular"/>
          <w:b w:val="0"/>
          <w:bCs w:val="0"/>
          <w:sz w:val="22"/>
          <w:szCs w:val="22"/>
        </w:rPr>
        <w:t xml:space="preserve"> Comparison of resilience, hope, social relations, and marital relations across different levels of depressive symptoms (N = 315).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2510"/>
        <w:gridCol w:w="2152"/>
        <w:gridCol w:w="3092"/>
        <w:gridCol w:w="1183"/>
        <w:gridCol w:w="1399"/>
      </w:tblGrid>
      <w:tr w14:paraId="0F24D8DA">
        <w:trPr>
          <w:trHeight w:val="151" w:hRule="atLeast"/>
        </w:trPr>
        <w:tc>
          <w:tcPr>
            <w:tcW w:w="3316" w:type="dxa"/>
            <w:vMerge w:val="restart"/>
            <w:tcBorders>
              <w:tl2br w:val="nil"/>
              <w:tr2bl w:val="nil"/>
            </w:tcBorders>
            <w:vAlign w:val="center"/>
          </w:tcPr>
          <w:p w14:paraId="0D1DC4A3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7754" w:type="dxa"/>
            <w:gridSpan w:val="3"/>
            <w:tcBorders>
              <w:bottom w:val="single" w:color="auto" w:sz="4" w:space="0"/>
              <w:tl2br w:val="nil"/>
              <w:tr2bl w:val="nil"/>
            </w:tcBorders>
          </w:tcPr>
          <w:p w14:paraId="732A6BDB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>Depressive symptoms</w:t>
            </w:r>
          </w:p>
        </w:tc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14:paraId="4E78EB9C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vAlign w:val="center"/>
          </w:tcPr>
          <w:p w14:paraId="0C108296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/>
                <w:iCs/>
                <w:sz w:val="20"/>
                <w:szCs w:val="20"/>
              </w:rPr>
              <w:t>Pairwise comparison</w:t>
            </w:r>
          </w:p>
        </w:tc>
      </w:tr>
      <w:tr w14:paraId="05D4F878">
        <w:trPr>
          <w:trHeight w:val="151" w:hRule="atLeast"/>
        </w:trPr>
        <w:tc>
          <w:tcPr>
            <w:tcW w:w="3316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 w14:paraId="275C0B41">
            <w:pPr>
              <w:spacing w:line="276" w:lineRule="auto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bottom w:val="single" w:color="auto" w:sz="4" w:space="0"/>
              <w:tl2br w:val="nil"/>
              <w:tr2bl w:val="nil"/>
            </w:tcBorders>
          </w:tcPr>
          <w:p w14:paraId="5FC811AA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>① None (n=151)</w:t>
            </w:r>
          </w:p>
        </w:tc>
        <w:tc>
          <w:tcPr>
            <w:tcW w:w="2152" w:type="dxa"/>
            <w:tcBorders>
              <w:bottom w:val="single" w:color="auto" w:sz="4" w:space="0"/>
              <w:tl2br w:val="nil"/>
              <w:tr2bl w:val="nil"/>
            </w:tcBorders>
          </w:tcPr>
          <w:p w14:paraId="7C372447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>② Mild (n=126)</w:t>
            </w:r>
          </w:p>
        </w:tc>
        <w:tc>
          <w:tcPr>
            <w:tcW w:w="3092" w:type="dxa"/>
            <w:tcBorders>
              <w:bottom w:val="single" w:color="auto" w:sz="4" w:space="0"/>
              <w:tl2br w:val="nil"/>
              <w:tr2bl w:val="nil"/>
            </w:tcBorders>
          </w:tcPr>
          <w:p w14:paraId="4E2C1FE6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 xml:space="preserve"> ③ Moderate - to - severe (n=38)</w:t>
            </w:r>
          </w:p>
        </w:tc>
        <w:tc>
          <w:tcPr>
            <w:tcW w:w="1183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 w14:paraId="5B721605">
            <w:pPr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</w:p>
        </w:tc>
        <w:tc>
          <w:tcPr>
            <w:tcW w:w="1399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 w14:paraId="20C7E10F">
            <w:pPr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</w:p>
        </w:tc>
      </w:tr>
      <w:tr w14:paraId="21EBCFF0">
        <w:tc>
          <w:tcPr>
            <w:tcW w:w="3316" w:type="dxa"/>
            <w:tcBorders>
              <w:tl2br w:val="nil"/>
              <w:tr2bl w:val="nil"/>
            </w:tcBorders>
          </w:tcPr>
          <w:p w14:paraId="2BA40AEC">
            <w:pPr>
              <w:spacing w:line="276" w:lineRule="auto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>HHI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7153CCC7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39.71 ± 4.58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01025F4D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36.58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±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 3.92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6EF0CCD8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33.89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2.65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0C970AC0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52.972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3EBB45AF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①&gt;②&gt;③</w:t>
            </w:r>
          </w:p>
        </w:tc>
      </w:tr>
      <w:tr w14:paraId="5C9EBC15">
        <w:tc>
          <w:tcPr>
            <w:tcW w:w="3316" w:type="dxa"/>
            <w:tcBorders>
              <w:tl2br w:val="nil"/>
              <w:tr2bl w:val="nil"/>
            </w:tcBorders>
          </w:tcPr>
          <w:p w14:paraId="63C4ACB2">
            <w:pPr>
              <w:spacing w:line="276" w:lineRule="auto"/>
              <w:jc w:val="center"/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sz w:val="22"/>
                <w:szCs w:val="22"/>
              </w:rPr>
              <w:t>Temporality and Future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753E47CC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13.48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±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 1.60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0589D8A4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12.33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1.56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7701AD95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11.18 ± 1.23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1F274ADC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49.531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40E5D378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①&gt;②&gt;③</w:t>
            </w:r>
          </w:p>
        </w:tc>
      </w:tr>
      <w:tr w14:paraId="09B84DB3">
        <w:tc>
          <w:tcPr>
            <w:tcW w:w="3316" w:type="dxa"/>
            <w:tcBorders>
              <w:tl2br w:val="nil"/>
              <w:tr2bl w:val="nil"/>
            </w:tcBorders>
          </w:tcPr>
          <w:p w14:paraId="0205BDEE">
            <w:pPr>
              <w:spacing w:line="276" w:lineRule="auto"/>
              <w:jc w:val="center"/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sz w:val="22"/>
                <w:szCs w:val="22"/>
              </w:rPr>
              <w:t>Positive Readiness and Expectancy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7E26207B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12.85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1.74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6E8CDEE6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12.04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1.31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641F18EB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11.42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1.06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1DD026F4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21.769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5DB6FE26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①&gt;②&gt;③</w:t>
            </w:r>
          </w:p>
        </w:tc>
      </w:tr>
      <w:tr w14:paraId="0FB419EF">
        <w:tc>
          <w:tcPr>
            <w:tcW w:w="3316" w:type="dxa"/>
            <w:tcBorders>
              <w:tl2br w:val="nil"/>
              <w:tr2bl w:val="nil"/>
            </w:tcBorders>
          </w:tcPr>
          <w:p w14:paraId="0473B1D2">
            <w:pPr>
              <w:spacing w:line="276" w:lineRule="auto"/>
              <w:jc w:val="center"/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PingFang SC" w:cs="Times New Roman Regular"/>
                <w:b w:val="0"/>
                <w:bCs w:val="0"/>
                <w:sz w:val="22"/>
                <w:szCs w:val="22"/>
              </w:rPr>
              <w:t>Interconnectedness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45079BFF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13.38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1.70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443109E7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12.21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1.54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6536456D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11.29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± 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.98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393F8FA3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49.816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7423FF70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①&gt;②&gt;③</w:t>
            </w:r>
          </w:p>
        </w:tc>
      </w:tr>
      <w:tr w14:paraId="248424A2">
        <w:trPr>
          <w:trHeight w:val="90" w:hRule="atLeast"/>
        </w:trPr>
        <w:tc>
          <w:tcPr>
            <w:tcW w:w="3316" w:type="dxa"/>
            <w:tcBorders>
              <w:tl2br w:val="nil"/>
              <w:tr2bl w:val="nil"/>
            </w:tcBorders>
          </w:tcPr>
          <w:p w14:paraId="3A40FB86">
            <w:pPr>
              <w:rPr>
                <w:rFonts w:hint="default" w:ascii="Times New Roman Regular" w:hAnsi="Times New Roman Regular" w:cs="Times New Roman Regular"/>
                <w:b w:val="0"/>
                <w:bCs w:val="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0"/>
                <w:szCs w:val="20"/>
              </w:rPr>
              <w:t>CD-RISC-10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55FEE3FC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31.83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5.63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5C4CC7B6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26.39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6.03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4A871F2E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 xml:space="preserve">22.50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5.73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729A85EA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53.514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04463DD5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2"/>
                <w:szCs w:val="22"/>
              </w:rPr>
              <w:t>①&gt;②&gt;③</w:t>
            </w:r>
          </w:p>
        </w:tc>
      </w:tr>
      <w:tr w14:paraId="36701D93">
        <w:tc>
          <w:tcPr>
            <w:tcW w:w="3316" w:type="dxa"/>
            <w:tcBorders>
              <w:tl2br w:val="nil"/>
              <w:tr2bl w:val="nil"/>
            </w:tcBorders>
          </w:tcPr>
          <w:p w14:paraId="1B2C3C82">
            <w:pPr>
              <w:spacing w:line="276" w:lineRule="auto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0"/>
                <w:szCs w:val="20"/>
              </w:rPr>
              <w:t>Social Relations subscale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64AB44B0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 xml:space="preserve">82.67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12.26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27948B01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 xml:space="preserve">72.59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12.36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502F805E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 xml:space="preserve">61.51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13.95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58FCA8C4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>51.610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6A6B929E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>①&gt;②&gt;③</w:t>
            </w:r>
          </w:p>
        </w:tc>
      </w:tr>
      <w:tr w14:paraId="39A7A64F">
        <w:tc>
          <w:tcPr>
            <w:tcW w:w="3316" w:type="dxa"/>
            <w:tcBorders>
              <w:tl2br w:val="nil"/>
              <w:tr2bl w:val="nil"/>
            </w:tcBorders>
          </w:tcPr>
          <w:p w14:paraId="202EBF00">
            <w:pPr>
              <w:spacing w:line="276" w:lineRule="auto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0"/>
                <w:szCs w:val="20"/>
              </w:rPr>
              <w:t>Marriage Relations subscale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1B9F6369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 xml:space="preserve">75.06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14.57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31155CA0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 xml:space="preserve">68.95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13.95</w:t>
            </w:r>
          </w:p>
        </w:tc>
        <w:tc>
          <w:tcPr>
            <w:tcW w:w="3092" w:type="dxa"/>
            <w:tcBorders>
              <w:tl2br w:val="nil"/>
              <w:tr2bl w:val="nil"/>
            </w:tcBorders>
          </w:tcPr>
          <w:p w14:paraId="3D5251C0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 xml:space="preserve">62.39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 xml:space="preserve">±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12.39</w:t>
            </w:r>
          </w:p>
        </w:tc>
        <w:tc>
          <w:tcPr>
            <w:tcW w:w="1183" w:type="dxa"/>
            <w:tcBorders>
              <w:tl2br w:val="nil"/>
              <w:tr2bl w:val="nil"/>
            </w:tcBorders>
          </w:tcPr>
          <w:p w14:paraId="2F2A7C37">
            <w:pPr>
              <w:spacing w:line="276" w:lineRule="auto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>14.701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color w:val="auto"/>
                <w:sz w:val="22"/>
                <w:szCs w:val="22"/>
              </w:rPr>
              <w:t>***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14:paraId="19BDA037">
            <w:pPr>
              <w:spacing w:line="276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color w:val="auto"/>
                <w:sz w:val="22"/>
                <w:szCs w:val="22"/>
              </w:rPr>
              <w:t>①&gt;②&gt;③</w:t>
            </w:r>
          </w:p>
        </w:tc>
      </w:tr>
    </w:tbl>
    <w:p w14:paraId="284713E4">
      <w:pPr>
        <w:rPr>
          <w:rFonts w:hint="default" w:ascii="Times New Roman Regular" w:hAnsi="Times New Roman Regular" w:eastAsia="宋体" w:cs="Times New Roman Regular"/>
          <w:b w:val="0"/>
          <w:bCs w:val="0"/>
          <w:sz w:val="22"/>
          <w:szCs w:val="22"/>
        </w:rPr>
      </w:pPr>
      <w:r>
        <w:rPr>
          <w:rFonts w:hint="default" w:ascii="Times New Roman Regular" w:hAnsi="Times New Roman Regular" w:eastAsia="Times New Roman" w:cs="Times New Roman Regular"/>
          <w:b w:val="0"/>
          <w:bCs w:val="0"/>
          <w:sz w:val="22"/>
          <w:szCs w:val="22"/>
        </w:rPr>
        <w:t>Abbreviations: HHI, Herth Hope Index; CD-RISC-10, 10-item Connor-Davidson Resilence Scale.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2"/>
          <w:szCs w:val="22"/>
        </w:rPr>
        <w:t xml:space="preserve"> </w:t>
      </w:r>
    </w:p>
    <w:p w14:paraId="0CBBFDD3">
      <w:pPr>
        <w:rPr>
          <w:rFonts w:hint="default" w:ascii="Times New Roman Regular" w:hAnsi="Times New Roman Regular" w:cs="Times New Roman Regular"/>
          <w:b w:val="0"/>
          <w:bCs w:val="0"/>
          <w:sz w:val="22"/>
          <w:szCs w:val="22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2"/>
          <w:szCs w:val="22"/>
        </w:rPr>
        <w:t>***P &lt; 0.001.</w:t>
      </w:r>
    </w:p>
    <w:p w14:paraId="51153B17"/>
    <w:p w14:paraId="145C6752"/>
    <w:p w14:paraId="6A701F05"/>
    <w:p w14:paraId="160AEA18"/>
    <w:p w14:paraId="173BB277"/>
    <w:p w14:paraId="3F699056"/>
    <w:p w14:paraId="6BE69E48"/>
    <w:p w14:paraId="5971B62E"/>
    <w:p w14:paraId="0973D2AE"/>
    <w:p w14:paraId="45D86ABE"/>
    <w:p w14:paraId="75D833CB"/>
    <w:p w14:paraId="33E59EAB"/>
    <w:p w14:paraId="4D8BA7C6">
      <w:pPr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</w:rPr>
        <w:t xml:space="preserve">Appendix 2. </w:t>
      </w:r>
      <w:r>
        <w:rPr>
          <w:rFonts w:hint="eastAsia" w:ascii="Times New Roman Regular" w:hAnsi="Times New Roman Regular" w:cs="Times New Roman Regular"/>
          <w:sz w:val="24"/>
        </w:rPr>
        <w:t>Group differences in primary variables by demographic variables and disease-related variables (N = 315).</w:t>
      </w:r>
    </w:p>
    <w:p w14:paraId="4910DC6F">
      <w:pPr>
        <w:spacing w:line="480" w:lineRule="auto"/>
        <w:rPr>
          <w:rFonts w:ascii="Times New Roman Regular" w:hAnsi="Times New Roman Regular" w:cs="Times New Roman Regular"/>
          <w:sz w:val="24"/>
        </w:rPr>
        <w:sectPr>
          <w:pgSz w:w="16838" w:h="11906" w:orient="landscape"/>
          <w:pgMar w:top="1701" w:right="1701" w:bottom="1701" w:left="1701" w:header="851" w:footer="992" w:gutter="0"/>
          <w:lnNumType w:countBy="1" w:restart="continuous"/>
          <w:cols w:space="0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256" w:tblpY="1796"/>
        <w:tblOverlap w:val="never"/>
        <w:tblW w:w="15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713"/>
        <w:gridCol w:w="1439"/>
        <w:gridCol w:w="1683"/>
        <w:gridCol w:w="1463"/>
        <w:gridCol w:w="1556"/>
        <w:gridCol w:w="1504"/>
        <w:gridCol w:w="1572"/>
        <w:gridCol w:w="1606"/>
        <w:gridCol w:w="1612"/>
      </w:tblGrid>
      <w:tr w14:paraId="563BE108">
        <w:trPr>
          <w:trHeight w:val="1235" w:hRule="atLeast"/>
        </w:trPr>
        <w:tc>
          <w:tcPr>
            <w:tcW w:w="300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D78DA6">
            <w:pPr>
              <w:jc w:val="center"/>
              <w:rPr>
                <w:rFonts w:ascii="Times New Roman Bold" w:hAnsi="Times New Roman Bold" w:eastAsia="宋体" w:cs="Times New Roman Bold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Varibales</w:t>
            </w:r>
          </w:p>
        </w:tc>
        <w:tc>
          <w:tcPr>
            <w:tcW w:w="143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326719">
            <w:pPr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PHQ-9</w:t>
            </w:r>
          </w:p>
        </w:tc>
        <w:tc>
          <w:tcPr>
            <w:tcW w:w="168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BED6F94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HHI</w:t>
            </w:r>
          </w:p>
        </w:tc>
        <w:tc>
          <w:tcPr>
            <w:tcW w:w="146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E0475F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PingFang SC" w:cs="Times New Roman Regular"/>
                <w:color w:val="000000"/>
                <w:sz w:val="22"/>
                <w:szCs w:val="22"/>
              </w:rPr>
              <w:t>Temporality and Future</w:t>
            </w:r>
          </w:p>
        </w:tc>
        <w:tc>
          <w:tcPr>
            <w:tcW w:w="15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EF99D5E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PingFang SC" w:cs="Times New Roman Regular"/>
                <w:color w:val="000000"/>
                <w:sz w:val="22"/>
                <w:szCs w:val="22"/>
              </w:rPr>
              <w:t>Positive Readiness and Expectancy</w:t>
            </w:r>
          </w:p>
        </w:tc>
        <w:tc>
          <w:tcPr>
            <w:tcW w:w="150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96E40B0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PingFang SC" w:cs="Times New Roman Regular"/>
                <w:color w:val="000000"/>
                <w:sz w:val="22"/>
                <w:szCs w:val="22"/>
              </w:rPr>
              <w:t>Interconnectedness</w:t>
            </w:r>
          </w:p>
        </w:tc>
        <w:tc>
          <w:tcPr>
            <w:tcW w:w="157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4E0DC0">
            <w:pPr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CD-RISC-10</w:t>
            </w:r>
          </w:p>
        </w:tc>
        <w:tc>
          <w:tcPr>
            <w:tcW w:w="160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835D526">
            <w:pPr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Social Relations subscale</w:t>
            </w:r>
          </w:p>
        </w:tc>
        <w:tc>
          <w:tcPr>
            <w:tcW w:w="161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3E128A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Marriage Relations subscale</w:t>
            </w:r>
          </w:p>
        </w:tc>
      </w:tr>
      <w:tr w14:paraId="515A49FE">
        <w:trPr>
          <w:trHeight w:val="615" w:hRule="atLeast"/>
        </w:trPr>
        <w:tc>
          <w:tcPr>
            <w:tcW w:w="1288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4B847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 xml:space="preserve">Age </w:t>
            </w: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 xml:space="preserve"> ( years)</w:t>
            </w:r>
          </w:p>
          <w:p w14:paraId="2DFEAAA9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424FC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＜35 (n=183)</w:t>
            </w:r>
          </w:p>
        </w:tc>
        <w:tc>
          <w:tcPr>
            <w:tcW w:w="143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B2A2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5.57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68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F947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37.34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4.34</w:t>
            </w:r>
          </w:p>
        </w:tc>
        <w:tc>
          <w:tcPr>
            <w:tcW w:w="146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9089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12.54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1.63</w:t>
            </w:r>
          </w:p>
        </w:tc>
        <w:tc>
          <w:tcPr>
            <w:tcW w:w="155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D52F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12.26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1.59</w:t>
            </w:r>
          </w:p>
        </w:tc>
        <w:tc>
          <w:tcPr>
            <w:tcW w:w="150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C44B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12.54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57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F8BD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27.38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6.40</w:t>
            </w:r>
          </w:p>
        </w:tc>
        <w:tc>
          <w:tcPr>
            <w:tcW w:w="160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0A8A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75.34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14.09</w:t>
            </w:r>
          </w:p>
        </w:tc>
        <w:tc>
          <w:tcPr>
            <w:tcW w:w="161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A94D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70.77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14.01</w:t>
            </w:r>
          </w:p>
        </w:tc>
      </w:tr>
      <w:tr w14:paraId="04B50500">
        <w:trPr>
          <w:trHeight w:val="586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3E266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69A7B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≥35 (n=132)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EFAE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4.38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B2B4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38.33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4.90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1E14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13.02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6E64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12.49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1.59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1601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12.83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394D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30.11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6.82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0304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77.11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14.78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D323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71.53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15.60</w:t>
            </w:r>
          </w:p>
        </w:tc>
      </w:tr>
      <w:tr w14:paraId="3A3292B2">
        <w:trPr>
          <w:trHeight w:val="586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55727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6FCD8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051A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2.824**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ECA5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-1.865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2D18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-2.370*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51D7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-1.300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F984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-1.415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46E7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-3.638***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C10F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-1.080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5D2E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-.447</w:t>
            </w:r>
          </w:p>
        </w:tc>
      </w:tr>
      <w:tr w14:paraId="6ADD2B28">
        <w:trPr>
          <w:trHeight w:val="586" w:hRule="atLeast"/>
        </w:trPr>
        <w:tc>
          <w:tcPr>
            <w:tcW w:w="128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FCC8A78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Number of IVF-ET failed cycles</w:t>
            </w:r>
          </w:p>
          <w:p w14:paraId="78D475F1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AB703">
            <w:pPr>
              <w:jc w:val="center"/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 xml:space="preserve"> (n=93)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E1DC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4.97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CC07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39.20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4.83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26B0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13.20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1.81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954E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12.83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292A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13.17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68A9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29.38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7.44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B642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79.0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486F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74.10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14.60</w:t>
            </w:r>
          </w:p>
        </w:tc>
      </w:tr>
      <w:tr w14:paraId="77F02031">
        <w:trPr>
          <w:trHeight w:val="871" w:hRule="exact"/>
        </w:trPr>
        <w:tc>
          <w:tcPr>
            <w:tcW w:w="1288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54FC27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D3952">
            <w:pPr>
              <w:jc w:val="center"/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 xml:space="preserve"> (n=107)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D026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5.32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667D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37.48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4.5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C15B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12.65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3672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12.29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CB14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12.53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DC0A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28.07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6.4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BD97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75.7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14.25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11D0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70.56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15.0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</w:tr>
      <w:tr w14:paraId="24E43457">
        <w:trPr>
          <w:trHeight w:val="381" w:hRule="atLeast"/>
        </w:trPr>
        <w:tc>
          <w:tcPr>
            <w:tcW w:w="1288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D2A31BF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7A8E3">
            <w:pPr>
              <w:jc w:val="center"/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≥3 (n=115)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FF5A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4.92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D8AE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36.84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F5E1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12.44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9426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12.03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C167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12.37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7640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28.27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6.3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9E9C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73.9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5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CFDA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69.13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14.12</w:t>
            </w:r>
          </w:p>
        </w:tc>
      </w:tr>
      <w:tr w14:paraId="05E01557">
        <w:trPr>
          <w:trHeight w:val="381" w:hRule="atLeast"/>
        </w:trPr>
        <w:tc>
          <w:tcPr>
            <w:tcW w:w="1288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98C44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21B6E">
            <w:pPr>
              <w:jc w:val="center"/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i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1145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.360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893E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6.978**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B69C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5.307**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6E21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6.637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4170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5.553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95A8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1.086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0DE5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3.351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A6A4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3.095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*</w:t>
            </w:r>
          </w:p>
        </w:tc>
      </w:tr>
      <w:tr w14:paraId="7ACF7D8A">
        <w:trPr>
          <w:trHeight w:val="546" w:hRule="atLeast"/>
        </w:trPr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1EFF4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Residence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359B1">
            <w:pPr>
              <w:spacing w:line="276" w:lineRule="auto"/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Rural (n=151)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C99A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5.58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A043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37.05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4.30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FE16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12.47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9BD4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12.16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61BD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12.42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F9D1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27.75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6.81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7475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75.08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13.87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8B07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68.90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14.3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</w:tr>
      <w:tr w14:paraId="0041B423">
        <w:trPr>
          <w:trHeight w:val="345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8EC5D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FEC69">
            <w:pPr>
              <w:spacing w:line="276" w:lineRule="auto"/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Urban (n=164)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1DC1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4.60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D28D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38.40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4.7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E23B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12.99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94CF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12.54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1.66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571A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12.88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0F29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29.24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6.5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4903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77.01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14.83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AAF6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73.09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14.72</w:t>
            </w:r>
          </w:p>
        </w:tc>
      </w:tr>
      <w:tr w14:paraId="4E96AFE4">
        <w:trPr>
          <w:trHeight w:val="345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4C8DE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EEAF9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79E3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2.328*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182B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-2.638**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4FEA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-2.694**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EDDD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-2.129*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DF17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-2.346*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0096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-1.988*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C518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-1.187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A849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-2.554*</w:t>
            </w:r>
          </w:p>
        </w:tc>
      </w:tr>
      <w:tr w14:paraId="0A9B6315">
        <w:trPr>
          <w:trHeight w:val="345" w:hRule="atLeast"/>
        </w:trPr>
        <w:tc>
          <w:tcPr>
            <w:tcW w:w="128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4F17FA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Education</w:t>
            </w: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 xml:space="preserve"> ( years)</w:t>
            </w:r>
          </w:p>
          <w:p w14:paraId="7641A955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0FD97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≤9 (n=33)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C463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5.88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224B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36.67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DDDB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12.27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516E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12.15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C0A2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12.24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9EE8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26.42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7.3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2929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71.3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14.04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2DC2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65.78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14.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</w:t>
            </w:r>
          </w:p>
        </w:tc>
      </w:tr>
      <w:tr w14:paraId="59335330">
        <w:trPr>
          <w:trHeight w:val="354" w:hRule="atLeast"/>
        </w:trPr>
        <w:tc>
          <w:tcPr>
            <w:tcW w:w="1288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A8F78DA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B7B3E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9~12 (n=58)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D19D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5.52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5564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36.74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03F0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12.34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E11B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12.12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2C9A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12.28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89ED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27.59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6.55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D29C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74.93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14.69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A950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68.89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12.32</w:t>
            </w:r>
          </w:p>
        </w:tc>
      </w:tr>
      <w:tr w14:paraId="454EAD0E">
        <w:trPr>
          <w:trHeight w:val="354" w:hRule="atLeast"/>
        </w:trPr>
        <w:tc>
          <w:tcPr>
            <w:tcW w:w="1288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65FFBC2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6E9AC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＞12 (n=224)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5315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4.83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3.5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EF81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38.18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4.69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FC12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12.91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0281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12.45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65B1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12.82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8BA9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29.08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6.5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9394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77.08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14.26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F64C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72.43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15.1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</w:tr>
      <w:tr w14:paraId="1B8D3042">
        <w:trPr>
          <w:trHeight w:val="354" w:hRule="atLeast"/>
        </w:trPr>
        <w:tc>
          <w:tcPr>
            <w:tcW w:w="1288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A9CA0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11B36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i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EBA6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1.645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A75B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3.748*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E2B1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4.321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B326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1.275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4A9B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3.868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FA53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2.998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4434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2.547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3412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3.810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*</w:t>
            </w:r>
          </w:p>
        </w:tc>
      </w:tr>
      <w:tr w14:paraId="7EFC8D84">
        <w:trPr>
          <w:trHeight w:val="456" w:hRule="atLeast"/>
        </w:trPr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AAC2A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Infertility duration ( years)</w:t>
            </w:r>
          </w:p>
          <w:p w14:paraId="2F2229FB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1812B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＜3 (n=114)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C9C35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3.99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12C7D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38.63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4.67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5BA1D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13.16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161B6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12.55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376F7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12.92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AB6D5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30.02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6.99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6293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79.75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13.28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82C0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74.20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14.58</w:t>
            </w:r>
          </w:p>
        </w:tc>
      </w:tr>
      <w:tr w14:paraId="207C3F64">
        <w:trPr>
          <w:trHeight w:val="593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76AAF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ADC79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≥3 (n=201)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8640E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5.68 ± 3.72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80E54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37.26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4.49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A9244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12.50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F5CF3">
            <w:pPr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12.24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05782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12.51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4DBD5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27.68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6.40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F525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74.00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3837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69.32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</w:tr>
      <w:tr w14:paraId="23F227D9">
        <w:trPr>
          <w:trHeight w:val="345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5D818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20962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CBB3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-3.954***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3B8E6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2.569*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B936E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3.279**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F5B42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1.623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C1803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2.026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A2EDE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3.011**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75D99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3.465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>**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DB25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2.865**</w:t>
            </w:r>
          </w:p>
        </w:tc>
      </w:tr>
      <w:tr w14:paraId="0A288460">
        <w:trPr>
          <w:trHeight w:val="345" w:hRule="atLeast"/>
        </w:trPr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52333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Employment Status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D8A82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Employed (n=226)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7EB6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4.88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9E4D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38.18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4.69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98DB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12.90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1.76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59B2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12.46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6E10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12.82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5611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28.77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6.60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F4B5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77.06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14.38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AA90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72.09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15.29</w:t>
            </w:r>
          </w:p>
        </w:tc>
      </w:tr>
      <w:tr w14:paraId="51AC8103">
        <w:trPr>
          <w:trHeight w:val="345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720CF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9AC2B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Unemployed (n=89)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471D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5.54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4.08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7B69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36.69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4.20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004F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12.34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1.59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F108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12.10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1.55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2C2E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12.25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689E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27.90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6.94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EFF9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73.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60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14.18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E7D4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 xml:space="preserve">68.54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12.72</w:t>
            </w:r>
          </w:p>
        </w:tc>
      </w:tr>
      <w:tr w14:paraId="2693F19F">
        <w:trPr>
          <w:trHeight w:val="345" w:hRule="atLeast"/>
        </w:trPr>
        <w:tc>
          <w:tcPr>
            <w:tcW w:w="12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05E10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12FB9">
            <w:pPr>
              <w:jc w:val="center"/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CFE5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-1.404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74C1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2.746*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D5B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2.736*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131B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1.790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D35A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2"/>
                <w:szCs w:val="22"/>
              </w:rPr>
              <w:t>2.807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2520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DC63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1.935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5B68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1.940</w:t>
            </w:r>
          </w:p>
        </w:tc>
      </w:tr>
      <w:tr w14:paraId="6DF9FE78">
        <w:trPr>
          <w:trHeight w:val="345" w:hRule="atLeast"/>
        </w:trPr>
        <w:tc>
          <w:tcPr>
            <w:tcW w:w="128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5EAFBA2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>Resignation due to IVF-ET for reproductive planning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E2E6F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Yes (n=66)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5BE4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5.65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4.19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FF05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37.12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4.71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818B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12.47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1.7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D6EF7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12.18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1.68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83A8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12.47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1.70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0534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27.97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6.35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10B5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73.67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13.83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F2A7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69.13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13.38</w:t>
            </w:r>
          </w:p>
        </w:tc>
      </w:tr>
      <w:tr w14:paraId="2CEDF737">
        <w:trPr>
          <w:trHeight w:val="354" w:hRule="atLeast"/>
        </w:trPr>
        <w:tc>
          <w:tcPr>
            <w:tcW w:w="1288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88E4C0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64F6E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 xml:space="preserve">No </w:t>
            </w: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(n=165)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9B05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4.93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3.65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AF70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37.92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4.77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0D11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12.82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1.78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9B96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12.44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1.6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0EDA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12.67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1.79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F036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28.52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6.50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6F33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77.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20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14.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90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227D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71.01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14.94</w:t>
            </w:r>
          </w:p>
        </w:tc>
      </w:tr>
      <w:tr w14:paraId="06466E38">
        <w:trPr>
          <w:trHeight w:val="1228" w:hRule="atLeast"/>
        </w:trPr>
        <w:tc>
          <w:tcPr>
            <w:tcW w:w="1288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64049E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D677F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  <w:t xml:space="preserve">transitioned to a less stressful job  </w:t>
            </w:r>
            <w:r>
              <w:rPr>
                <w:rFonts w:ascii="Times New Roman Regular" w:hAnsi="Times New Roman Regular" w:eastAsia="宋体" w:cs="Times New Roman Regular"/>
                <w:bCs/>
                <w:color w:val="000000"/>
                <w:sz w:val="20"/>
                <w:szCs w:val="20"/>
              </w:rPr>
              <w:t>(n=84)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157B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4.88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3.49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2383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37.93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4.15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4D68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12.80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1.60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D0E8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12.3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1.48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BCC7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12.80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1.6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5D83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28.99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7.38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1AAD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75.79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13.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8857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72.77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</w:rPr>
              <w:t>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15.11</w:t>
            </w:r>
          </w:p>
        </w:tc>
      </w:tr>
      <w:tr w14:paraId="5FD226B8">
        <w:trPr>
          <w:trHeight w:val="383" w:hRule="atLeast"/>
        </w:trPr>
        <w:tc>
          <w:tcPr>
            <w:tcW w:w="128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FEA6E5">
            <w:pPr>
              <w:jc w:val="center"/>
              <w:rPr>
                <w:rFonts w:ascii="Times New Roman Regular" w:hAnsi="Times New Roman Regular" w:cs="Times New Roman Regular"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FDBF3F">
            <w:pPr>
              <w:jc w:val="center"/>
              <w:rPr>
                <w:rFonts w:ascii="Times New Roman Regular" w:hAnsi="Times New Roman Regular" w:eastAsia="Times New Roman" w:cs="Times New Roman Regular"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eastAsia="Times New Roman" w:cs="Times New Roman Regular"/>
                <w:bCs/>
                <w:i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5EBD52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1.021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A89B72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.794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2E286E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1.020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D02837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.615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92318B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.666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5DD91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.426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2C5396E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1.440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396DE4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1.141</w:t>
            </w:r>
          </w:p>
        </w:tc>
      </w:tr>
    </w:tbl>
    <w:p w14:paraId="42B845AC">
      <w:pPr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*P &lt; 0.05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>
        <w:rPr>
          <w:rFonts w:hint="eastAsia" w:ascii="Times New Roman" w:hAnsi="Times New Roman" w:cs="Times New Roman"/>
          <w:sz w:val="22"/>
          <w:szCs w:val="22"/>
        </w:rPr>
        <w:t>**P &lt; 0.01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>
        <w:rPr>
          <w:rFonts w:hint="eastAsia" w:ascii="Times New Roman" w:hAnsi="Times New Roman" w:cs="Times New Roman"/>
          <w:sz w:val="22"/>
          <w:szCs w:val="22"/>
        </w:rPr>
        <w:t>**</w:t>
      </w:r>
      <w:r>
        <w:rPr>
          <w:rFonts w:ascii="Times New Roman" w:hAnsi="Times New Roman" w:cs="Times New Roman"/>
          <w:sz w:val="22"/>
          <w:szCs w:val="22"/>
        </w:rPr>
        <w:t>*</w:t>
      </w:r>
      <w:r>
        <w:rPr>
          <w:rFonts w:hint="eastAsia" w:ascii="Times New Roman" w:hAnsi="Times New Roman" w:cs="Times New Roman"/>
          <w:sz w:val="22"/>
          <w:szCs w:val="22"/>
        </w:rPr>
        <w:t>P &lt; 0.0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hint="eastAsia"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A8B1CA8">
      <w:pPr>
        <w:rPr>
          <w:rFonts w:ascii="Times New Roman" w:hAnsi="Times New Roman" w:cs="Times New Roman"/>
          <w:sz w:val="22"/>
          <w:szCs w:val="22"/>
        </w:rPr>
      </w:pPr>
    </w:p>
    <w:p w14:paraId="66CB9D42">
      <w:pPr>
        <w:rPr>
          <w:rFonts w:ascii="Times New Roman" w:hAnsi="Times New Roman" w:cs="Times New Roman"/>
          <w:sz w:val="22"/>
          <w:szCs w:val="22"/>
        </w:rPr>
      </w:pPr>
    </w:p>
    <w:p w14:paraId="02E6ECF9">
      <w:pPr>
        <w:rPr>
          <w:rFonts w:ascii="Times New Roman" w:hAnsi="Times New Roman" w:cs="Times New Roman"/>
          <w:sz w:val="22"/>
          <w:szCs w:val="22"/>
        </w:rPr>
      </w:pPr>
    </w:p>
    <w:p w14:paraId="3ED0EB10">
      <w:pPr>
        <w:rPr>
          <w:rFonts w:ascii="Times New Roman" w:hAnsi="Times New Roman" w:cs="Times New Roman"/>
          <w:sz w:val="22"/>
          <w:szCs w:val="22"/>
        </w:rPr>
      </w:pPr>
    </w:p>
    <w:p w14:paraId="14D2313A">
      <w:pPr>
        <w:rPr>
          <w:rFonts w:ascii="Times New Roman" w:hAnsi="Times New Roman" w:cs="Times New Roman"/>
          <w:sz w:val="22"/>
          <w:szCs w:val="22"/>
        </w:rPr>
      </w:pPr>
    </w:p>
    <w:p w14:paraId="783906B0">
      <w:pPr>
        <w:rPr>
          <w:rFonts w:ascii="Times New Roman" w:hAnsi="Times New Roman" w:cs="Times New Roman"/>
          <w:sz w:val="22"/>
          <w:szCs w:val="22"/>
        </w:rPr>
      </w:pPr>
    </w:p>
    <w:p w14:paraId="0F4AB3CF">
      <w:pPr>
        <w:rPr>
          <w:rFonts w:ascii="Times New Roman" w:hAnsi="Times New Roman" w:cs="Times New Roman"/>
          <w:sz w:val="22"/>
          <w:szCs w:val="22"/>
        </w:rPr>
      </w:pPr>
    </w:p>
    <w:p w14:paraId="47842D4A"/>
    <w:p w14:paraId="5F844DB0">
      <w:pPr>
        <w:spacing w:line="360" w:lineRule="auto"/>
        <w:rPr>
          <w:rFonts w:hint="default" w:ascii="Times New Roman Regular" w:hAnsi="Times New Roman Regular" w:cs="Times New Roman Regular"/>
          <w:b w:val="0"/>
          <w:bCs w:val="0"/>
          <w:sz w:val="24"/>
          <w:highlight w:val="green"/>
        </w:rPr>
      </w:pPr>
      <w:r>
        <w:rPr>
          <w:rFonts w:ascii="Times New Roman Regular" w:hAnsi="Times New Roman Regular" w:cs="Times New Roman Regular"/>
          <w:b w:val="0"/>
          <w:bCs w:val="0"/>
          <w:sz w:val="24"/>
        </w:rPr>
        <w:t>App</w:t>
      </w:r>
      <w:r>
        <w:rPr>
          <w:rFonts w:hint="default" w:ascii="Times New Roman Regular" w:hAnsi="Times New Roman Regular" w:cs="Times New Roman Regular"/>
          <w:b w:val="0"/>
          <w:bCs w:val="0"/>
          <w:sz w:val="24"/>
        </w:rPr>
        <w:t>endix 3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</w:rPr>
        <w:t xml:space="preserve">Moderated mediation analyses with healthcare payment methods as a moderator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4714"/>
        <w:gridCol w:w="1316"/>
        <w:gridCol w:w="1284"/>
        <w:gridCol w:w="1305"/>
        <w:gridCol w:w="2406"/>
      </w:tblGrid>
      <w:tr w14:paraId="672DC1A0">
        <w:tc>
          <w:tcPr>
            <w:tcW w:w="2627" w:type="dxa"/>
            <w:tcBorders>
              <w:bottom w:val="single" w:color="auto" w:sz="4" w:space="0"/>
              <w:tl2br w:val="nil"/>
              <w:tr2bl w:val="nil"/>
            </w:tcBorders>
          </w:tcPr>
          <w:p w14:paraId="71A53CF7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Effect</w:t>
            </w:r>
          </w:p>
        </w:tc>
        <w:tc>
          <w:tcPr>
            <w:tcW w:w="4714" w:type="dxa"/>
            <w:tcBorders>
              <w:bottom w:val="single" w:color="auto" w:sz="4" w:space="0"/>
              <w:tl2br w:val="nil"/>
              <w:tr2bl w:val="nil"/>
            </w:tcBorders>
          </w:tcPr>
          <w:p w14:paraId="6B20BC60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 xml:space="preserve"> Mediated Paths</w:t>
            </w:r>
          </w:p>
        </w:tc>
        <w:tc>
          <w:tcPr>
            <w:tcW w:w="1316" w:type="dxa"/>
            <w:tcBorders>
              <w:bottom w:val="single" w:color="auto" w:sz="4" w:space="0"/>
              <w:tl2br w:val="nil"/>
              <w:tr2bl w:val="nil"/>
            </w:tcBorders>
          </w:tcPr>
          <w:p w14:paraId="61E79766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Estimate</w:t>
            </w:r>
          </w:p>
        </w:tc>
        <w:tc>
          <w:tcPr>
            <w:tcW w:w="1284" w:type="dxa"/>
            <w:tcBorders>
              <w:bottom w:val="single" w:color="auto" w:sz="4" w:space="0"/>
              <w:tl2br w:val="nil"/>
              <w:tr2bl w:val="nil"/>
            </w:tcBorders>
          </w:tcPr>
          <w:p w14:paraId="0CA80CE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S.E.</w:t>
            </w:r>
          </w:p>
        </w:tc>
        <w:tc>
          <w:tcPr>
            <w:tcW w:w="1305" w:type="dxa"/>
            <w:tcBorders>
              <w:bottom w:val="single" w:color="auto" w:sz="4" w:space="0"/>
              <w:tl2br w:val="nil"/>
              <w:tr2bl w:val="nil"/>
            </w:tcBorders>
          </w:tcPr>
          <w:p w14:paraId="2602F200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Est./S.E</w:t>
            </w:r>
          </w:p>
        </w:tc>
        <w:tc>
          <w:tcPr>
            <w:tcW w:w="2406" w:type="dxa"/>
            <w:tcBorders>
              <w:bottom w:val="single" w:color="auto" w:sz="4" w:space="0"/>
              <w:tl2br w:val="nil"/>
              <w:tr2bl w:val="nil"/>
            </w:tcBorders>
          </w:tcPr>
          <w:p w14:paraId="5A0AB0CE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95% Confidence Interval</w:t>
            </w:r>
          </w:p>
        </w:tc>
      </w:tr>
      <w:tr w14:paraId="16A335DD">
        <w:trPr>
          <w:trHeight w:val="90" w:hRule="atLeast"/>
        </w:trPr>
        <w:tc>
          <w:tcPr>
            <w:tcW w:w="2627" w:type="dxa"/>
            <w:tcBorders>
              <w:top w:val="nil"/>
            </w:tcBorders>
          </w:tcPr>
          <w:p w14:paraId="6169FB74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Direct effect</w:t>
            </w:r>
          </w:p>
        </w:tc>
        <w:tc>
          <w:tcPr>
            <w:tcW w:w="4714" w:type="dxa"/>
            <w:tcBorders>
              <w:top w:val="nil"/>
            </w:tcBorders>
          </w:tcPr>
          <w:p w14:paraId="39E0734C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Resilience → depressive symptoms</w:t>
            </w:r>
          </w:p>
        </w:tc>
        <w:tc>
          <w:tcPr>
            <w:tcW w:w="1316" w:type="dxa"/>
            <w:tcBorders>
              <w:top w:val="nil"/>
            </w:tcBorders>
          </w:tcPr>
          <w:p w14:paraId="72B4027F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-0.147***</w:t>
            </w:r>
          </w:p>
        </w:tc>
        <w:tc>
          <w:tcPr>
            <w:tcW w:w="1284" w:type="dxa"/>
            <w:tcBorders>
              <w:top w:val="nil"/>
            </w:tcBorders>
          </w:tcPr>
          <w:p w14:paraId="7ED0C4CF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0.033</w:t>
            </w:r>
          </w:p>
        </w:tc>
        <w:tc>
          <w:tcPr>
            <w:tcW w:w="1305" w:type="dxa"/>
            <w:tcBorders>
              <w:top w:val="nil"/>
            </w:tcBorders>
          </w:tcPr>
          <w:p w14:paraId="2A1B3103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-4.495</w:t>
            </w:r>
          </w:p>
        </w:tc>
        <w:tc>
          <w:tcPr>
            <w:tcW w:w="2406" w:type="dxa"/>
            <w:tcBorders>
              <w:top w:val="nil"/>
            </w:tcBorders>
          </w:tcPr>
          <w:p w14:paraId="703404A6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-0.212, -0.083)</w:t>
            </w:r>
          </w:p>
        </w:tc>
      </w:tr>
      <w:tr w14:paraId="398874D5">
        <w:trPr>
          <w:trHeight w:val="90" w:hRule="atLeast"/>
        </w:trPr>
        <w:tc>
          <w:tcPr>
            <w:tcW w:w="2627" w:type="dxa"/>
            <w:tcBorders>
              <w:top w:val="nil"/>
            </w:tcBorders>
          </w:tcPr>
          <w:p w14:paraId="0E5625F2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Indirect effects</w:t>
            </w:r>
          </w:p>
        </w:tc>
        <w:tc>
          <w:tcPr>
            <w:tcW w:w="4714" w:type="dxa"/>
            <w:tcBorders>
              <w:top w:val="nil"/>
            </w:tcBorders>
          </w:tcPr>
          <w:p w14:paraId="19FA7368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Resilience → Hope → depressive symptoms</w:t>
            </w:r>
          </w:p>
        </w:tc>
        <w:tc>
          <w:tcPr>
            <w:tcW w:w="1316" w:type="dxa"/>
            <w:tcBorders>
              <w:top w:val="nil"/>
            </w:tcBorders>
          </w:tcPr>
          <w:p w14:paraId="382A22F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 xml:space="preserve"> -0.070**</w:t>
            </w:r>
          </w:p>
        </w:tc>
        <w:tc>
          <w:tcPr>
            <w:tcW w:w="1284" w:type="dxa"/>
            <w:tcBorders>
              <w:top w:val="nil"/>
            </w:tcBorders>
          </w:tcPr>
          <w:p w14:paraId="438D2551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0.023</w:t>
            </w:r>
          </w:p>
        </w:tc>
        <w:tc>
          <w:tcPr>
            <w:tcW w:w="1305" w:type="dxa"/>
            <w:tcBorders>
              <w:top w:val="nil"/>
            </w:tcBorders>
          </w:tcPr>
          <w:p w14:paraId="18DD735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-2.976</w:t>
            </w:r>
          </w:p>
        </w:tc>
        <w:tc>
          <w:tcPr>
            <w:tcW w:w="2406" w:type="dxa"/>
            <w:tcBorders>
              <w:top w:val="nil"/>
            </w:tcBorders>
          </w:tcPr>
          <w:p w14:paraId="029F6F96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-0.118, -0.027)</w:t>
            </w:r>
          </w:p>
        </w:tc>
      </w:tr>
      <w:tr w14:paraId="38A8F85B">
        <w:tc>
          <w:tcPr>
            <w:tcW w:w="2627" w:type="dxa"/>
          </w:tcPr>
          <w:p w14:paraId="42F6D0B8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  <w:tc>
          <w:tcPr>
            <w:tcW w:w="4714" w:type="dxa"/>
          </w:tcPr>
          <w:p w14:paraId="11B1FC50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Resilience → Social Relations → depressive symptoms</w:t>
            </w:r>
          </w:p>
        </w:tc>
        <w:tc>
          <w:tcPr>
            <w:tcW w:w="1316" w:type="dxa"/>
          </w:tcPr>
          <w:p w14:paraId="742937E4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-0.071***</w:t>
            </w:r>
          </w:p>
        </w:tc>
        <w:tc>
          <w:tcPr>
            <w:tcW w:w="1284" w:type="dxa"/>
          </w:tcPr>
          <w:p w14:paraId="6C5213D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0.016</w:t>
            </w:r>
          </w:p>
        </w:tc>
        <w:tc>
          <w:tcPr>
            <w:tcW w:w="1305" w:type="dxa"/>
          </w:tcPr>
          <w:p w14:paraId="23CF520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 xml:space="preserve">-4.345 </w:t>
            </w:r>
          </w:p>
        </w:tc>
        <w:tc>
          <w:tcPr>
            <w:tcW w:w="2406" w:type="dxa"/>
          </w:tcPr>
          <w:p w14:paraId="6389CDCC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-0.105, -0.041)</w:t>
            </w:r>
          </w:p>
        </w:tc>
      </w:tr>
      <w:tr w14:paraId="73D0C54B">
        <w:trPr>
          <w:trHeight w:val="90" w:hRule="atLeast"/>
        </w:trPr>
        <w:tc>
          <w:tcPr>
            <w:tcW w:w="2627" w:type="dxa"/>
          </w:tcPr>
          <w:p w14:paraId="454C8E74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Total Indirect effect</w:t>
            </w:r>
          </w:p>
        </w:tc>
        <w:tc>
          <w:tcPr>
            <w:tcW w:w="4714" w:type="dxa"/>
          </w:tcPr>
          <w:p w14:paraId="2501D85A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/</w:t>
            </w:r>
          </w:p>
        </w:tc>
        <w:tc>
          <w:tcPr>
            <w:tcW w:w="1316" w:type="dxa"/>
          </w:tcPr>
          <w:p w14:paraId="52D5B0D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-0.140***</w:t>
            </w:r>
          </w:p>
        </w:tc>
        <w:tc>
          <w:tcPr>
            <w:tcW w:w="1284" w:type="dxa"/>
          </w:tcPr>
          <w:p w14:paraId="6AEEE2A7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0.027</w:t>
            </w:r>
          </w:p>
        </w:tc>
        <w:tc>
          <w:tcPr>
            <w:tcW w:w="1305" w:type="dxa"/>
          </w:tcPr>
          <w:p w14:paraId="697A0EBC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-5.121</w:t>
            </w:r>
          </w:p>
        </w:tc>
        <w:tc>
          <w:tcPr>
            <w:tcW w:w="2406" w:type="dxa"/>
          </w:tcPr>
          <w:p w14:paraId="0A943C0F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-0.196, -0.090)</w:t>
            </w:r>
          </w:p>
        </w:tc>
      </w:tr>
      <w:tr w14:paraId="6515A737">
        <w:tc>
          <w:tcPr>
            <w:tcW w:w="2627" w:type="dxa"/>
            <w:tcBorders>
              <w:tl2br w:val="nil"/>
              <w:tr2bl w:val="nil"/>
            </w:tcBorders>
          </w:tcPr>
          <w:p w14:paraId="2B2DB0C7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Total effect</w:t>
            </w:r>
          </w:p>
        </w:tc>
        <w:tc>
          <w:tcPr>
            <w:tcW w:w="4714" w:type="dxa"/>
            <w:tcBorders>
              <w:tl2br w:val="nil"/>
              <w:tr2bl w:val="nil"/>
            </w:tcBorders>
          </w:tcPr>
          <w:p w14:paraId="12E396BD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/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14:paraId="401A9F56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-0.287***</w:t>
            </w:r>
          </w:p>
        </w:tc>
        <w:tc>
          <w:tcPr>
            <w:tcW w:w="1284" w:type="dxa"/>
            <w:tcBorders>
              <w:tl2br w:val="nil"/>
              <w:tr2bl w:val="nil"/>
            </w:tcBorders>
          </w:tcPr>
          <w:p w14:paraId="585F7571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0.031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612949AA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-9.405</w:t>
            </w:r>
          </w:p>
        </w:tc>
        <w:tc>
          <w:tcPr>
            <w:tcW w:w="2406" w:type="dxa"/>
            <w:tcBorders>
              <w:tl2br w:val="nil"/>
              <w:tr2bl w:val="nil"/>
            </w:tcBorders>
          </w:tcPr>
          <w:p w14:paraId="07FBE1E4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-0.348, -0.228)</w:t>
            </w:r>
          </w:p>
        </w:tc>
      </w:tr>
      <w:tr w14:paraId="135F6395">
        <w:tc>
          <w:tcPr>
            <w:tcW w:w="2627" w:type="dxa"/>
            <w:tcBorders>
              <w:tl2br w:val="nil"/>
              <w:tr2bl w:val="nil"/>
            </w:tcBorders>
          </w:tcPr>
          <w:p w14:paraId="0ABCDC73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Moderator variable</w:t>
            </w:r>
          </w:p>
        </w:tc>
        <w:tc>
          <w:tcPr>
            <w:tcW w:w="4714" w:type="dxa"/>
            <w:tcBorders>
              <w:tl2br w:val="nil"/>
              <w:tr2bl w:val="nil"/>
            </w:tcBorders>
          </w:tcPr>
          <w:p w14:paraId="0A61D7BC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Moderated Paths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14:paraId="669E045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Estimate</w:t>
            </w:r>
          </w:p>
        </w:tc>
        <w:tc>
          <w:tcPr>
            <w:tcW w:w="1284" w:type="dxa"/>
            <w:tcBorders>
              <w:tl2br w:val="nil"/>
              <w:tr2bl w:val="nil"/>
            </w:tcBorders>
          </w:tcPr>
          <w:p w14:paraId="571A3F0C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S.E.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24F19257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Est./S.E</w:t>
            </w:r>
          </w:p>
        </w:tc>
        <w:tc>
          <w:tcPr>
            <w:tcW w:w="2406" w:type="dxa"/>
            <w:tcBorders>
              <w:tl2br w:val="nil"/>
              <w:tr2bl w:val="nil"/>
            </w:tcBorders>
          </w:tcPr>
          <w:p w14:paraId="6287EB6B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95% Confidence Interval</w:t>
            </w:r>
          </w:p>
        </w:tc>
      </w:tr>
      <w:tr w14:paraId="5EB50CA7">
        <w:tc>
          <w:tcPr>
            <w:tcW w:w="2627" w:type="dxa"/>
            <w:tcBorders>
              <w:tl2br w:val="nil"/>
              <w:tr2bl w:val="nil"/>
            </w:tcBorders>
          </w:tcPr>
          <w:p w14:paraId="4D7BFA55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Healthcare payment methods</w:t>
            </w:r>
          </w:p>
        </w:tc>
        <w:tc>
          <w:tcPr>
            <w:tcW w:w="4714" w:type="dxa"/>
            <w:tcBorders>
              <w:tl2br w:val="nil"/>
              <w:tr2bl w:val="nil"/>
            </w:tcBorders>
          </w:tcPr>
          <w:p w14:paraId="283F795B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Resilience → Hope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14:paraId="261F4FCF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0.033</w:t>
            </w:r>
          </w:p>
        </w:tc>
        <w:tc>
          <w:tcPr>
            <w:tcW w:w="1284" w:type="dxa"/>
            <w:tcBorders>
              <w:tl2br w:val="nil"/>
              <w:tr2bl w:val="nil"/>
            </w:tcBorders>
          </w:tcPr>
          <w:p w14:paraId="1A457113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0.034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750F9435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0.966</w:t>
            </w:r>
          </w:p>
        </w:tc>
        <w:tc>
          <w:tcPr>
            <w:tcW w:w="2406" w:type="dxa"/>
            <w:tcBorders>
              <w:tl2br w:val="nil"/>
              <w:tr2bl w:val="nil"/>
            </w:tcBorders>
          </w:tcPr>
          <w:p w14:paraId="71B598D5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-0.033, 0.102)</w:t>
            </w:r>
          </w:p>
        </w:tc>
      </w:tr>
      <w:tr w14:paraId="70C7087B">
        <w:tc>
          <w:tcPr>
            <w:tcW w:w="2627" w:type="dxa"/>
            <w:tcBorders>
              <w:tl2br w:val="nil"/>
              <w:tr2bl w:val="nil"/>
            </w:tcBorders>
          </w:tcPr>
          <w:p w14:paraId="62B34473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  <w:tc>
          <w:tcPr>
            <w:tcW w:w="4714" w:type="dxa"/>
            <w:tcBorders>
              <w:tl2br w:val="nil"/>
              <w:tr2bl w:val="nil"/>
            </w:tcBorders>
          </w:tcPr>
          <w:p w14:paraId="1255CB31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Resilience → Social Relations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14:paraId="0060E15C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-0.348</w:t>
            </w:r>
          </w:p>
        </w:tc>
        <w:tc>
          <w:tcPr>
            <w:tcW w:w="1284" w:type="dxa"/>
            <w:tcBorders>
              <w:tl2br w:val="nil"/>
              <w:tr2bl w:val="nil"/>
            </w:tcBorders>
          </w:tcPr>
          <w:p w14:paraId="1FB22FA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0.237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 w14:paraId="11DA2FF3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 xml:space="preserve"> -1.467</w:t>
            </w:r>
          </w:p>
        </w:tc>
        <w:tc>
          <w:tcPr>
            <w:tcW w:w="2406" w:type="dxa"/>
            <w:tcBorders>
              <w:tl2br w:val="nil"/>
              <w:tr2bl w:val="nil"/>
            </w:tcBorders>
          </w:tcPr>
          <w:p w14:paraId="7A6E33D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highlight w:val="yellow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</w:rPr>
              <w:t>( -0.816, 0.115)</w:t>
            </w:r>
          </w:p>
        </w:tc>
      </w:tr>
    </w:tbl>
    <w:p w14:paraId="1E9D4701">
      <w:pPr>
        <w:rPr>
          <w:rFonts w:hint="default" w:ascii="Times New Roman Regular" w:hAnsi="Times New Roman Regular" w:cs="Times New Roman Regular"/>
          <w:b w:val="0"/>
          <w:bCs w:val="0"/>
          <w:sz w:val="24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</w:rPr>
        <w:t>Covariates included in Age and Infertility duration.</w:t>
      </w:r>
    </w:p>
    <w:p w14:paraId="12B9AFA2">
      <w:pPr>
        <w:rPr>
          <w:rFonts w:hint="default" w:ascii="Times New Roman Regular" w:hAnsi="Times New Roman Regular" w:cs="Times New Roman Regular"/>
          <w:b w:val="0"/>
          <w:bCs w:val="0"/>
          <w:sz w:val="24"/>
        </w:rPr>
        <w:sectPr>
          <w:pgSz w:w="16838" w:h="11906" w:orient="landscape"/>
          <w:pgMar w:top="1701" w:right="1701" w:bottom="1701" w:left="1701" w:header="851" w:footer="992" w:gutter="0"/>
          <w:lnNumType w:countBy="1" w:restart="continuous"/>
          <w:cols w:space="0" w:num="1"/>
          <w:docGrid w:type="lines" w:linePitch="312" w:charSpace="0"/>
        </w:sectPr>
      </w:pPr>
      <w:r>
        <w:rPr>
          <w:rFonts w:hint="default" w:ascii="Times New Roman Regular" w:hAnsi="Times New Roman Regular" w:cs="Times New Roman Regular"/>
          <w:b w:val="0"/>
          <w:bCs w:val="0"/>
          <w:sz w:val="24"/>
        </w:rPr>
        <w:t>**P &lt; 0.01; ***P &lt; 0.001.</w:t>
      </w:r>
    </w:p>
    <w:p w14:paraId="76645A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7690" cy="4377690"/>
            <wp:effectExtent l="0" t="0" r="16510" b="16510"/>
            <wp:docPr id="1" name="图片 1" descr="Appendix 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ppendix 4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44F0">
      <w:pPr>
        <w:spacing w:line="360" w:lineRule="auto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</w:rPr>
        <w:t xml:space="preserve">Appendix </w:t>
      </w:r>
      <w:r>
        <w:rPr>
          <w:rFonts w:hint="eastAsia" w:ascii="Times New Roman Regular" w:hAnsi="Times New Roman Regular" w:cs="Times New Roman Regular"/>
          <w:sz w:val="24"/>
        </w:rPr>
        <w:t>4</w:t>
      </w:r>
      <w:r>
        <w:rPr>
          <w:rFonts w:hint="default" w:ascii="Times New Roman Regular" w:hAnsi="Times New Roman Regular" w:cs="Times New Roman Regular"/>
          <w:sz w:val="24"/>
          <w:lang w:val="en-US"/>
        </w:rPr>
        <w:t xml:space="preserve">. </w:t>
      </w:r>
      <w:r>
        <w:rPr>
          <w:rFonts w:ascii="Times New Roman Regular" w:hAnsi="Times New Roman Regular" w:cs="Times New Roman Regular"/>
          <w:sz w:val="24"/>
        </w:rPr>
        <w:t xml:space="preserve">Moderated Mediation Model with Household Income as a Moderator. </w:t>
      </w:r>
    </w:p>
    <w:p w14:paraId="0829A9E2">
      <w:pPr>
        <w:spacing w:line="360" w:lineRule="auto"/>
        <w:rPr>
          <w:rFonts w:hint="eastAsia" w:eastAsiaTheme="minorEastAsia"/>
          <w:lang w:eastAsia="zh-CN"/>
        </w:rPr>
      </w:pPr>
      <w:r>
        <w:rPr>
          <w:rFonts w:ascii="Times New Roman Regular" w:hAnsi="Times New Roman Regular" w:cs="Times New Roman Regular"/>
          <w:sz w:val="24"/>
        </w:rPr>
        <w:t>***p &lt; 0.001.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PingFang SC">
    <w:altName w:val="宋体-简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A46E"/>
    <w:rsid w:val="3FCB9ECF"/>
    <w:rsid w:val="63FDA46E"/>
    <w:rsid w:val="677F563E"/>
    <w:rsid w:val="EBF356DD"/>
    <w:rsid w:val="F7FC3808"/>
    <w:rsid w:val="FBF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2025-09-12T05:16:00Z</dcterms:created>
  <dc:creator>王晓雨</dc:creator>
  <cp:lastModifiedBy>王晓雨</cp:lastModifiedBy>
  <dcterms:modified xsi:type="dcterms:W3CDTF">2025-10-02T09:59:06Z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FE6BCABD675C6AA06ADCDD68B0BEB49D_43</vt:lpwstr>
  </property>
</Properties>
</file>