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D867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drawing>
          <wp:inline distT="0" distB="0" distL="114300" distR="114300">
            <wp:extent cx="4799965" cy="4799965"/>
            <wp:effectExtent l="0" t="0" r="635" b="635"/>
            <wp:docPr id="1" name="图片 1" descr="ChatGPT Image 2025年10月21日 11_50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hatGPT Image 2025年10月21日 11_50_05"/>
                    <pic:cNvPicPr>
                      <a:picLocks noChangeAspect="1"/>
                    </pic:cNvPicPr>
                  </pic:nvPicPr>
                  <pic:blipFill>
                    <a:blip r:embed="rId4"/>
                    <a:stretch>
                      <a:fillRect/>
                    </a:stretch>
                  </pic:blipFill>
                  <pic:spPr>
                    <a:xfrm>
                      <a:off x="0" y="0"/>
                      <a:ext cx="4799965" cy="4799965"/>
                    </a:xfrm>
                    <a:prstGeom prst="rect">
                      <a:avLst/>
                    </a:prstGeom>
                  </pic:spPr>
                </pic:pic>
              </a:graphicData>
            </a:graphic>
          </wp:inline>
        </w:drawing>
      </w:r>
    </w:p>
    <w:p w14:paraId="076D24D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bCs/>
          <w:sz w:val="20"/>
          <w:szCs w:val="20"/>
          <w:lang w:val="en-US" w:eastAsia="zh-CN"/>
        </w:rPr>
        <w:t xml:space="preserve">Figure </w:t>
      </w:r>
      <w:r>
        <w:rPr>
          <w:rFonts w:hint="eastAsia" w:ascii="Times New Roman" w:hAnsi="Times New Roman" w:cs="Times New Roman"/>
          <w:b/>
          <w:bCs/>
          <w:sz w:val="20"/>
          <w:szCs w:val="20"/>
          <w:lang w:val="en-US" w:eastAsia="zh-CN"/>
        </w:rPr>
        <w:t>S</w:t>
      </w:r>
      <w:r>
        <w:rPr>
          <w:rFonts w:hint="default" w:ascii="Times New Roman" w:hAnsi="Times New Roman" w:cs="Times New Roman"/>
          <w:b/>
          <w:bCs/>
          <w:sz w:val="20"/>
          <w:szCs w:val="20"/>
          <w:lang w:val="en-US" w:eastAsia="zh-CN"/>
        </w:rPr>
        <w:t>1.</w:t>
      </w:r>
      <w:r>
        <w:rPr>
          <w:rFonts w:hint="default" w:ascii="Times New Roman" w:hAnsi="Times New Roman" w:cs="Times New Roman"/>
          <w:b w:val="0"/>
          <w:bCs w:val="0"/>
          <w:sz w:val="20"/>
          <w:szCs w:val="20"/>
          <w:lang w:val="en-US" w:eastAsia="zh-CN"/>
        </w:rPr>
        <w:t xml:space="preserve"> Proposed mechanistic pathway linking elevated </w:t>
      </w:r>
      <w:r>
        <w:rPr>
          <w:rFonts w:hint="eastAsia" w:ascii="Times New Roman" w:hAnsi="Times New Roman" w:cs="Times New Roman"/>
          <w:b w:val="0"/>
          <w:bCs w:val="0"/>
          <w:sz w:val="20"/>
          <w:szCs w:val="20"/>
          <w:lang w:val="en-US" w:eastAsia="zh-CN"/>
        </w:rPr>
        <w:t>SII</w:t>
      </w:r>
      <w:r>
        <w:rPr>
          <w:rFonts w:hint="default" w:ascii="Times New Roman" w:hAnsi="Times New Roman" w:cs="Times New Roman"/>
          <w:b w:val="0"/>
          <w:bCs w:val="0"/>
          <w:sz w:val="20"/>
          <w:szCs w:val="20"/>
          <w:lang w:val="en-US" w:eastAsia="zh-CN"/>
        </w:rPr>
        <w:t xml:space="preserve"> to poor prognosis in patients with T2DM and sICH.</w:t>
      </w:r>
    </w:p>
    <w:p w14:paraId="7279985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Caption:</w:t>
      </w:r>
      <w:r>
        <w:rPr>
          <w:rFonts w:hint="eastAsia" w:ascii="Times New Roman" w:hAnsi="Times New Roman" w:cs="Times New Roman"/>
          <w:b w:val="0"/>
          <w:bCs w:val="0"/>
          <w:sz w:val="20"/>
          <w:szCs w:val="20"/>
          <w:lang w:val="en-US" w:eastAsia="zh-CN"/>
        </w:rPr>
        <w:t xml:space="preserve"> </w:t>
      </w:r>
      <w:r>
        <w:rPr>
          <w:rFonts w:hint="default" w:ascii="Times New Roman" w:hAnsi="Times New Roman" w:cs="Times New Roman"/>
          <w:b w:val="0"/>
          <w:bCs w:val="0"/>
          <w:sz w:val="20"/>
          <w:szCs w:val="20"/>
          <w:lang w:val="en-US" w:eastAsia="zh-CN"/>
        </w:rPr>
        <w:t>The SII, derived from platelet, neutrophil, and lymphocyte counts, reflects a combined state of inflammation, immune dysregulation, and coagulation abnormalities. In the context of T2DM and sICH, elevated SII indicates excessive neutrophil activation, lymphopenia, and platelet hyperactivity. These alterations contribute to blood-brain barrier disruption, microthrombosis, and secondary ischemic injury. Chronic hyperglycemia exacerbates this process via endothelial dysfunction and coagulopathy. The interplay among these mechanisms may lead to a vicious cycle of inflammation, immune suppression, and hemostatic imbalance, resulting in increased risk of mortality and poor outcomes.</w:t>
      </w:r>
    </w:p>
    <w:p w14:paraId="2BBB2EC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 xml:space="preserve">SII, </w:t>
      </w:r>
      <w:r>
        <w:rPr>
          <w:rFonts w:hint="default" w:ascii="Times New Roman" w:hAnsi="Times New Roman" w:cs="Times New Roman"/>
          <w:b w:val="0"/>
          <w:bCs w:val="0"/>
          <w:sz w:val="20"/>
          <w:szCs w:val="20"/>
          <w:lang w:val="en-US" w:eastAsia="zh-CN"/>
        </w:rPr>
        <w:t>systemic immune-inflammation index</w:t>
      </w:r>
      <w:r>
        <w:rPr>
          <w:rFonts w:hint="eastAsia" w:ascii="Times New Roman" w:hAnsi="Times New Roman" w:cs="Times New Roman"/>
          <w:b w:val="0"/>
          <w:bCs w:val="0"/>
          <w:sz w:val="20"/>
          <w:szCs w:val="20"/>
          <w:lang w:val="en-US" w:eastAsia="zh-CN"/>
        </w:rPr>
        <w:t xml:space="preserve">; </w:t>
      </w:r>
      <w:r>
        <w:rPr>
          <w:rFonts w:hint="default" w:ascii="Times New Roman" w:hAnsi="Times New Roman" w:cs="Times New Roman"/>
          <w:b w:val="0"/>
          <w:bCs w:val="0"/>
          <w:sz w:val="20"/>
          <w:szCs w:val="20"/>
          <w:lang w:val="en-US" w:eastAsia="zh-CN"/>
        </w:rPr>
        <w:t>T2DM</w:t>
      </w:r>
      <w:r>
        <w:rPr>
          <w:rFonts w:hint="eastAsia" w:ascii="Times New Roman" w:hAnsi="Times New Roman" w:cs="Times New Roman"/>
          <w:b w:val="0"/>
          <w:bCs w:val="0"/>
          <w:sz w:val="20"/>
          <w:szCs w:val="20"/>
          <w:lang w:val="en-US" w:eastAsia="zh-CN"/>
        </w:rPr>
        <w:t xml:space="preserve">, type 2 diabetes mellitus; </w:t>
      </w:r>
      <w:r>
        <w:rPr>
          <w:rFonts w:hint="default" w:ascii="Times New Roman" w:hAnsi="Times New Roman" w:cs="Times New Roman"/>
          <w:b w:val="0"/>
          <w:bCs w:val="0"/>
          <w:sz w:val="20"/>
          <w:szCs w:val="20"/>
          <w:lang w:val="en-US" w:eastAsia="zh-CN"/>
        </w:rPr>
        <w:t>sICH,</w:t>
      </w:r>
      <w:r>
        <w:rPr>
          <w:rFonts w:hint="eastAsia" w:ascii="Times New Roman" w:hAnsi="Times New Roman" w:cs="Times New Roman"/>
          <w:b w:val="0"/>
          <w:bCs w:val="0"/>
          <w:sz w:val="20"/>
          <w:szCs w:val="20"/>
          <w:lang w:val="en-US" w:eastAsia="zh-CN"/>
        </w:rPr>
        <w:t xml:space="preserve"> </w:t>
      </w:r>
      <w:r>
        <w:rPr>
          <w:rFonts w:hint="default" w:ascii="Times New Roman" w:hAnsi="Times New Roman" w:cs="Times New Roman"/>
          <w:b w:val="0"/>
          <w:bCs w:val="0"/>
          <w:sz w:val="20"/>
          <w:szCs w:val="20"/>
          <w:lang w:val="en-US" w:eastAsia="zh-CN"/>
        </w:rPr>
        <w:t>spontaneous intracerebral hemorrhage</w:t>
      </w:r>
      <w:r>
        <w:rPr>
          <w:rFonts w:hint="eastAsia" w:ascii="Times New Roman" w:hAnsi="Times New Roman" w:cs="Times New Roman"/>
          <w:b w:val="0"/>
          <w:bCs w:val="0"/>
          <w:sz w:val="20"/>
          <w:szCs w:val="20"/>
          <w:lang w:val="en-US" w:eastAsia="zh-CN"/>
        </w:rPr>
        <w:t>.</w:t>
      </w:r>
      <w:bookmarkStart w:id="0" w:name="_GoBack"/>
      <w:bookmarkEnd w:id="0"/>
    </w:p>
    <w:p w14:paraId="333DAF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A41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2025-10-21T04:03:44Z</dcterms:created>
  <dc:creator>Wangzhenwei</dc:creator>
  <cp:lastModifiedBy>SCI</cp:lastModifiedBy>
  <dcterms:modified xsi:type="dcterms:W3CDTF">2025-10-21T04:03:54Z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eyJoZGlkIjoiOTAyN2FmNzVhMmE0MzFkZmQxODAwNmY0NGJkNDFlYzYiLCJ1c2VySWQiOiIyMzc5NDE3NjkifQ==</vt:lpwstr>
  </property>
  <property fmtid="{D5CDD505-2E9C-101B-9397-08002B2CF9AE}" pid="4" name="ICV">
    <vt:lpwstr>D765420BD1714C738DBAC5C29D2FBE6D_12</vt:lpwstr>
  </property>
</Properties>
</file>