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1527" w14:textId="77777777" w:rsidR="00775182" w:rsidRDefault="00000000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Supplementary Table S1. Baseline characteristics of the discovery and external validation cohorts</w:t>
      </w:r>
    </w:p>
    <w:tbl>
      <w:tblPr>
        <w:tblW w:w="7560" w:type="dxa"/>
        <w:tblInd w:w="93" w:type="dxa"/>
        <w:tblLook w:val="04A0" w:firstRow="1" w:lastRow="0" w:firstColumn="1" w:lastColumn="0" w:noHBand="0" w:noVBand="1"/>
      </w:tblPr>
      <w:tblGrid>
        <w:gridCol w:w="1389"/>
        <w:gridCol w:w="1121"/>
        <w:gridCol w:w="1032"/>
        <w:gridCol w:w="932"/>
        <w:gridCol w:w="1121"/>
        <w:gridCol w:w="1033"/>
        <w:gridCol w:w="932"/>
      </w:tblGrid>
      <w:tr w:rsidR="00775182" w14:paraId="5BB03A37" w14:textId="77777777">
        <w:trPr>
          <w:trHeight w:val="1350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50F13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14E7D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Discovery gout cohort (n=65)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7D00CA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External gout cohort (n=24)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D24C6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50CF4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Discovery controls (n=65)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1630A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External controls (n=24)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6A2F4" w14:textId="77777777" w:rsidR="00775182" w:rsidRDefault="00000000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 value</w:t>
            </w:r>
          </w:p>
        </w:tc>
      </w:tr>
      <w:tr w:rsidR="00775182" w14:paraId="27AA194C" w14:textId="77777777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6A570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Age (years)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5CB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52.94 ± 7.45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A7FB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53.21 ± 7.11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3C09B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C986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52.77 ± 6.48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75870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52.96 ± 6.55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EC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0.874</w:t>
            </w:r>
          </w:p>
        </w:tc>
      </w:tr>
      <w:tr w:rsidR="00775182" w14:paraId="16FCCA3E" w14:textId="77777777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A96A2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Male, n (%)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569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 (53.8)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B7A0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 (54.2)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2820C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DC8AC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34 (52.3)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2E1A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 (54.2)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7BDD3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0.882</w:t>
            </w:r>
          </w:p>
        </w:tc>
      </w:tr>
      <w:tr w:rsidR="00775182" w14:paraId="59C76960" w14:textId="77777777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DA46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BMI (kg/m²)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6AD4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25.31 ± 4.24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0A1A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25.47 ± 4.12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744C1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773D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26.62 ± 4.36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90132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26.58 ± 4.20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6FBA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0.964</w:t>
            </w:r>
          </w:p>
        </w:tc>
      </w:tr>
      <w:tr w:rsidR="00775182" w14:paraId="68532F28" w14:textId="77777777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9F64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Serum uric acid (µmol/L)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43E8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332.04 ± 47.62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6BBC0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328.75 ± 45.90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E5D4F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71EE9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254.10 ± 34.54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B95AC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252.89 ± 35.02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0C36C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0.911</w:t>
            </w:r>
          </w:p>
        </w:tc>
      </w:tr>
      <w:tr w:rsidR="00775182" w14:paraId="56E450EE" w14:textId="77777777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4078F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Serum creatinine (µmol/L)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ACE4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85.58 ± 14.98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AE583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86.12 ± 15.27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A549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6D6BC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86.41 ± 14.75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F59A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85.95 ± 14.80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E7D4A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0.902</w:t>
            </w:r>
          </w:p>
        </w:tc>
      </w:tr>
      <w:tr w:rsidR="00775182" w14:paraId="60B12D08" w14:textId="77777777">
        <w:trPr>
          <w:trHeight w:val="8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FF1F1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Fasting glucose (mmol/L)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422E6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3.49 ± 0.96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9B737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3.52 ± 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AC11A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7D69E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3.41 ± 0.97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89C2E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3.44 ± 0.95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8F783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0.889</w:t>
            </w:r>
          </w:p>
        </w:tc>
      </w:tr>
      <w:tr w:rsidR="00775182" w14:paraId="467A249F" w14:textId="77777777">
        <w:trPr>
          <w:trHeight w:val="81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2296C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Triglycerides (mmol/L)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24191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 ± 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F5C0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 ± 0.50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156FF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1933C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 ± 0.46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9C2B1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1.30 ± 0.47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65892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0.916</w:t>
            </w:r>
          </w:p>
        </w:tc>
      </w:tr>
      <w:tr w:rsidR="00775182" w14:paraId="716819DF" w14:textId="77777777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683FE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Total cholesterol (mmol/L)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D03A0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4.21 ± 0.78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561C2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4.18 ± 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62914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BD8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4.03 ± 0.68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A9F45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4.05 ± 0.70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A1A22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0.941</w:t>
            </w:r>
          </w:p>
        </w:tc>
      </w:tr>
      <w:tr w:rsidR="00775182" w14:paraId="638E0A91" w14:textId="77777777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31F9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HDL-C (mmol/L)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ACE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1.68 ± 0.27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A3874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1.70 ± 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6E190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32CA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1.69 ± 0.29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56CA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1.68 ± 0.28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D1462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0.927</w:t>
            </w:r>
          </w:p>
        </w:tc>
      </w:tr>
      <w:tr w:rsidR="00775182" w14:paraId="65269DF2" w14:textId="77777777">
        <w:trPr>
          <w:trHeight w:val="5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23B2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LDL-C (mmol/L)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D4C59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2.15 ± 0.78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7D2F8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 ± 0.80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C88BD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B8461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 ± 0.74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ADD63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2.10 ± 0.72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1BF35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0.955</w:t>
            </w:r>
          </w:p>
        </w:tc>
      </w:tr>
      <w:tr w:rsidR="00775182" w14:paraId="6ADAEFA0" w14:textId="77777777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FBF1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CRP (mg/L), median (IQR)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F8A73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5.36 (4.43–6.27)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22959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5.28 (4.35–6.20)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7E40D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1EEB6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2.78 (1.5–3.89)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0344A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2.81 (1.4–3.92)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6109B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0.933</w:t>
            </w:r>
          </w:p>
        </w:tc>
      </w:tr>
      <w:tr w:rsidR="00775182" w14:paraId="27B9A7B1" w14:textId="77777777">
        <w:trPr>
          <w:trHeight w:val="108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97612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-CRP (mg/L), median (IQR)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E1F12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5.19 (4.41–5.62)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2201FD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5.22 (4.38–5.60)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B2A05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2D92A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 (0.64–1.63)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645E1" w14:textId="77777777" w:rsidR="00775182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 (0.65–1.60)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6FDB3" w14:textId="77777777" w:rsidR="00775182" w:rsidRDefault="00000000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0.958</w:t>
            </w:r>
          </w:p>
        </w:tc>
      </w:tr>
    </w:tbl>
    <w:p w14:paraId="266BFF1A" w14:textId="77777777" w:rsidR="00775182" w:rsidRDefault="00000000">
      <w:r>
        <w:br w:type="page"/>
      </w:r>
    </w:p>
    <w:p w14:paraId="655C312B" w14:textId="77777777" w:rsidR="00775182" w:rsidRDefault="00000000">
      <w:r>
        <w:rPr>
          <w:rFonts w:hint="eastAsia"/>
          <w:noProof/>
        </w:rPr>
        <w:lastRenderedPageBreak/>
        <w:drawing>
          <wp:inline distT="0" distB="0" distL="114300" distR="114300">
            <wp:extent cx="4801235" cy="7202170"/>
            <wp:effectExtent l="0" t="0" r="18415" b="17780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72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57428" w14:textId="77777777" w:rsidR="00775182" w:rsidRDefault="00000000">
      <w:pPr>
        <w:widowControl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Figure S1. Machine learning workflow for identifying immune factors associated with gout.</w:t>
      </w:r>
    </w:p>
    <w:p w14:paraId="2F845594" w14:textId="77777777" w:rsidR="00775182" w:rsidRDefault="00000000">
      <w:pPr>
        <w:widowControl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figure illustrates the overall modeling framework. Immune variables </w:t>
      </w:r>
      <w:proofErr w:type="gramStart"/>
      <w:r>
        <w:rPr>
          <w:rFonts w:ascii="Times New Roman" w:hAnsi="Times New Roman" w:cs="Times New Roman"/>
          <w:sz w:val="24"/>
        </w:rPr>
        <w:t>were standardized</w:t>
      </w:r>
      <w:proofErr w:type="gramEnd"/>
      <w:r>
        <w:rPr>
          <w:rFonts w:ascii="Times New Roman" w:hAnsi="Times New Roman" w:cs="Times New Roman"/>
          <w:sz w:val="24"/>
        </w:rPr>
        <w:t xml:space="preserve"> using Z-score normalization, followed by feature selection through LASSO regression with 5-fold cross-validation and Random Forest (RF) variable </w:t>
      </w:r>
      <w:r>
        <w:rPr>
          <w:rFonts w:ascii="Times New Roman" w:hAnsi="Times New Roman" w:cs="Times New Roman"/>
          <w:sz w:val="24"/>
        </w:rPr>
        <w:lastRenderedPageBreak/>
        <w:t xml:space="preserve">importance ranking. Candidate features identified by both methods </w:t>
      </w:r>
      <w:proofErr w:type="gramStart"/>
      <w:r>
        <w:rPr>
          <w:rFonts w:ascii="Times New Roman" w:hAnsi="Times New Roman" w:cs="Times New Roman"/>
          <w:sz w:val="24"/>
        </w:rPr>
        <w:t>were incorporated</w:t>
      </w:r>
      <w:proofErr w:type="gramEnd"/>
      <w:r>
        <w:rPr>
          <w:rFonts w:ascii="Times New Roman" w:hAnsi="Times New Roman" w:cs="Times New Roman"/>
          <w:sz w:val="24"/>
        </w:rPr>
        <w:t xml:space="preserve"> into predictive modeling using </w:t>
      </w:r>
      <w:proofErr w:type="spellStart"/>
      <w:r>
        <w:rPr>
          <w:rFonts w:ascii="Times New Roman" w:hAnsi="Times New Roman" w:cs="Times New Roman"/>
          <w:sz w:val="24"/>
        </w:rPr>
        <w:t>eXtreme</w:t>
      </w:r>
      <w:proofErr w:type="spellEnd"/>
      <w:r>
        <w:rPr>
          <w:rFonts w:ascii="Times New Roman" w:hAnsi="Times New Roman" w:cs="Times New Roman"/>
          <w:sz w:val="24"/>
        </w:rPr>
        <w:t xml:space="preserve"> Gradient Boosting (</w:t>
      </w:r>
      <w:proofErr w:type="spellStart"/>
      <w:r>
        <w:rPr>
          <w:rFonts w:ascii="Times New Roman" w:hAnsi="Times New Roman" w:cs="Times New Roman"/>
          <w:sz w:val="24"/>
        </w:rPr>
        <w:t>XGBoost</w:t>
      </w:r>
      <w:proofErr w:type="spellEnd"/>
      <w:r>
        <w:rPr>
          <w:rFonts w:ascii="Times New Roman" w:hAnsi="Times New Roman" w:cs="Times New Roman"/>
          <w:sz w:val="24"/>
        </w:rPr>
        <w:t xml:space="preserve">) and multivariate logistic regression. Model optimization </w:t>
      </w:r>
      <w:proofErr w:type="gramStart"/>
      <w:r>
        <w:rPr>
          <w:rFonts w:ascii="Times New Roman" w:hAnsi="Times New Roman" w:cs="Times New Roman"/>
          <w:sz w:val="24"/>
        </w:rPr>
        <w:t>was performed</w:t>
      </w:r>
      <w:proofErr w:type="gramEnd"/>
      <w:r>
        <w:rPr>
          <w:rFonts w:ascii="Times New Roman" w:hAnsi="Times New Roman" w:cs="Times New Roman"/>
          <w:sz w:val="24"/>
        </w:rPr>
        <w:t xml:space="preserve"> via grid search and cross-validation, with performance evaluated by accuracy, sensitivity, specificity, and area under the ROC curve (AUC). </w:t>
      </w:r>
      <w:proofErr w:type="spellStart"/>
      <w:r>
        <w:rPr>
          <w:rFonts w:ascii="Times New Roman" w:hAnsi="Times New Roman" w:cs="Times New Roman"/>
          <w:sz w:val="24"/>
        </w:rPr>
        <w:t>SHapley</w:t>
      </w:r>
      <w:proofErr w:type="spellEnd"/>
      <w:r>
        <w:rPr>
          <w:rFonts w:ascii="Times New Roman" w:hAnsi="Times New Roman" w:cs="Times New Roman"/>
          <w:sz w:val="24"/>
        </w:rPr>
        <w:t xml:space="preserve"> Additive </w:t>
      </w:r>
      <w:proofErr w:type="spellStart"/>
      <w:r>
        <w:rPr>
          <w:rFonts w:ascii="Times New Roman" w:hAnsi="Times New Roman" w:cs="Times New Roman"/>
          <w:sz w:val="24"/>
        </w:rPr>
        <w:t>exPlanations</w:t>
      </w:r>
      <w:proofErr w:type="spellEnd"/>
      <w:r>
        <w:rPr>
          <w:rFonts w:ascii="Times New Roman" w:hAnsi="Times New Roman" w:cs="Times New Roman"/>
          <w:sz w:val="24"/>
        </w:rPr>
        <w:t xml:space="preserve"> (SHAP) analysis </w:t>
      </w:r>
      <w:proofErr w:type="gramStart"/>
      <w:r>
        <w:rPr>
          <w:rFonts w:ascii="Times New Roman" w:hAnsi="Times New Roman" w:cs="Times New Roman"/>
          <w:sz w:val="24"/>
        </w:rPr>
        <w:t>was applied</w:t>
      </w:r>
      <w:proofErr w:type="gramEnd"/>
      <w:r>
        <w:rPr>
          <w:rFonts w:ascii="Times New Roman" w:hAnsi="Times New Roman" w:cs="Times New Roman"/>
          <w:sz w:val="24"/>
        </w:rPr>
        <w:t xml:space="preserve"> to the </w:t>
      </w:r>
      <w:proofErr w:type="spellStart"/>
      <w:r>
        <w:rPr>
          <w:rFonts w:ascii="Times New Roman" w:hAnsi="Times New Roman" w:cs="Times New Roman"/>
          <w:sz w:val="24"/>
        </w:rPr>
        <w:t>XGBoost</w:t>
      </w:r>
      <w:proofErr w:type="spellEnd"/>
      <w:r>
        <w:rPr>
          <w:rFonts w:ascii="Times New Roman" w:hAnsi="Times New Roman" w:cs="Times New Roman"/>
          <w:sz w:val="24"/>
        </w:rPr>
        <w:t xml:space="preserve"> model to interpret the contributions and directional effects of key immune factors.</w:t>
      </w:r>
    </w:p>
    <w:p w14:paraId="38E56EC7" w14:textId="77777777" w:rsidR="00775182" w:rsidRDefault="00775182"/>
    <w:sectPr w:rsidR="00775182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8629" w14:textId="77777777" w:rsidR="004A0900" w:rsidRDefault="004A0900">
      <w:r>
        <w:separator/>
      </w:r>
    </w:p>
  </w:endnote>
  <w:endnote w:type="continuationSeparator" w:id="0">
    <w:p w14:paraId="33CC8434" w14:textId="77777777" w:rsidR="004A0900" w:rsidRDefault="004A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36EF" w14:textId="77777777" w:rsidR="0077518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4282079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D8B99" w14:textId="77777777" w:rsidR="0077518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154D8B99" w14:textId="77777777" w:rsidR="0077518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DE38" w14:textId="77777777" w:rsidR="0077518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28578386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DAFB" w14:textId="77777777" w:rsidR="0077518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6B32DAFB" w14:textId="77777777" w:rsidR="0077518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7B6D" w14:textId="77777777" w:rsidR="00775182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3671170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F66E75" w14:textId="77777777" w:rsidR="00775182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8Tw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O5nar6E541QOxoV7y7cdlt4xH16Yww3jIKja&#10;8IyHVNBXFC6Ikhbc97/ZYzwSj15KelRMRQ1KmhL1yeBCiuUiz6PC0g2Bm0CdwPx9vox+c9SPgGKc&#10;47uwPMEYHNQEpQP9DUW9idXQxQzHmhWtJ/gYRv3io+Bis0lBKCbLws7sLY+pI2febo4BiUz8RpZG&#10;Ti7koZzShi7Sj3r9+Z6ibg90/QM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JcjxPD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66F66E75" w14:textId="77777777" w:rsidR="00775182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6CBD" w14:textId="77777777" w:rsidR="004A0900" w:rsidRDefault="004A0900">
      <w:r>
        <w:separator/>
      </w:r>
    </w:p>
  </w:footnote>
  <w:footnote w:type="continuationSeparator" w:id="0">
    <w:p w14:paraId="6A920985" w14:textId="77777777" w:rsidR="004A0900" w:rsidRDefault="004A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42F"/>
    <w:rsid w:val="0021442F"/>
    <w:rsid w:val="004A0900"/>
    <w:rsid w:val="0073764F"/>
    <w:rsid w:val="00775182"/>
    <w:rsid w:val="007E42D7"/>
    <w:rsid w:val="00803786"/>
    <w:rsid w:val="0085718F"/>
    <w:rsid w:val="00931AF0"/>
    <w:rsid w:val="00F353B6"/>
    <w:rsid w:val="13642735"/>
    <w:rsid w:val="213F7CA8"/>
    <w:rsid w:val="51200CAA"/>
    <w:rsid w:val="6114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F416C1-8631-4F7D-ADA8-D73441A8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qFormat/>
    <w:rPr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Bartle, Claudia</cp:lastModifiedBy>
  <cp:revision>3</cp:revision>
  <dcterms:created xsi:type="dcterms:W3CDTF">2025-09-09T02:30:00Z</dcterms:created>
  <dcterms:modified xsi:type="dcterms:W3CDTF">2025-09-25T19:18:00Z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eyJoZGlkIjoiYmJkZTY2NzcwMjgyMGMzZTRmN2NjMjkwODdiNGM2YTAiLCJ1c2VySWQiOiI1MDM5NDMyMzYifQ==</vt:lpwstr>
  </property>
  <property fmtid="{D5CDD505-2E9C-101B-9397-08002B2CF9AE}" pid="4" name="ICV">
    <vt:lpwstr>0FD7AC297F154F21B4038147A12A3400_12</vt:lpwstr>
  </property>
  <property fmtid="{D5CDD505-2E9C-101B-9397-08002B2CF9AE}" pid="5" name="ClassificationContentMarkingFooterShapeIds">
    <vt:lpwstr>4fac9a17,205ac9bd,1f817752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2025-09-24T23:47:26Z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c92c691f-0ab3-442b-8bed-1eea159b56ee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