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A1C43" w14:textId="028BC735" w:rsidR="00021BEC" w:rsidRPr="00590778" w:rsidRDefault="00021BEC" w:rsidP="00035A71">
      <w:pPr>
        <w:spacing w:before="163" w:after="163" w:line="300" w:lineRule="auto"/>
        <w:jc w:val="center"/>
        <w:rPr>
          <w:rFonts w:ascii="Times New Roman" w:hAnsi="Times New Roman" w:cs="Times New Roman"/>
          <w:b/>
          <w:bCs/>
          <w:color w:val="000000" w:themeColor="text1"/>
          <w:sz w:val="32"/>
          <w:szCs w:val="32"/>
        </w:rPr>
      </w:pPr>
      <w:r w:rsidRPr="00590778">
        <w:rPr>
          <w:rFonts w:ascii="Times New Roman" w:hAnsi="Times New Roman" w:cs="Times New Roman"/>
          <w:b/>
          <w:bCs/>
          <w:color w:val="000000" w:themeColor="text1"/>
          <w:sz w:val="32"/>
          <w:szCs w:val="32"/>
        </w:rPr>
        <w:t>Supplementary Material</w:t>
      </w:r>
    </w:p>
    <w:p w14:paraId="130254EE" w14:textId="77777777" w:rsidR="00B05231" w:rsidRPr="00590778" w:rsidRDefault="00B05231" w:rsidP="006B60E6">
      <w:pPr>
        <w:spacing w:before="163" w:afterLines="50" w:after="163" w:line="300" w:lineRule="auto"/>
        <w:jc w:val="both"/>
        <w:rPr>
          <w:rFonts w:ascii="Times New Roman" w:hAnsi="Times New Roman" w:cs="Times New Roman"/>
          <w:b/>
          <w:bCs/>
          <w:color w:val="000000" w:themeColor="text1"/>
        </w:rPr>
      </w:pPr>
    </w:p>
    <w:p w14:paraId="2DB2CF90" w14:textId="29F5B84A" w:rsidR="008370A1" w:rsidRPr="00590778" w:rsidRDefault="0043118F" w:rsidP="006B60E6">
      <w:pPr>
        <w:spacing w:beforeLines="50" w:before="163" w:afterLines="50" w:after="163" w:line="300" w:lineRule="auto"/>
        <w:jc w:val="both"/>
        <w:rPr>
          <w:rFonts w:ascii="Times New Roman" w:hAnsi="Times New Roman" w:cs="Times New Roman"/>
          <w:color w:val="000000" w:themeColor="text1"/>
        </w:rPr>
      </w:pPr>
      <w:r w:rsidRPr="00590778">
        <w:rPr>
          <w:rFonts w:ascii="Times New Roman" w:hAnsi="Times New Roman" w:cs="Times New Roman"/>
          <w:b/>
          <w:bCs/>
          <w:color w:val="000000" w:themeColor="text1"/>
        </w:rPr>
        <w:t>Supplementary Method S</w:t>
      </w:r>
      <w:r w:rsidR="00982DAD" w:rsidRPr="00590778">
        <w:rPr>
          <w:rFonts w:ascii="Times New Roman" w:hAnsi="Times New Roman" w:cs="Times New Roman"/>
          <w:b/>
          <w:bCs/>
          <w:color w:val="000000" w:themeColor="text1"/>
        </w:rPr>
        <w:t>1</w:t>
      </w:r>
      <w:r w:rsidRPr="00590778">
        <w:rPr>
          <w:rFonts w:ascii="Times New Roman" w:hAnsi="Times New Roman" w:cs="Times New Roman"/>
          <w:b/>
          <w:bCs/>
          <w:color w:val="000000" w:themeColor="text1"/>
        </w:rPr>
        <w:t xml:space="preserve">. </w:t>
      </w:r>
      <w:r w:rsidR="009035D4" w:rsidRPr="00590778">
        <w:rPr>
          <w:rFonts w:ascii="Times New Roman" w:hAnsi="Times New Roman" w:cs="Times New Roman"/>
          <w:color w:val="000000" w:themeColor="text1"/>
        </w:rPr>
        <w:t>UK Biobank validation cohort</w:t>
      </w:r>
    </w:p>
    <w:p w14:paraId="4BD5ED50" w14:textId="58CCABE2" w:rsidR="0043118F" w:rsidRPr="00590778" w:rsidRDefault="008370A1" w:rsidP="006B60E6">
      <w:pPr>
        <w:spacing w:beforeLines="50" w:before="163" w:after="50" w:line="300" w:lineRule="auto"/>
        <w:jc w:val="both"/>
        <w:rPr>
          <w:rFonts w:ascii="Times New Roman" w:hAnsi="Times New Roman" w:cs="Times New Roman"/>
          <w:color w:val="000000" w:themeColor="text1"/>
        </w:rPr>
      </w:pPr>
      <w:r w:rsidRPr="00590778">
        <w:rPr>
          <w:rFonts w:ascii="Times New Roman" w:hAnsi="Times New Roman" w:cs="Times New Roman"/>
          <w:color w:val="000000" w:themeColor="text1"/>
        </w:rPr>
        <w:tab/>
      </w:r>
      <w:r w:rsidR="0043118F" w:rsidRPr="00590778">
        <w:rPr>
          <w:rFonts w:ascii="Times New Roman" w:hAnsi="Times New Roman" w:cs="Times New Roman"/>
          <w:color w:val="000000" w:themeColor="text1"/>
        </w:rPr>
        <w:t>To validate the surrogate endpoint of a ≥ 30% eGFR decline over two years, we used data from the UK Biobank (UKB). The UKB is a large‐scale prospective cohort that enrolled 502,413 participants aged 40–69 across the United Kingdom between 2006 and 2010</w:t>
      </w:r>
      <w:r w:rsidRPr="00590778">
        <w:rPr>
          <w:rFonts w:ascii="Times New Roman" w:hAnsi="Times New Roman" w:cs="Times New Roman"/>
          <w:color w:val="000000" w:themeColor="text1"/>
        </w:rPr>
        <w:t>, and which we used for our validation cohort, can also be found elsewhere</w:t>
      </w:r>
      <w:r w:rsidR="00466BAC" w:rsidRPr="00590778">
        <w:rPr>
          <w:rFonts w:ascii="Times New Roman" w:hAnsi="Times New Roman" w:cs="Times New Roman"/>
          <w:color w:val="000000" w:themeColor="text1"/>
        </w:rPr>
        <w:t xml:space="preserve">. </w:t>
      </w:r>
      <w:r w:rsidRPr="00590778">
        <w:rPr>
          <w:rFonts w:ascii="Times New Roman" w:hAnsi="Times New Roman" w:cs="Times New Roman"/>
          <w:color w:val="000000" w:themeColor="text1"/>
        </w:rPr>
        <w:fldChar w:fldCharType="begin">
          <w:fldData xml:space="preserve">PEVuZE5vdGU+PENpdGU+PEF1dGhvcj5CeWNyb2Z0PC9BdXRob3I+PFllYXI+MjAxODwvWWVhcj48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=
</w:fldData>
        </w:fldChar>
      </w:r>
      <w:r w:rsidR="00847BB0" w:rsidRPr="00590778">
        <w:rPr>
          <w:rFonts w:ascii="Times New Roman" w:hAnsi="Times New Roman" w:cs="Times New Roman"/>
          <w:color w:val="000000" w:themeColor="text1"/>
        </w:rPr>
        <w:instrText xml:space="preserve"> ADDIN EN.CITE </w:instrText>
      </w:r>
      <w:r w:rsidR="00847BB0" w:rsidRPr="00590778">
        <w:rPr>
          <w:rFonts w:ascii="Times New Roman" w:hAnsi="Times New Roman" w:cs="Times New Roman"/>
          <w:color w:val="000000" w:themeColor="text1"/>
        </w:rPr>
        <w:fldChar w:fldCharType="begin">
          <w:fldData xml:space="preserve">PEVuZE5vdGU+PENpdGU+PEF1dGhvcj5CeWNyb2Z0PC9BdXRob3I+PFllYXI+MjAxODwvWWVhcj48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=
</w:fldData>
        </w:fldChar>
      </w:r>
      <w:r w:rsidR="00847BB0" w:rsidRPr="00590778">
        <w:rPr>
          <w:rFonts w:ascii="Times New Roman" w:hAnsi="Times New Roman" w:cs="Times New Roman"/>
          <w:color w:val="000000" w:themeColor="text1"/>
        </w:rPr>
        <w:instrText xml:space="preserve"> ADDIN EN.CITE.DATA </w:instrText>
      </w:r>
      <w:r w:rsidR="00847BB0" w:rsidRPr="00590778">
        <w:rPr>
          <w:rFonts w:ascii="Times New Roman" w:hAnsi="Times New Roman" w:cs="Times New Roman"/>
          <w:color w:val="000000" w:themeColor="text1"/>
        </w:rPr>
      </w:r>
      <w:r w:rsidR="00847BB0" w:rsidRPr="00590778">
        <w:rPr>
          <w:rFonts w:ascii="Times New Roman" w:hAnsi="Times New Roman" w:cs="Times New Roman"/>
          <w:color w:val="000000" w:themeColor="text1"/>
        </w:rPr>
        <w:fldChar w:fldCharType="end"/>
      </w:r>
      <w:r w:rsidRPr="00590778">
        <w:rPr>
          <w:rFonts w:ascii="Times New Roman" w:hAnsi="Times New Roman" w:cs="Times New Roman"/>
          <w:color w:val="000000" w:themeColor="text1"/>
        </w:rPr>
      </w:r>
      <w:r w:rsidRPr="00590778">
        <w:rPr>
          <w:rFonts w:ascii="Times New Roman" w:hAnsi="Times New Roman" w:cs="Times New Roman"/>
          <w:color w:val="000000" w:themeColor="text1"/>
        </w:rPr>
        <w:fldChar w:fldCharType="separate"/>
      </w:r>
      <w:r w:rsidR="00847BB0" w:rsidRPr="00590778">
        <w:rPr>
          <w:rFonts w:ascii="Times New Roman" w:hAnsi="Times New Roman" w:cs="Times New Roman"/>
          <w:noProof/>
          <w:color w:val="000000" w:themeColor="text1"/>
          <w:vertAlign w:val="superscript"/>
        </w:rPr>
        <w:t>1</w:t>
      </w:r>
      <w:r w:rsidRPr="00590778">
        <w:rPr>
          <w:rFonts w:ascii="Times New Roman" w:hAnsi="Times New Roman" w:cs="Times New Roman"/>
          <w:color w:val="000000" w:themeColor="text1"/>
        </w:rPr>
        <w:fldChar w:fldCharType="end"/>
      </w:r>
      <w:r w:rsidR="0043118F" w:rsidRPr="00590778">
        <w:rPr>
          <w:rFonts w:ascii="Times New Roman" w:hAnsi="Times New Roman" w:cs="Times New Roman"/>
          <w:color w:val="000000" w:themeColor="text1"/>
        </w:rPr>
        <w:t xml:space="preserve"> We extracted a validation </w:t>
      </w:r>
      <w:proofErr w:type="spellStart"/>
      <w:r w:rsidR="0043118F" w:rsidRPr="00590778">
        <w:rPr>
          <w:rFonts w:ascii="Times New Roman" w:hAnsi="Times New Roman" w:cs="Times New Roman"/>
          <w:color w:val="000000" w:themeColor="text1"/>
        </w:rPr>
        <w:t>subcohort</w:t>
      </w:r>
      <w:proofErr w:type="spellEnd"/>
      <w:r w:rsidR="0043118F" w:rsidRPr="00590778">
        <w:rPr>
          <w:rFonts w:ascii="Times New Roman" w:hAnsi="Times New Roman" w:cs="Times New Roman"/>
          <w:color w:val="000000" w:themeColor="text1"/>
        </w:rPr>
        <w:t xml:space="preserve"> with complete baseline and follow‐up kidney function data as follows:</w:t>
      </w:r>
    </w:p>
    <w:p w14:paraId="28EA9B30" w14:textId="77777777" w:rsidR="0043118F" w:rsidRPr="00590778" w:rsidRDefault="0043118F" w:rsidP="006B60E6">
      <w:pPr>
        <w:pStyle w:val="ae"/>
        <w:numPr>
          <w:ilvl w:val="0"/>
          <w:numId w:val="5"/>
        </w:numPr>
        <w:spacing w:beforeLines="50" w:before="163" w:beforeAutospacing="0" w:after="50" w:afterAutospacing="0" w:line="300" w:lineRule="auto"/>
        <w:ind w:leftChars="50" w:left="480"/>
        <w:jc w:val="both"/>
        <w:rPr>
          <w:rFonts w:ascii="Times New Roman" w:hAnsi="Times New Roman" w:cs="Times New Roman"/>
          <w:color w:val="000000" w:themeColor="text1"/>
        </w:rPr>
      </w:pPr>
      <w:r w:rsidRPr="00590778">
        <w:rPr>
          <w:rStyle w:val="afa"/>
          <w:rFonts w:ascii="Times New Roman" w:hAnsi="Times New Roman" w:cs="Times New Roman"/>
          <w:color w:val="000000" w:themeColor="text1"/>
        </w:rPr>
        <w:t>Baseline cohort (2006–2010):</w:t>
      </w:r>
    </w:p>
    <w:p w14:paraId="4B5040F3" w14:textId="77777777" w:rsidR="0043118F" w:rsidRPr="00590778" w:rsidRDefault="0043118F" w:rsidP="006B60E6">
      <w:pPr>
        <w:pStyle w:val="ae"/>
        <w:numPr>
          <w:ilvl w:val="1"/>
          <w:numId w:val="5"/>
        </w:numPr>
        <w:spacing w:beforeLines="50" w:before="163" w:beforeAutospacing="0" w:after="50" w:afterAutospacing="0" w:line="300" w:lineRule="auto"/>
        <w:ind w:leftChars="50" w:left="560"/>
        <w:jc w:val="both"/>
        <w:rPr>
          <w:rFonts w:ascii="Times New Roman" w:hAnsi="Times New Roman" w:cs="Times New Roman"/>
          <w:color w:val="000000" w:themeColor="text1"/>
        </w:rPr>
      </w:pPr>
      <w:r w:rsidRPr="00590778">
        <w:rPr>
          <w:rStyle w:val="afa"/>
          <w:rFonts w:ascii="Times New Roman" w:hAnsi="Times New Roman" w:cs="Times New Roman"/>
          <w:color w:val="000000" w:themeColor="text1"/>
        </w:rPr>
        <w:t>Initial sample:</w:t>
      </w:r>
      <w:r w:rsidRPr="00590778">
        <w:rPr>
          <w:rFonts w:ascii="Times New Roman" w:hAnsi="Times New Roman" w:cs="Times New Roman"/>
          <w:color w:val="000000" w:themeColor="text1"/>
        </w:rPr>
        <w:t xml:space="preserve"> 502,413 participants.</w:t>
      </w:r>
    </w:p>
    <w:p w14:paraId="60D8932D" w14:textId="77777777" w:rsidR="0043118F" w:rsidRPr="00590778" w:rsidRDefault="0043118F" w:rsidP="006B60E6">
      <w:pPr>
        <w:pStyle w:val="ae"/>
        <w:numPr>
          <w:ilvl w:val="1"/>
          <w:numId w:val="5"/>
        </w:numPr>
        <w:spacing w:beforeLines="50" w:before="163" w:beforeAutospacing="0" w:after="50" w:afterAutospacing="0" w:line="300" w:lineRule="auto"/>
        <w:ind w:leftChars="50" w:left="560"/>
        <w:jc w:val="both"/>
        <w:rPr>
          <w:rFonts w:ascii="Times New Roman" w:hAnsi="Times New Roman" w:cs="Times New Roman"/>
          <w:color w:val="000000" w:themeColor="text1"/>
        </w:rPr>
      </w:pPr>
      <w:r w:rsidRPr="00590778">
        <w:rPr>
          <w:rStyle w:val="afa"/>
          <w:rFonts w:ascii="Times New Roman" w:hAnsi="Times New Roman" w:cs="Times New Roman"/>
          <w:color w:val="000000" w:themeColor="text1"/>
        </w:rPr>
        <w:t>Exclusions for analytical outliers:</w:t>
      </w:r>
    </w:p>
    <w:p w14:paraId="6F930A93" w14:textId="77777777" w:rsidR="0043118F" w:rsidRPr="00590778" w:rsidRDefault="0043118F" w:rsidP="006B60E6">
      <w:pPr>
        <w:pStyle w:val="ae"/>
        <w:numPr>
          <w:ilvl w:val="2"/>
          <w:numId w:val="5"/>
        </w:numPr>
        <w:spacing w:beforeLines="50" w:before="163" w:beforeAutospacing="0" w:after="50" w:afterAutospacing="0" w:line="300" w:lineRule="auto"/>
        <w:ind w:leftChars="50" w:left="480"/>
        <w:jc w:val="both"/>
        <w:rPr>
          <w:rFonts w:ascii="Times New Roman" w:hAnsi="Times New Roman" w:cs="Times New Roman"/>
          <w:color w:val="000000" w:themeColor="text1"/>
        </w:rPr>
      </w:pPr>
      <w:r w:rsidRPr="00590778">
        <w:rPr>
          <w:rFonts w:ascii="Times New Roman" w:hAnsi="Times New Roman" w:cs="Times New Roman"/>
          <w:color w:val="000000" w:themeColor="text1"/>
        </w:rPr>
        <w:t>329 participants with serum cystatin C ≥ 2 mg/L and concurrent serum creatinine ≤ 90 µmol/L.</w:t>
      </w:r>
    </w:p>
    <w:p w14:paraId="77099273" w14:textId="77777777" w:rsidR="0043118F" w:rsidRPr="00590778" w:rsidRDefault="0043118F" w:rsidP="006B60E6">
      <w:pPr>
        <w:pStyle w:val="ae"/>
        <w:numPr>
          <w:ilvl w:val="2"/>
          <w:numId w:val="5"/>
        </w:numPr>
        <w:spacing w:beforeLines="50" w:before="163" w:beforeAutospacing="0" w:after="50" w:afterAutospacing="0" w:line="300" w:lineRule="auto"/>
        <w:ind w:leftChars="50" w:left="480"/>
        <w:jc w:val="both"/>
        <w:rPr>
          <w:rFonts w:ascii="Times New Roman" w:hAnsi="Times New Roman" w:cs="Times New Roman"/>
          <w:color w:val="000000" w:themeColor="text1"/>
        </w:rPr>
      </w:pPr>
      <w:r w:rsidRPr="00590778">
        <w:rPr>
          <w:rFonts w:ascii="Times New Roman" w:hAnsi="Times New Roman" w:cs="Times New Roman"/>
          <w:color w:val="000000" w:themeColor="text1"/>
        </w:rPr>
        <w:t>439 participants with serum cystatin C ≤ 1 mg/L and concurrent serum creatinine ≥ 300 µmol/L.</w:t>
      </w:r>
    </w:p>
    <w:p w14:paraId="454438F1" w14:textId="77777777" w:rsidR="0043118F" w:rsidRPr="00590778" w:rsidRDefault="0043118F" w:rsidP="006B60E6">
      <w:pPr>
        <w:pStyle w:val="ae"/>
        <w:numPr>
          <w:ilvl w:val="1"/>
          <w:numId w:val="5"/>
        </w:numPr>
        <w:spacing w:beforeLines="50" w:before="163" w:beforeAutospacing="0" w:after="50" w:afterAutospacing="0" w:line="300" w:lineRule="auto"/>
        <w:ind w:leftChars="50" w:left="560"/>
        <w:jc w:val="both"/>
        <w:rPr>
          <w:rFonts w:ascii="Times New Roman" w:hAnsi="Times New Roman" w:cs="Times New Roman"/>
          <w:color w:val="000000" w:themeColor="text1"/>
        </w:rPr>
      </w:pPr>
      <w:r w:rsidRPr="00590778">
        <w:rPr>
          <w:rStyle w:val="afa"/>
          <w:rFonts w:ascii="Times New Roman" w:hAnsi="Times New Roman" w:cs="Times New Roman"/>
          <w:color w:val="000000" w:themeColor="text1"/>
        </w:rPr>
        <w:t>Missing data:</w:t>
      </w:r>
      <w:r w:rsidRPr="00590778">
        <w:rPr>
          <w:rFonts w:ascii="Times New Roman" w:hAnsi="Times New Roman" w:cs="Times New Roman"/>
          <w:color w:val="000000" w:themeColor="text1"/>
        </w:rPr>
        <w:t xml:space="preserve"> 33,488 participants missing baseline eGFR (estimated by the CKD‐EPI creatinine–cystatin C equation) were excluded.</w:t>
      </w:r>
    </w:p>
    <w:p w14:paraId="6549566E" w14:textId="77777777" w:rsidR="0043118F" w:rsidRPr="00590778" w:rsidRDefault="0043118F" w:rsidP="006B60E6">
      <w:pPr>
        <w:pStyle w:val="ae"/>
        <w:numPr>
          <w:ilvl w:val="0"/>
          <w:numId w:val="5"/>
        </w:numPr>
        <w:spacing w:beforeLines="50" w:before="163" w:beforeAutospacing="0" w:after="50" w:afterAutospacing="0" w:line="300" w:lineRule="auto"/>
        <w:ind w:leftChars="50" w:left="480"/>
        <w:jc w:val="both"/>
        <w:rPr>
          <w:rFonts w:ascii="Times New Roman" w:hAnsi="Times New Roman" w:cs="Times New Roman"/>
          <w:color w:val="000000" w:themeColor="text1"/>
        </w:rPr>
      </w:pPr>
      <w:r w:rsidRPr="00590778">
        <w:rPr>
          <w:rStyle w:val="afa"/>
          <w:rFonts w:ascii="Times New Roman" w:hAnsi="Times New Roman" w:cs="Times New Roman"/>
          <w:color w:val="000000" w:themeColor="text1"/>
        </w:rPr>
        <w:t>First follow‐up (2012–2013):</w:t>
      </w:r>
    </w:p>
    <w:p w14:paraId="4985B4D8" w14:textId="77777777" w:rsidR="0043118F" w:rsidRPr="00590778" w:rsidRDefault="0043118F" w:rsidP="006B60E6">
      <w:pPr>
        <w:pStyle w:val="ae"/>
        <w:numPr>
          <w:ilvl w:val="1"/>
          <w:numId w:val="5"/>
        </w:numPr>
        <w:spacing w:beforeLines="50" w:before="163" w:beforeAutospacing="0" w:after="50" w:afterAutospacing="0" w:line="300" w:lineRule="auto"/>
        <w:ind w:leftChars="50" w:left="560"/>
        <w:jc w:val="both"/>
        <w:rPr>
          <w:rFonts w:ascii="Times New Roman" w:hAnsi="Times New Roman" w:cs="Times New Roman"/>
          <w:color w:val="000000" w:themeColor="text1"/>
        </w:rPr>
      </w:pPr>
      <w:r w:rsidRPr="00590778">
        <w:rPr>
          <w:rStyle w:val="afa"/>
          <w:rFonts w:ascii="Times New Roman" w:hAnsi="Times New Roman" w:cs="Times New Roman"/>
          <w:color w:val="000000" w:themeColor="text1"/>
        </w:rPr>
        <w:t>Analytical outliers at follow‐up:</w:t>
      </w:r>
    </w:p>
    <w:p w14:paraId="2977981D" w14:textId="77777777" w:rsidR="0043118F" w:rsidRPr="00590778" w:rsidRDefault="0043118F" w:rsidP="006B60E6">
      <w:pPr>
        <w:pStyle w:val="ae"/>
        <w:numPr>
          <w:ilvl w:val="2"/>
          <w:numId w:val="5"/>
        </w:numPr>
        <w:spacing w:beforeLines="50" w:before="163" w:beforeAutospacing="0" w:after="50" w:afterAutospacing="0" w:line="300" w:lineRule="auto"/>
        <w:ind w:leftChars="50" w:left="480"/>
        <w:jc w:val="both"/>
        <w:rPr>
          <w:rFonts w:ascii="Times New Roman" w:hAnsi="Times New Roman" w:cs="Times New Roman"/>
          <w:color w:val="000000" w:themeColor="text1"/>
        </w:rPr>
      </w:pPr>
      <w:r w:rsidRPr="00590778">
        <w:rPr>
          <w:rFonts w:ascii="Times New Roman" w:hAnsi="Times New Roman" w:cs="Times New Roman"/>
          <w:color w:val="000000" w:themeColor="text1"/>
        </w:rPr>
        <w:t>17 participants with serum cystatin C ≥ 2 mg/L and serum creatinine ≤ 90 µmol/L.</w:t>
      </w:r>
    </w:p>
    <w:p w14:paraId="6C135B9C" w14:textId="77777777" w:rsidR="0043118F" w:rsidRPr="00590778" w:rsidRDefault="0043118F" w:rsidP="006B60E6">
      <w:pPr>
        <w:pStyle w:val="ae"/>
        <w:numPr>
          <w:ilvl w:val="2"/>
          <w:numId w:val="5"/>
        </w:numPr>
        <w:spacing w:beforeLines="50" w:before="163" w:beforeAutospacing="0" w:after="50" w:afterAutospacing="0" w:line="300" w:lineRule="auto"/>
        <w:ind w:leftChars="50" w:left="480"/>
        <w:jc w:val="both"/>
        <w:rPr>
          <w:rFonts w:ascii="Times New Roman" w:hAnsi="Times New Roman" w:cs="Times New Roman"/>
          <w:color w:val="000000" w:themeColor="text1"/>
        </w:rPr>
      </w:pPr>
      <w:r w:rsidRPr="00590778">
        <w:rPr>
          <w:rFonts w:ascii="Times New Roman" w:hAnsi="Times New Roman" w:cs="Times New Roman"/>
          <w:color w:val="000000" w:themeColor="text1"/>
        </w:rPr>
        <w:t>36 participants with serum cystatin C ≤ 1 mg/L and serum creatinine ≥ 300 µmol/L.</w:t>
      </w:r>
    </w:p>
    <w:p w14:paraId="3DAE7006" w14:textId="77777777" w:rsidR="0043118F" w:rsidRPr="00590778" w:rsidRDefault="0043118F" w:rsidP="006B60E6">
      <w:pPr>
        <w:pStyle w:val="ae"/>
        <w:numPr>
          <w:ilvl w:val="1"/>
          <w:numId w:val="5"/>
        </w:numPr>
        <w:spacing w:beforeLines="50" w:before="163" w:beforeAutospacing="0" w:after="50" w:afterAutospacing="0" w:line="300" w:lineRule="auto"/>
        <w:ind w:leftChars="50" w:left="560"/>
        <w:jc w:val="both"/>
        <w:rPr>
          <w:rFonts w:ascii="Times New Roman" w:hAnsi="Times New Roman" w:cs="Times New Roman"/>
          <w:color w:val="000000" w:themeColor="text1"/>
        </w:rPr>
      </w:pPr>
      <w:r w:rsidRPr="00590778">
        <w:rPr>
          <w:rStyle w:val="afa"/>
          <w:rFonts w:ascii="Times New Roman" w:hAnsi="Times New Roman" w:cs="Times New Roman"/>
          <w:color w:val="000000" w:themeColor="text1"/>
        </w:rPr>
        <w:t>Missing follow‐up eGFR:</w:t>
      </w:r>
      <w:r w:rsidRPr="00590778">
        <w:rPr>
          <w:rFonts w:ascii="Times New Roman" w:hAnsi="Times New Roman" w:cs="Times New Roman"/>
          <w:color w:val="000000" w:themeColor="text1"/>
        </w:rPr>
        <w:t xml:space="preserve"> 452,305 participants were excluded for lacking a follow‐up eGFR measurement.</w:t>
      </w:r>
    </w:p>
    <w:p w14:paraId="680C75DC" w14:textId="77777777" w:rsidR="0043118F" w:rsidRPr="00590778" w:rsidRDefault="0043118F" w:rsidP="006B60E6">
      <w:pPr>
        <w:pStyle w:val="ae"/>
        <w:numPr>
          <w:ilvl w:val="0"/>
          <w:numId w:val="5"/>
        </w:numPr>
        <w:spacing w:beforeLines="50" w:before="163" w:beforeAutospacing="0" w:after="50" w:afterAutospacing="0" w:line="300" w:lineRule="auto"/>
        <w:ind w:leftChars="50" w:left="480"/>
        <w:jc w:val="both"/>
        <w:rPr>
          <w:rFonts w:ascii="Times New Roman" w:hAnsi="Times New Roman" w:cs="Times New Roman"/>
          <w:color w:val="000000" w:themeColor="text1"/>
        </w:rPr>
      </w:pPr>
      <w:r w:rsidRPr="00590778">
        <w:rPr>
          <w:rStyle w:val="afa"/>
          <w:rFonts w:ascii="Times New Roman" w:hAnsi="Times New Roman" w:cs="Times New Roman"/>
          <w:color w:val="000000" w:themeColor="text1"/>
        </w:rPr>
        <w:t>Interval‐length restriction:</w:t>
      </w:r>
    </w:p>
    <w:p w14:paraId="41127767" w14:textId="77777777" w:rsidR="0043118F" w:rsidRPr="00590778" w:rsidRDefault="0043118F" w:rsidP="006B60E6">
      <w:pPr>
        <w:pStyle w:val="ae"/>
        <w:numPr>
          <w:ilvl w:val="1"/>
          <w:numId w:val="5"/>
        </w:numPr>
        <w:spacing w:beforeLines="50" w:before="163" w:beforeAutospacing="0" w:after="50" w:afterAutospacing="0" w:line="300" w:lineRule="auto"/>
        <w:ind w:leftChars="50" w:left="560"/>
        <w:jc w:val="both"/>
        <w:rPr>
          <w:rFonts w:ascii="Times New Roman" w:hAnsi="Times New Roman" w:cs="Times New Roman"/>
          <w:color w:val="000000" w:themeColor="text1"/>
        </w:rPr>
      </w:pPr>
      <w:r w:rsidRPr="00590778">
        <w:rPr>
          <w:rFonts w:ascii="Times New Roman" w:hAnsi="Times New Roman" w:cs="Times New Roman"/>
          <w:color w:val="000000" w:themeColor="text1"/>
        </w:rPr>
        <w:t>10,239 participants were excluded because their follow‐up interval exceeded four years. We restricted to participants with a follow‐up interval between two and four years to align with the two‐year endpoint used in the elderly cohorts.</w:t>
      </w:r>
    </w:p>
    <w:p w14:paraId="7C7B7545" w14:textId="123D1354" w:rsidR="0043118F" w:rsidRPr="00590778" w:rsidRDefault="008370A1" w:rsidP="006B60E6">
      <w:pPr>
        <w:pStyle w:val="ae"/>
        <w:spacing w:beforeLines="50" w:before="163" w:beforeAutospacing="0" w:after="50" w:afterAutospacing="0" w:line="300" w:lineRule="auto"/>
        <w:jc w:val="both"/>
        <w:rPr>
          <w:rFonts w:ascii="Times New Roman" w:hAnsi="Times New Roman" w:cs="Times New Roman"/>
          <w:color w:val="000000" w:themeColor="text1"/>
        </w:rPr>
      </w:pPr>
      <w:r w:rsidRPr="00590778">
        <w:rPr>
          <w:rFonts w:ascii="Times New Roman" w:hAnsi="Times New Roman" w:cs="Times New Roman"/>
          <w:color w:val="000000" w:themeColor="text1"/>
        </w:rPr>
        <w:tab/>
      </w:r>
      <w:r w:rsidR="0043118F" w:rsidRPr="00590778">
        <w:rPr>
          <w:rFonts w:ascii="Times New Roman" w:hAnsi="Times New Roman" w:cs="Times New Roman"/>
          <w:color w:val="000000" w:themeColor="text1"/>
        </w:rPr>
        <w:t>After applying all exclusions, the final UKB validation cohort comprised 5,560 participants (Figure S</w:t>
      </w:r>
      <w:r w:rsidR="00BD599F" w:rsidRPr="00590778">
        <w:rPr>
          <w:rFonts w:ascii="Times New Roman" w:hAnsi="Times New Roman" w:cs="Times New Roman"/>
          <w:color w:val="000000" w:themeColor="text1"/>
        </w:rPr>
        <w:t>2</w:t>
      </w:r>
      <w:r w:rsidR="0043118F" w:rsidRPr="00590778">
        <w:rPr>
          <w:rFonts w:ascii="Times New Roman" w:hAnsi="Times New Roman" w:cs="Times New Roman"/>
          <w:color w:val="000000" w:themeColor="text1"/>
        </w:rPr>
        <w:t>). The mean age was 57.4 ± 7.2 years, and 50% were male</w:t>
      </w:r>
      <w:r w:rsidR="00EC3CD9" w:rsidRPr="00590778">
        <w:rPr>
          <w:rFonts w:ascii="Times New Roman" w:hAnsi="Times New Roman" w:cs="Times New Roman"/>
          <w:color w:val="000000" w:themeColor="text1"/>
        </w:rPr>
        <w:t xml:space="preserve"> (Table S1)</w:t>
      </w:r>
      <w:r w:rsidR="0043118F" w:rsidRPr="00590778">
        <w:rPr>
          <w:rFonts w:ascii="Times New Roman" w:hAnsi="Times New Roman" w:cs="Times New Roman"/>
          <w:color w:val="000000" w:themeColor="text1"/>
        </w:rPr>
        <w:t>.</w:t>
      </w:r>
    </w:p>
    <w:p w14:paraId="71FAD52B" w14:textId="149C0E31" w:rsidR="00FD0FF1" w:rsidRPr="00590778" w:rsidRDefault="0043118F" w:rsidP="006B60E6">
      <w:pPr>
        <w:spacing w:beforeLines="50" w:before="163" w:after="50" w:line="300" w:lineRule="auto"/>
        <w:rPr>
          <w:rFonts w:ascii="Times New Roman" w:hAnsi="Times New Roman" w:cs="Times New Roman"/>
          <w:color w:val="000000" w:themeColor="text1"/>
        </w:rPr>
      </w:pPr>
      <w:r w:rsidRPr="00590778">
        <w:rPr>
          <w:rStyle w:val="afa"/>
          <w:rFonts w:ascii="Times New Roman" w:hAnsi="Times New Roman" w:cs="Times New Roman"/>
          <w:color w:val="000000" w:themeColor="text1"/>
        </w:rPr>
        <w:lastRenderedPageBreak/>
        <w:t>Statistical Analysis for Validation</w:t>
      </w:r>
    </w:p>
    <w:p w14:paraId="5DFF96D6" w14:textId="3EEAD66B" w:rsidR="0043118F" w:rsidRPr="00590778" w:rsidRDefault="008370A1" w:rsidP="006B60E6">
      <w:pPr>
        <w:spacing w:beforeLines="50" w:before="163" w:after="50" w:line="300" w:lineRule="auto"/>
        <w:ind w:firstLine="420"/>
        <w:jc w:val="both"/>
        <w:rPr>
          <w:rFonts w:ascii="Times New Roman" w:hAnsi="Times New Roman" w:cs="Times New Roman"/>
          <w:color w:val="000000" w:themeColor="text1"/>
        </w:rPr>
      </w:pPr>
      <w:r w:rsidRPr="00590778">
        <w:rPr>
          <w:rFonts w:ascii="Times New Roman" w:hAnsi="Times New Roman" w:cs="Times New Roman"/>
          <w:color w:val="000000" w:themeColor="text1"/>
        </w:rPr>
        <w:t>Because it is difficult to observe ESRD or mortality over a relatively short timeframe in older adults—particularly those with multiple medical comorbidities—we chose a 30% reduction in estimated eGFR over two years as a surrogate endpoint for a rapid decline in kidney function. This approach has been applied in several previous meta-analyses</w:t>
      </w:r>
      <w:r w:rsidR="00847BB0" w:rsidRPr="00590778">
        <w:rPr>
          <w:rFonts w:ascii="Times New Roman" w:hAnsi="Times New Roman" w:cs="Times New Roman"/>
          <w:color w:val="000000" w:themeColor="text1"/>
        </w:rPr>
        <w:t>.</w:t>
      </w:r>
      <w:r w:rsidRPr="00590778">
        <w:rPr>
          <w:rFonts w:ascii="Times New Roman" w:hAnsi="Times New Roman" w:cs="Times New Roman"/>
          <w:color w:val="000000" w:themeColor="text1"/>
        </w:rPr>
        <w:t xml:space="preserve"> </w:t>
      </w:r>
      <w:r w:rsidRPr="00590778">
        <w:rPr>
          <w:rFonts w:ascii="Times New Roman" w:hAnsi="Times New Roman" w:cs="Times New Roman"/>
          <w:color w:val="000000" w:themeColor="text1"/>
        </w:rPr>
        <w:fldChar w:fldCharType="begin">
          <w:fldData xml:space="preserve">PEVuZE5vdGU+PENpdGU+PEF1dGhvcj5Db3Jlc2g8L0F1dGhvcj48WWVhcj4yMDE0PC9ZZWFyPjxS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</w:fldData>
        </w:fldChar>
      </w:r>
      <w:r w:rsidR="00847BB0" w:rsidRPr="00590778">
        <w:rPr>
          <w:rFonts w:ascii="Times New Roman" w:hAnsi="Times New Roman" w:cs="Times New Roman"/>
          <w:color w:val="000000" w:themeColor="text1"/>
        </w:rPr>
        <w:instrText xml:space="preserve"> ADDIN EN.CITE </w:instrText>
      </w:r>
      <w:r w:rsidR="00847BB0" w:rsidRPr="00590778">
        <w:rPr>
          <w:rFonts w:ascii="Times New Roman" w:hAnsi="Times New Roman" w:cs="Times New Roman"/>
          <w:color w:val="000000" w:themeColor="text1"/>
        </w:rPr>
        <w:fldChar w:fldCharType="begin">
          <w:fldData xml:space="preserve">PEVuZE5vdGU+PENpdGU+PEF1dGhvcj5Db3Jlc2g8L0F1dGhvcj48WWVhcj4yMDE0PC9ZZWFyPjxS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</w:fldData>
        </w:fldChar>
      </w:r>
      <w:r w:rsidR="00847BB0" w:rsidRPr="00590778">
        <w:rPr>
          <w:rFonts w:ascii="Times New Roman" w:hAnsi="Times New Roman" w:cs="Times New Roman"/>
          <w:color w:val="000000" w:themeColor="text1"/>
        </w:rPr>
        <w:instrText xml:space="preserve"> ADDIN EN.CITE.DATA </w:instrText>
      </w:r>
      <w:r w:rsidR="00847BB0" w:rsidRPr="00590778">
        <w:rPr>
          <w:rFonts w:ascii="Times New Roman" w:hAnsi="Times New Roman" w:cs="Times New Roman"/>
          <w:color w:val="000000" w:themeColor="text1"/>
        </w:rPr>
      </w:r>
      <w:r w:rsidR="00847BB0" w:rsidRPr="00590778">
        <w:rPr>
          <w:rFonts w:ascii="Times New Roman" w:hAnsi="Times New Roman" w:cs="Times New Roman"/>
          <w:color w:val="000000" w:themeColor="text1"/>
        </w:rPr>
        <w:fldChar w:fldCharType="end"/>
      </w:r>
      <w:r w:rsidRPr="00590778">
        <w:rPr>
          <w:rFonts w:ascii="Times New Roman" w:hAnsi="Times New Roman" w:cs="Times New Roman"/>
          <w:color w:val="000000" w:themeColor="text1"/>
        </w:rPr>
      </w:r>
      <w:r w:rsidRPr="00590778">
        <w:rPr>
          <w:rFonts w:ascii="Times New Roman" w:hAnsi="Times New Roman" w:cs="Times New Roman"/>
          <w:color w:val="000000" w:themeColor="text1"/>
        </w:rPr>
        <w:fldChar w:fldCharType="separate"/>
      </w:r>
      <w:r w:rsidR="00847BB0" w:rsidRPr="00590778">
        <w:rPr>
          <w:rFonts w:ascii="Times New Roman" w:hAnsi="Times New Roman" w:cs="Times New Roman"/>
          <w:noProof/>
          <w:color w:val="000000" w:themeColor="text1"/>
          <w:vertAlign w:val="superscript"/>
        </w:rPr>
        <w:t>2</w:t>
      </w:r>
      <w:r w:rsidRPr="00590778">
        <w:rPr>
          <w:rFonts w:ascii="Times New Roman" w:hAnsi="Times New Roman" w:cs="Times New Roman"/>
          <w:color w:val="000000" w:themeColor="text1"/>
        </w:rPr>
        <w:fldChar w:fldCharType="end"/>
      </w:r>
      <w:r w:rsidRPr="00590778">
        <w:rPr>
          <w:rFonts w:ascii="Times New Roman" w:hAnsi="Times New Roman" w:cs="Times New Roman"/>
          <w:color w:val="000000" w:themeColor="text1"/>
        </w:rPr>
        <w:t xml:space="preserve"> </w:t>
      </w:r>
      <w:r w:rsidRPr="00590778">
        <w:rPr>
          <w:rFonts w:ascii="Times New Roman" w:hAnsi="Times New Roman" w:cs="Times New Roman"/>
          <w:color w:val="000000" w:themeColor="text1"/>
        </w:rPr>
        <w:fldChar w:fldCharType="begin">
          <w:fldData xml:space="preserve">PEVuZE5vdGU+PENpdGU+PEF1dGhvcj5MYW1iZXJzIEhlZXJzcGluazwvQXV0aG9yPjxZZWFyPjIw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</w:fldData>
        </w:fldChar>
      </w:r>
      <w:r w:rsidR="00847BB0" w:rsidRPr="00590778">
        <w:rPr>
          <w:rFonts w:ascii="Times New Roman" w:hAnsi="Times New Roman" w:cs="Times New Roman"/>
          <w:color w:val="000000" w:themeColor="text1"/>
        </w:rPr>
        <w:instrText xml:space="preserve"> ADDIN EN.CITE </w:instrText>
      </w:r>
      <w:r w:rsidR="00847BB0" w:rsidRPr="00590778">
        <w:rPr>
          <w:rFonts w:ascii="Times New Roman" w:hAnsi="Times New Roman" w:cs="Times New Roman"/>
          <w:color w:val="000000" w:themeColor="text1"/>
        </w:rPr>
        <w:fldChar w:fldCharType="begin">
          <w:fldData xml:space="preserve">PEVuZE5vdGU+PENpdGU+PEF1dGhvcj5MYW1iZXJzIEhlZXJzcGluazwvQXV0aG9yPjxZZWFyPjIw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</w:fldData>
        </w:fldChar>
      </w:r>
      <w:r w:rsidR="00847BB0" w:rsidRPr="00590778">
        <w:rPr>
          <w:rFonts w:ascii="Times New Roman" w:hAnsi="Times New Roman" w:cs="Times New Roman"/>
          <w:color w:val="000000" w:themeColor="text1"/>
        </w:rPr>
        <w:instrText xml:space="preserve"> ADDIN EN.CITE.DATA </w:instrText>
      </w:r>
      <w:r w:rsidR="00847BB0" w:rsidRPr="00590778">
        <w:rPr>
          <w:rFonts w:ascii="Times New Roman" w:hAnsi="Times New Roman" w:cs="Times New Roman"/>
          <w:color w:val="000000" w:themeColor="text1"/>
        </w:rPr>
      </w:r>
      <w:r w:rsidR="00847BB0" w:rsidRPr="00590778">
        <w:rPr>
          <w:rFonts w:ascii="Times New Roman" w:hAnsi="Times New Roman" w:cs="Times New Roman"/>
          <w:color w:val="000000" w:themeColor="text1"/>
        </w:rPr>
        <w:fldChar w:fldCharType="end"/>
      </w:r>
      <w:r w:rsidRPr="00590778">
        <w:rPr>
          <w:rFonts w:ascii="Times New Roman" w:hAnsi="Times New Roman" w:cs="Times New Roman"/>
          <w:color w:val="000000" w:themeColor="text1"/>
        </w:rPr>
      </w:r>
      <w:r w:rsidRPr="00590778">
        <w:rPr>
          <w:rFonts w:ascii="Times New Roman" w:hAnsi="Times New Roman" w:cs="Times New Roman"/>
          <w:color w:val="000000" w:themeColor="text1"/>
        </w:rPr>
        <w:fldChar w:fldCharType="separate"/>
      </w:r>
      <w:r w:rsidR="00847BB0" w:rsidRPr="00590778">
        <w:rPr>
          <w:rFonts w:ascii="Times New Roman" w:hAnsi="Times New Roman" w:cs="Times New Roman"/>
          <w:noProof/>
          <w:color w:val="000000" w:themeColor="text1"/>
          <w:vertAlign w:val="superscript"/>
        </w:rPr>
        <w:t>3</w:t>
      </w:r>
      <w:r w:rsidRPr="00590778">
        <w:rPr>
          <w:rFonts w:ascii="Times New Roman" w:hAnsi="Times New Roman" w:cs="Times New Roman"/>
          <w:color w:val="000000" w:themeColor="text1"/>
        </w:rPr>
        <w:fldChar w:fldCharType="end"/>
      </w:r>
      <w:r w:rsidRPr="00590778">
        <w:rPr>
          <w:rFonts w:ascii="Times New Roman" w:hAnsi="Times New Roman" w:cs="Times New Roman"/>
          <w:color w:val="000000" w:themeColor="text1"/>
        </w:rPr>
        <w:t xml:space="preserve"> </w:t>
      </w:r>
      <w:r w:rsidRPr="00590778">
        <w:rPr>
          <w:rFonts w:ascii="Times New Roman" w:hAnsi="Times New Roman" w:cs="Times New Roman"/>
          <w:color w:val="000000" w:themeColor="text1"/>
        </w:rPr>
        <w:fldChar w:fldCharType="begin">
          <w:fldData xml:space="preserve">PEVuZE5vdGU+PENpdGU+PEF1dGhvcj5MZXZleTwvQXV0aG9yPjxZZWFyPjIwMTQ8L1llYXI+PFJl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==
</w:fldData>
        </w:fldChar>
      </w:r>
      <w:r w:rsidR="00847BB0" w:rsidRPr="00590778">
        <w:rPr>
          <w:rFonts w:ascii="Times New Roman" w:hAnsi="Times New Roman" w:cs="Times New Roman"/>
          <w:color w:val="000000" w:themeColor="text1"/>
        </w:rPr>
        <w:instrText xml:space="preserve"> ADDIN EN.CITE </w:instrText>
      </w:r>
      <w:r w:rsidR="00847BB0" w:rsidRPr="00590778">
        <w:rPr>
          <w:rFonts w:ascii="Times New Roman" w:hAnsi="Times New Roman" w:cs="Times New Roman"/>
          <w:color w:val="000000" w:themeColor="text1"/>
        </w:rPr>
        <w:fldChar w:fldCharType="begin">
          <w:fldData xml:space="preserve">PEVuZE5vdGU+PENpdGU+PEF1dGhvcj5MZXZleTwvQXV0aG9yPjxZZWFyPjIwMTQ8L1llYXI+PFJl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==
</w:fldData>
        </w:fldChar>
      </w:r>
      <w:r w:rsidR="00847BB0" w:rsidRPr="00590778">
        <w:rPr>
          <w:rFonts w:ascii="Times New Roman" w:hAnsi="Times New Roman" w:cs="Times New Roman"/>
          <w:color w:val="000000" w:themeColor="text1"/>
        </w:rPr>
        <w:instrText xml:space="preserve"> ADDIN EN.CITE.DATA </w:instrText>
      </w:r>
      <w:r w:rsidR="00847BB0" w:rsidRPr="00590778">
        <w:rPr>
          <w:rFonts w:ascii="Times New Roman" w:hAnsi="Times New Roman" w:cs="Times New Roman"/>
          <w:color w:val="000000" w:themeColor="text1"/>
        </w:rPr>
      </w:r>
      <w:r w:rsidR="00847BB0" w:rsidRPr="00590778">
        <w:rPr>
          <w:rFonts w:ascii="Times New Roman" w:hAnsi="Times New Roman" w:cs="Times New Roman"/>
          <w:color w:val="000000" w:themeColor="text1"/>
        </w:rPr>
        <w:fldChar w:fldCharType="end"/>
      </w:r>
      <w:r w:rsidRPr="00590778">
        <w:rPr>
          <w:rFonts w:ascii="Times New Roman" w:hAnsi="Times New Roman" w:cs="Times New Roman"/>
          <w:color w:val="000000" w:themeColor="text1"/>
        </w:rPr>
      </w:r>
      <w:r w:rsidRPr="00590778">
        <w:rPr>
          <w:rFonts w:ascii="Times New Roman" w:hAnsi="Times New Roman" w:cs="Times New Roman"/>
          <w:color w:val="000000" w:themeColor="text1"/>
        </w:rPr>
        <w:fldChar w:fldCharType="separate"/>
      </w:r>
      <w:r w:rsidR="00847BB0" w:rsidRPr="00590778">
        <w:rPr>
          <w:rFonts w:ascii="Times New Roman" w:hAnsi="Times New Roman" w:cs="Times New Roman"/>
          <w:noProof/>
          <w:color w:val="000000" w:themeColor="text1"/>
          <w:vertAlign w:val="superscript"/>
        </w:rPr>
        <w:t>4</w:t>
      </w:r>
      <w:r w:rsidRPr="00590778">
        <w:rPr>
          <w:rFonts w:ascii="Times New Roman" w:hAnsi="Times New Roman" w:cs="Times New Roman"/>
          <w:color w:val="000000" w:themeColor="text1"/>
        </w:rPr>
        <w:fldChar w:fldCharType="end"/>
      </w:r>
      <w:r w:rsidRPr="00590778">
        <w:rPr>
          <w:rFonts w:ascii="Times New Roman" w:hAnsi="Times New Roman" w:cs="Times New Roman"/>
          <w:color w:val="000000" w:themeColor="text1"/>
        </w:rPr>
        <w:t xml:space="preserve"> </w:t>
      </w:r>
      <w:r w:rsidRPr="00590778">
        <w:rPr>
          <w:rFonts w:ascii="Times New Roman" w:hAnsi="Times New Roman" w:cs="Times New Roman"/>
          <w:color w:val="000000" w:themeColor="text1"/>
        </w:rPr>
        <w:fldChar w:fldCharType="begin">
          <w:fldData xml:space="preserve">PEVuZE5vdGU+PENpdGU+PEF1dGhvcj5Lb3Zlc2R5PC9BdXRob3I+PFllYXI+MjAxNjwvWWVhcj48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</w:fldData>
        </w:fldChar>
      </w:r>
      <w:r w:rsidR="00847BB0" w:rsidRPr="00590778">
        <w:rPr>
          <w:rFonts w:ascii="Times New Roman" w:hAnsi="Times New Roman" w:cs="Times New Roman"/>
          <w:color w:val="000000" w:themeColor="text1"/>
        </w:rPr>
        <w:instrText xml:space="preserve"> ADDIN EN.CITE </w:instrText>
      </w:r>
      <w:r w:rsidR="00847BB0" w:rsidRPr="00590778">
        <w:rPr>
          <w:rFonts w:ascii="Times New Roman" w:hAnsi="Times New Roman" w:cs="Times New Roman"/>
          <w:color w:val="000000" w:themeColor="text1"/>
        </w:rPr>
        <w:fldChar w:fldCharType="begin">
          <w:fldData xml:space="preserve">PEVuZE5vdGU+PENpdGU+PEF1dGhvcj5Lb3Zlc2R5PC9BdXRob3I+PFllYXI+MjAxNjwvWWVhcj48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</w:fldData>
        </w:fldChar>
      </w:r>
      <w:r w:rsidR="00847BB0" w:rsidRPr="00590778">
        <w:rPr>
          <w:rFonts w:ascii="Times New Roman" w:hAnsi="Times New Roman" w:cs="Times New Roman"/>
          <w:color w:val="000000" w:themeColor="text1"/>
        </w:rPr>
        <w:instrText xml:space="preserve"> ADDIN EN.CITE.DATA </w:instrText>
      </w:r>
      <w:r w:rsidR="00847BB0" w:rsidRPr="00590778">
        <w:rPr>
          <w:rFonts w:ascii="Times New Roman" w:hAnsi="Times New Roman" w:cs="Times New Roman"/>
          <w:color w:val="000000" w:themeColor="text1"/>
        </w:rPr>
      </w:r>
      <w:r w:rsidR="00847BB0" w:rsidRPr="00590778">
        <w:rPr>
          <w:rFonts w:ascii="Times New Roman" w:hAnsi="Times New Roman" w:cs="Times New Roman"/>
          <w:color w:val="000000" w:themeColor="text1"/>
        </w:rPr>
        <w:fldChar w:fldCharType="end"/>
      </w:r>
      <w:r w:rsidRPr="00590778">
        <w:rPr>
          <w:rFonts w:ascii="Times New Roman" w:hAnsi="Times New Roman" w:cs="Times New Roman"/>
          <w:color w:val="000000" w:themeColor="text1"/>
        </w:rPr>
      </w:r>
      <w:r w:rsidRPr="00590778">
        <w:rPr>
          <w:rFonts w:ascii="Times New Roman" w:hAnsi="Times New Roman" w:cs="Times New Roman"/>
          <w:color w:val="000000" w:themeColor="text1"/>
        </w:rPr>
        <w:fldChar w:fldCharType="separate"/>
      </w:r>
      <w:r w:rsidR="00847BB0" w:rsidRPr="00590778">
        <w:rPr>
          <w:rFonts w:ascii="Times New Roman" w:hAnsi="Times New Roman" w:cs="Times New Roman"/>
          <w:noProof/>
          <w:color w:val="000000" w:themeColor="text1"/>
          <w:vertAlign w:val="superscript"/>
        </w:rPr>
        <w:t>5</w:t>
      </w:r>
      <w:r w:rsidRPr="00590778">
        <w:rPr>
          <w:rFonts w:ascii="Times New Roman" w:hAnsi="Times New Roman" w:cs="Times New Roman"/>
          <w:color w:val="000000" w:themeColor="text1"/>
        </w:rPr>
        <w:fldChar w:fldCharType="end"/>
      </w:r>
      <w:r w:rsidRPr="00590778">
        <w:rPr>
          <w:rFonts w:ascii="Times New Roman" w:hAnsi="Times New Roman" w:cs="Times New Roman"/>
          <w:color w:val="000000" w:themeColor="text1"/>
        </w:rPr>
        <w:t xml:space="preserve"> However, these studies primarily focused on middle-aged cohorts (with a mean age of approximately 52 years, and a range of 37–65 years), where women comprised only 37% of the participants, and that predominately enrolled patients who had already been diagnosed with CKD. Our study sample, in contrast, included both community-dwelling older adults and individuals with CKD, meaning it encompassed a broader demographic. We used the UK Biobank cohort (n = 5560, mean age 57.4 ± 7.2 years, 50% male) to validate the feasibility and sensitivity of a 30% eGFR decline as a surrogate endpoint for adverse renal outcomes. After adjusting for possible confounders, including age, sex, diabetes mellitus, hypertension, cancer, stroke, baseline eGFR, and baseline serum albumin, significant associations were identified between three thresholds of eGFR decline (30%, 35%, and 50%) and all-cause mortality, with hazard ratios of 6. 37 (95% CI 2.33–17.38; </w:t>
      </w:r>
      <w:r w:rsidR="003B6FB1" w:rsidRPr="00590778">
        <w:rPr>
          <w:rFonts w:ascii="Times New Roman" w:hAnsi="Times New Roman" w:cs="Times New Roman"/>
          <w:i/>
          <w:iCs/>
          <w:color w:val="000000" w:themeColor="text1"/>
        </w:rPr>
        <w:t>p</w:t>
      </w:r>
      <w:r w:rsidRPr="00590778">
        <w:rPr>
          <w:rFonts w:ascii="Times New Roman" w:hAnsi="Times New Roman" w:cs="Times New Roman"/>
          <w:color w:val="000000" w:themeColor="text1"/>
        </w:rPr>
        <w:t xml:space="preserve"> &lt; 0.001), 4.93 (95% CI 1.20–20.21; </w:t>
      </w:r>
      <w:r w:rsidRPr="00590778">
        <w:rPr>
          <w:rFonts w:ascii="Times New Roman" w:hAnsi="Times New Roman" w:cs="Times New Roman"/>
          <w:i/>
          <w:iCs/>
          <w:color w:val="000000" w:themeColor="text1"/>
        </w:rPr>
        <w:t>p</w:t>
      </w:r>
      <w:r w:rsidRPr="00590778">
        <w:rPr>
          <w:rFonts w:ascii="Times New Roman" w:hAnsi="Times New Roman" w:cs="Times New Roman"/>
          <w:color w:val="000000" w:themeColor="text1"/>
        </w:rPr>
        <w:t xml:space="preserve"> = 0.026), and 8.26 (95% CI 1.14–59.71; </w:t>
      </w:r>
      <w:r w:rsidR="006C3EF6" w:rsidRPr="00590778">
        <w:rPr>
          <w:rFonts w:ascii="Times New Roman" w:hAnsi="Times New Roman" w:cs="Times New Roman"/>
          <w:i/>
          <w:iCs/>
          <w:color w:val="000000" w:themeColor="text1"/>
        </w:rPr>
        <w:t>p</w:t>
      </w:r>
      <w:r w:rsidRPr="00590778">
        <w:rPr>
          <w:rFonts w:ascii="Times New Roman" w:hAnsi="Times New Roman" w:cs="Times New Roman"/>
          <w:color w:val="000000" w:themeColor="text1"/>
        </w:rPr>
        <w:t xml:space="preserve"> = 0.036), respectively (Table S2). These findings further supported the utility of a 30% decline in eGFR as a robust surrogate indicator of rapid kidney function decline and facilitated subsequent risk stratification analyses.</w:t>
      </w:r>
    </w:p>
    <w:p w14:paraId="641AB233" w14:textId="4D3607AD" w:rsidR="00B57155" w:rsidRPr="00590778" w:rsidRDefault="00B57155" w:rsidP="006B60E6">
      <w:pPr>
        <w:spacing w:beforeLines="50" w:before="163" w:afterLines="50" w:after="163" w:line="300" w:lineRule="auto"/>
        <w:jc w:val="both"/>
        <w:rPr>
          <w:rFonts w:ascii="Times New Roman" w:hAnsi="Times New Roman" w:cs="Times New Roman"/>
          <w:b/>
          <w:bCs/>
          <w:color w:val="000000" w:themeColor="text1"/>
        </w:rPr>
      </w:pPr>
      <w:r w:rsidRPr="00590778">
        <w:rPr>
          <w:rFonts w:ascii="Times New Roman" w:hAnsi="Times New Roman" w:cs="Times New Roman"/>
          <w:b/>
          <w:bCs/>
          <w:color w:val="000000" w:themeColor="text1"/>
        </w:rPr>
        <w:br w:type="page"/>
      </w:r>
    </w:p>
    <w:p w14:paraId="29827B1E" w14:textId="46E6CADF" w:rsidR="006B60E6" w:rsidRPr="00590778" w:rsidRDefault="006B60E6" w:rsidP="006B60E6">
      <w:pPr>
        <w:spacing w:beforeLines="50" w:before="163" w:afterLines="50" w:after="163" w:line="300" w:lineRule="auto"/>
        <w:jc w:val="both"/>
        <w:rPr>
          <w:rFonts w:ascii="Times New Roman" w:hAnsi="Times New Roman" w:cs="Times New Roman"/>
          <w:color w:val="000000" w:themeColor="text1"/>
        </w:rPr>
      </w:pPr>
      <w:bookmarkStart w:id="0" w:name="OLE_LINK1"/>
      <w:r w:rsidRPr="00590778">
        <w:rPr>
          <w:rFonts w:ascii="Times New Roman" w:hAnsi="Times New Roman" w:cs="Times New Roman"/>
          <w:b/>
          <w:bCs/>
          <w:color w:val="000000" w:themeColor="text1"/>
        </w:rPr>
        <w:lastRenderedPageBreak/>
        <w:t xml:space="preserve">Supplementary Method S2. </w:t>
      </w:r>
      <w:r w:rsidR="009035D4" w:rsidRPr="00590778">
        <w:rPr>
          <w:rFonts w:ascii="Times New Roman" w:hAnsi="Times New Roman" w:cs="Times New Roman"/>
          <w:color w:val="000000" w:themeColor="text1"/>
        </w:rPr>
        <w:t xml:space="preserve">Calculation of adjusted incidence </w:t>
      </w:r>
      <w:r w:rsidR="00700F54" w:rsidRPr="00590778">
        <w:rPr>
          <w:rFonts w:ascii="Times New Roman" w:hAnsi="Times New Roman" w:cs="Times New Roman"/>
          <w:color w:val="000000" w:themeColor="text1"/>
        </w:rPr>
        <w:t>rate</w:t>
      </w:r>
      <w:r w:rsidR="009035D4" w:rsidRPr="00590778">
        <w:rPr>
          <w:rFonts w:ascii="Times New Roman" w:hAnsi="Times New Roman" w:cs="Times New Roman"/>
          <w:color w:val="000000" w:themeColor="text1"/>
        </w:rPr>
        <w:t xml:space="preserve"> probability</w:t>
      </w:r>
    </w:p>
    <w:p w14:paraId="0DBA056B" w14:textId="38294F31" w:rsidR="006B60E6" w:rsidRPr="00590778" w:rsidRDefault="006B60E6" w:rsidP="00181802">
      <w:pPr>
        <w:spacing w:beforeLines="50" w:before="163" w:afterLines="50" w:after="163" w:line="300" w:lineRule="auto"/>
        <w:ind w:firstLine="420"/>
        <w:jc w:val="both"/>
        <w:rPr>
          <w:rFonts w:ascii="Times New Roman" w:hAnsi="Times New Roman" w:cs="Times New Roman"/>
          <w:color w:val="000000" w:themeColor="text1"/>
        </w:rPr>
      </w:pPr>
      <w:r w:rsidRPr="00590778">
        <w:rPr>
          <w:rFonts w:ascii="Times New Roman" w:hAnsi="Times New Roman" w:cs="Times New Roman"/>
          <w:color w:val="000000" w:themeColor="text1"/>
        </w:rPr>
        <w:t>To control for confounding factors in the analysis of rapid renal function decline, a single logistic regression was utilized to calculate adjusted</w:t>
      </w:r>
      <w:r w:rsidR="000A1F43" w:rsidRPr="00590778">
        <w:rPr>
          <w:rFonts w:ascii="Times New Roman" w:hAnsi="Times New Roman" w:cs="Times New Roman"/>
          <w:color w:val="000000" w:themeColor="text1"/>
        </w:rPr>
        <w:t xml:space="preserve"> incidence</w:t>
      </w:r>
      <w:r w:rsidRPr="00590778">
        <w:rPr>
          <w:rFonts w:ascii="Times New Roman" w:hAnsi="Times New Roman" w:cs="Times New Roman"/>
          <w:color w:val="000000" w:themeColor="text1"/>
        </w:rPr>
        <w:t xml:space="preserve"> </w:t>
      </w:r>
      <w:r w:rsidR="00700F54" w:rsidRPr="00590778">
        <w:rPr>
          <w:rFonts w:ascii="Times New Roman" w:hAnsi="Times New Roman" w:cs="Times New Roman"/>
          <w:color w:val="000000" w:themeColor="text1"/>
        </w:rPr>
        <w:t>rate</w:t>
      </w:r>
      <w:r w:rsidRPr="00590778">
        <w:rPr>
          <w:rFonts w:ascii="Times New Roman" w:hAnsi="Times New Roman" w:cs="Times New Roman"/>
          <w:color w:val="000000" w:themeColor="text1"/>
        </w:rPr>
        <w:t xml:space="preserve"> probabilities. The methodology consisted of the following steps:</w:t>
      </w:r>
    </w:p>
    <w:p w14:paraId="346E9358" w14:textId="77777777" w:rsidR="006B60E6" w:rsidRPr="00590778" w:rsidRDefault="006B60E6" w:rsidP="006B60E6">
      <w:pPr>
        <w:pStyle w:val="a9"/>
        <w:numPr>
          <w:ilvl w:val="0"/>
          <w:numId w:val="1"/>
        </w:numPr>
        <w:spacing w:before="163" w:after="163" w:line="300" w:lineRule="auto"/>
        <w:rPr>
          <w:rFonts w:cs="Times New Roman"/>
          <w:b/>
          <w:bCs/>
        </w:rPr>
      </w:pPr>
      <w:r w:rsidRPr="00590778">
        <w:rPr>
          <w:rFonts w:cs="Times New Roman"/>
          <w:b/>
          <w:bCs/>
        </w:rPr>
        <w:t>Model Development</w:t>
      </w:r>
    </w:p>
    <w:p w14:paraId="111756A9" w14:textId="77777777" w:rsidR="006B60E6" w:rsidRPr="00590778" w:rsidRDefault="006B60E6" w:rsidP="00181802">
      <w:pPr>
        <w:pStyle w:val="p1"/>
        <w:spacing w:beforeLines="50" w:before="163" w:after="50" w:line="300" w:lineRule="auto"/>
        <w:ind w:firstLine="420"/>
        <w:rPr>
          <w:rFonts w:ascii="Times New Roman" w:hAnsi="Times New Roman" w:cs="Times New Roman"/>
          <w:color w:val="000000" w:themeColor="text1"/>
          <w:sz w:val="24"/>
          <w:szCs w:val="24"/>
        </w:rPr>
      </w:pPr>
      <w:r w:rsidRPr="00590778">
        <w:rPr>
          <w:rFonts w:ascii="Times New Roman" w:hAnsi="Times New Roman" w:cs="Times New Roman"/>
          <w:color w:val="000000" w:themeColor="text1"/>
          <w:sz w:val="24"/>
          <w:szCs w:val="24"/>
        </w:rPr>
        <w:t>A multivariable logistic regression was used to model rapid kidney function decline (≥ 30% eGFR decrease over two years) as the outcome, with the following predictors:</w:t>
      </w:r>
    </w:p>
    <w:p w14:paraId="47645401" w14:textId="77777777" w:rsidR="006B60E6" w:rsidRPr="00590778" w:rsidRDefault="006B60E6" w:rsidP="006B60E6">
      <w:pPr>
        <w:pStyle w:val="a9"/>
        <w:numPr>
          <w:ilvl w:val="0"/>
          <w:numId w:val="2"/>
        </w:numPr>
        <w:spacing w:before="163" w:after="163" w:line="300" w:lineRule="auto"/>
        <w:rPr>
          <w:rFonts w:cs="Times New Roman"/>
        </w:rPr>
      </w:pPr>
      <w:r w:rsidRPr="00590778">
        <w:rPr>
          <w:rFonts w:cs="Times New Roman"/>
          <w:b/>
          <w:bCs/>
        </w:rPr>
        <w:t>Age</w:t>
      </w:r>
      <w:r w:rsidRPr="00590778">
        <w:rPr>
          <w:rFonts w:cs="Times New Roman"/>
        </w:rPr>
        <w:t>: Age was included as a continuous covariate to adjust for the known association between increasing age and kidney function decline.</w:t>
      </w:r>
    </w:p>
    <w:p w14:paraId="6EF7968F" w14:textId="77777777" w:rsidR="006B60E6" w:rsidRPr="00590778" w:rsidRDefault="006B60E6" w:rsidP="006B60E6">
      <w:pPr>
        <w:pStyle w:val="a9"/>
        <w:numPr>
          <w:ilvl w:val="0"/>
          <w:numId w:val="2"/>
        </w:numPr>
        <w:spacing w:before="163" w:after="163" w:line="300" w:lineRule="auto"/>
        <w:rPr>
          <w:rFonts w:cs="Times New Roman"/>
        </w:rPr>
      </w:pPr>
      <w:r w:rsidRPr="00590778">
        <w:rPr>
          <w:rFonts w:cs="Times New Roman"/>
          <w:b/>
          <w:bCs/>
        </w:rPr>
        <w:t>Hemoglobin</w:t>
      </w:r>
      <w:r w:rsidRPr="00590778">
        <w:rPr>
          <w:rFonts w:cs="Times New Roman"/>
        </w:rPr>
        <w:t>: Hemoglobin (g/L) was included to adjust for the impact of anemia on renal functional reserve.</w:t>
      </w:r>
    </w:p>
    <w:p w14:paraId="2B57D0E1" w14:textId="77777777" w:rsidR="006B60E6" w:rsidRPr="00590778" w:rsidRDefault="006B60E6" w:rsidP="006B60E6">
      <w:pPr>
        <w:pStyle w:val="a9"/>
        <w:numPr>
          <w:ilvl w:val="0"/>
          <w:numId w:val="2"/>
        </w:numPr>
        <w:spacing w:before="163" w:after="163" w:line="300" w:lineRule="auto"/>
        <w:rPr>
          <w:rFonts w:cs="Times New Roman"/>
        </w:rPr>
      </w:pPr>
      <w:r w:rsidRPr="00590778">
        <w:rPr>
          <w:rFonts w:cs="Times New Roman"/>
          <w:b/>
          <w:bCs/>
        </w:rPr>
        <w:t>Cholesterol and Triglycerides</w:t>
      </w:r>
      <w:r w:rsidRPr="00590778">
        <w:rPr>
          <w:rFonts w:cs="Times New Roman"/>
        </w:rPr>
        <w:t>: Total cholesterol and triglycerides (mmol/L) were included as lipid‐related covariates, given their known associations with renal dysfunction.</w:t>
      </w:r>
    </w:p>
    <w:p w14:paraId="62F514FD" w14:textId="77777777" w:rsidR="006B60E6" w:rsidRPr="00590778" w:rsidRDefault="006B60E6" w:rsidP="006B60E6">
      <w:pPr>
        <w:pStyle w:val="a9"/>
        <w:numPr>
          <w:ilvl w:val="0"/>
          <w:numId w:val="2"/>
        </w:numPr>
        <w:spacing w:before="163" w:after="163" w:line="300" w:lineRule="auto"/>
        <w:rPr>
          <w:rFonts w:cs="Times New Roman"/>
        </w:rPr>
      </w:pPr>
      <w:r w:rsidRPr="00590778">
        <w:rPr>
          <w:rFonts w:cs="Times New Roman"/>
          <w:b/>
          <w:bCs/>
        </w:rPr>
        <w:t>Aging classification</w:t>
      </w:r>
      <w:r w:rsidRPr="00590778">
        <w:rPr>
          <w:rFonts w:cs="Times New Roman"/>
        </w:rPr>
        <w:t>: Aging classification (Healthy vs. Comorbidity vs. Chronic Kidney Disease) was included as a categorical variable and entered as two dummy variables in the model.</w:t>
      </w:r>
    </w:p>
    <w:p w14:paraId="6F331229" w14:textId="77777777" w:rsidR="006B60E6" w:rsidRPr="00590778" w:rsidRDefault="006B60E6" w:rsidP="006B60E6">
      <w:pPr>
        <w:pStyle w:val="a9"/>
        <w:numPr>
          <w:ilvl w:val="0"/>
          <w:numId w:val="1"/>
        </w:numPr>
        <w:spacing w:before="163" w:after="163" w:line="300" w:lineRule="auto"/>
        <w:rPr>
          <w:rFonts w:cs="Times New Roman"/>
        </w:rPr>
      </w:pPr>
      <w:r w:rsidRPr="00590778">
        <w:rPr>
          <w:rFonts w:cs="Times New Roman"/>
          <w:b/>
          <w:bCs/>
        </w:rPr>
        <w:t>Parameter Estimation</w:t>
      </w:r>
    </w:p>
    <w:p w14:paraId="154CB073" w14:textId="77777777" w:rsidR="006B60E6" w:rsidRPr="00590778" w:rsidRDefault="006B60E6" w:rsidP="00181802">
      <w:pPr>
        <w:spacing w:beforeLines="50" w:before="163" w:after="50" w:line="300" w:lineRule="auto"/>
        <w:ind w:firstLine="420"/>
        <w:jc w:val="both"/>
        <w:rPr>
          <w:rFonts w:ascii="Times New Roman" w:hAnsi="Times New Roman" w:cs="Times New Roman"/>
          <w:color w:val="000000" w:themeColor="text1"/>
        </w:rPr>
      </w:pPr>
      <w:r w:rsidRPr="00590778">
        <w:rPr>
          <w:rFonts w:ascii="Times New Roman" w:hAnsi="Times New Roman" w:cs="Times New Roman"/>
          <w:color w:val="000000" w:themeColor="text1"/>
        </w:rPr>
        <w:t>The final logistic model was specified as:</w:t>
      </w:r>
    </w:p>
    <w:p w14:paraId="3A19E180" w14:textId="77777777" w:rsidR="006B60E6" w:rsidRPr="00590778" w:rsidRDefault="006B60E6" w:rsidP="006B60E6">
      <w:pPr>
        <w:spacing w:beforeLines="50" w:before="163" w:afterLines="50" w:after="163" w:line="300" w:lineRule="auto"/>
        <w:jc w:val="both"/>
        <w:rPr>
          <w:rFonts w:ascii="Times New Roman" w:hAnsi="Times New Roman" w:cs="Times New Roman"/>
          <w:color w:val="000000" w:themeColor="text1"/>
        </w:rPr>
      </w:pPr>
      <m:oMathPara>
        <m:oMath>
          <m:r>
            <m:rPr>
              <m:nor/>
            </m:rPr>
            <w:rPr>
              <w:rFonts w:ascii="Times New Roman" w:hAnsi="Times New Roman" w:cs="Times New Roman"/>
              <w:color w:val="000000" w:themeColor="text1"/>
            </w:rPr>
            <m:t>logit</m:t>
          </m:r>
          <m:d>
            <m:dPr>
              <m:ctrlPr>
                <w:rPr>
                  <w:rFonts w:ascii="Cambria Math" w:hAnsi="Cambria Math" w:cs="Times New Roman"/>
                  <w:i/>
                  <w:color w:val="000000" w:themeColor="text1"/>
                </w:rPr>
              </m:ctrlPr>
            </m:dPr>
            <m:e>
              <m:r>
                <w:rPr>
                  <w:rFonts w:ascii="Cambria Math" w:hAnsi="Cambria Math" w:cs="Times New Roman"/>
                  <w:color w:val="000000" w:themeColor="text1"/>
                </w:rPr>
                <m:t>P</m:t>
              </m:r>
            </m:e>
          </m:d>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0</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1</m:t>
              </m:r>
            </m:sub>
          </m:sSub>
          <m:r>
            <m:rPr>
              <m:sty m:val="p"/>
            </m:rPr>
            <w:rPr>
              <w:rFonts w:ascii="Cambria Math" w:hAnsi="Cambria Math" w:cs="Times New Roman"/>
              <w:color w:val="000000" w:themeColor="text1"/>
            </w:rPr>
            <m:t>×</m:t>
          </m:r>
          <m:r>
            <m:rPr>
              <m:nor/>
            </m:rPr>
            <w:rPr>
              <w:rFonts w:ascii="Times New Roman" w:hAnsi="Times New Roman" w:cs="Times New Roman"/>
              <w:color w:val="000000" w:themeColor="text1"/>
            </w:rPr>
            <m:t>Age</m:t>
          </m:r>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2</m:t>
              </m:r>
            </m:sub>
          </m:sSub>
          <m:r>
            <m:rPr>
              <m:sty m:val="p"/>
            </m:rPr>
            <w:rPr>
              <w:rFonts w:ascii="Cambria Math" w:hAnsi="Cambria Math" w:cs="Times New Roman"/>
              <w:color w:val="000000" w:themeColor="text1"/>
            </w:rPr>
            <m:t>×</m:t>
          </m:r>
          <m:r>
            <m:rPr>
              <m:nor/>
            </m:rPr>
            <w:rPr>
              <w:rFonts w:ascii="Times New Roman" w:hAnsi="Times New Roman" w:cs="Times New Roman"/>
              <w:color w:val="000000" w:themeColor="text1"/>
            </w:rPr>
            <m:t>Hemoglobin</m:t>
          </m:r>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3</m:t>
              </m:r>
            </m:sub>
          </m:sSub>
          <m:r>
            <m:rPr>
              <m:sty m:val="p"/>
            </m:rPr>
            <w:rPr>
              <w:rFonts w:ascii="Cambria Math" w:hAnsi="Cambria Math" w:cs="Times New Roman"/>
              <w:color w:val="000000" w:themeColor="text1"/>
            </w:rPr>
            <m:t>×</m:t>
          </m:r>
          <m:r>
            <m:rPr>
              <m:nor/>
            </m:rPr>
            <w:rPr>
              <w:rFonts w:ascii="Times New Roman" w:hAnsi="Times New Roman" w:cs="Times New Roman"/>
              <w:color w:val="000000" w:themeColor="text1"/>
            </w:rPr>
            <m:t>Cholesterol</m:t>
          </m:r>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4</m:t>
              </m:r>
            </m:sub>
          </m:sSub>
          <m:r>
            <m:rPr>
              <m:sty m:val="p"/>
            </m:rPr>
            <w:rPr>
              <w:rFonts w:ascii="Cambria Math" w:hAnsi="Cambria Math" w:cs="Times New Roman"/>
              <w:color w:val="000000" w:themeColor="text1"/>
            </w:rPr>
            <m:t>×</m:t>
          </m:r>
          <m:r>
            <m:rPr>
              <m:nor/>
            </m:rPr>
            <w:rPr>
              <w:rFonts w:ascii="Times New Roman" w:hAnsi="Times New Roman" w:cs="Times New Roman"/>
              <w:color w:val="000000" w:themeColor="text1"/>
            </w:rPr>
            <m:t xml:space="preserve">Triglycerides + </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5</m:t>
              </m:r>
            </m:sub>
          </m:sSub>
          <m:r>
            <m:rPr>
              <m:sty m:val="p"/>
            </m:rPr>
            <w:rPr>
              <w:rFonts w:ascii="Cambria Math" w:hAnsi="Cambria Math" w:cs="Times New Roman"/>
              <w:color w:val="000000" w:themeColor="text1"/>
            </w:rPr>
            <m:t xml:space="preserve">×comorbidity </m:t>
          </m:r>
          <m:r>
            <m:rPr>
              <m:nor/>
            </m:rPr>
            <w:rPr>
              <w:rFonts w:ascii="Times New Roman" w:hAnsi="Times New Roman"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6</m:t>
              </m:r>
            </m:sub>
          </m:sSub>
          <m:r>
            <m:rPr>
              <m:sty m:val="p"/>
            </m:rPr>
            <w:rPr>
              <w:rFonts w:ascii="Cambria Math" w:hAnsi="Cambria Math" w:cs="Times New Roman"/>
              <w:color w:val="000000" w:themeColor="text1"/>
            </w:rPr>
            <m:t>×chronic kidney disease</m:t>
          </m:r>
        </m:oMath>
      </m:oMathPara>
    </w:p>
    <w:p w14:paraId="0DECCE69" w14:textId="77777777" w:rsidR="006B60E6" w:rsidRPr="00590778" w:rsidRDefault="006B60E6" w:rsidP="006B60E6">
      <w:pPr>
        <w:spacing w:beforeLines="50" w:before="163" w:afterLines="50" w:after="163" w:line="300" w:lineRule="auto"/>
        <w:jc w:val="both"/>
        <w:rPr>
          <w:rFonts w:ascii="Times New Roman" w:hAnsi="Times New Roman" w:cs="Times New Roman"/>
          <w:color w:val="000000" w:themeColor="text1"/>
        </w:rPr>
      </w:pPr>
      <w:r w:rsidRPr="00590778">
        <w:rPr>
          <w:rFonts w:ascii="Times New Roman" w:hAnsi="Times New Roman" w:cs="Times New Roman"/>
          <w:color w:val="000000" w:themeColor="text1"/>
        </w:rPr>
        <w:t xml:space="preserve">where Comorbidity and CKD are dummy indicators (reference category: Healthy), and </w:t>
      </w:r>
      <w:r w:rsidRPr="00590778">
        <w:rPr>
          <w:rFonts w:ascii="Cambria Math" w:hAnsi="Cambria Math" w:cs="Cambria Math"/>
          <w:color w:val="000000" w:themeColor="text1"/>
        </w:rPr>
        <w:t>𝑃</w:t>
      </w:r>
      <w:r w:rsidRPr="00590778">
        <w:rPr>
          <w:rFonts w:ascii="Times New Roman" w:hAnsi="Times New Roman" w:cs="Times New Roman"/>
          <w:color w:val="000000" w:themeColor="text1"/>
        </w:rPr>
        <w:t xml:space="preserve"> is the probability of rapid kidney function decline.</w:t>
      </w:r>
    </w:p>
    <w:p w14:paraId="50B73CA1" w14:textId="77777777" w:rsidR="006B60E6" w:rsidRPr="00590778" w:rsidRDefault="006B60E6" w:rsidP="006B60E6">
      <w:pPr>
        <w:pStyle w:val="a9"/>
        <w:numPr>
          <w:ilvl w:val="0"/>
          <w:numId w:val="1"/>
        </w:numPr>
        <w:spacing w:before="163" w:after="163" w:line="300" w:lineRule="auto"/>
        <w:rPr>
          <w:rFonts w:cs="Times New Roman"/>
        </w:rPr>
      </w:pPr>
      <w:r w:rsidRPr="00590778">
        <w:rPr>
          <w:rFonts w:cs="Times New Roman"/>
          <w:b/>
          <w:bCs/>
        </w:rPr>
        <w:t>Calculation of Adjusted Probabilities</w:t>
      </w:r>
    </w:p>
    <w:p w14:paraId="209DC5F4" w14:textId="2C6B74C4" w:rsidR="006B60E6" w:rsidRPr="00590778" w:rsidRDefault="006B60E6" w:rsidP="00181802">
      <w:pPr>
        <w:pStyle w:val="p1"/>
        <w:spacing w:beforeLines="50" w:before="163" w:after="50" w:line="300" w:lineRule="auto"/>
        <w:ind w:firstLine="420"/>
        <w:rPr>
          <w:rFonts w:ascii="Times New Roman" w:hAnsi="Times New Roman" w:cs="Times New Roman"/>
          <w:color w:val="000000" w:themeColor="text1"/>
          <w:sz w:val="24"/>
          <w:szCs w:val="24"/>
        </w:rPr>
      </w:pPr>
      <w:r w:rsidRPr="00590778">
        <w:rPr>
          <w:rFonts w:ascii="Times New Roman" w:hAnsi="Times New Roman" w:cs="Times New Roman"/>
          <w:color w:val="000000" w:themeColor="text1"/>
          <w:sz w:val="24"/>
          <w:szCs w:val="24"/>
        </w:rPr>
        <w:t xml:space="preserve">For each individual, the </w:t>
      </w:r>
      <w:r w:rsidR="000A1F43" w:rsidRPr="00590778">
        <w:rPr>
          <w:rFonts w:ascii="Times New Roman" w:hAnsi="Times New Roman" w:cs="Times New Roman"/>
          <w:color w:val="000000" w:themeColor="text1"/>
          <w:sz w:val="24"/>
          <w:szCs w:val="24"/>
        </w:rPr>
        <w:t>adjusted incidence</w:t>
      </w:r>
      <w:r w:rsidRPr="00590778">
        <w:rPr>
          <w:rFonts w:ascii="Times New Roman" w:hAnsi="Times New Roman" w:cs="Times New Roman"/>
          <w:color w:val="000000" w:themeColor="text1"/>
          <w:sz w:val="24"/>
          <w:szCs w:val="24"/>
        </w:rPr>
        <w:t xml:space="preserve"> </w:t>
      </w:r>
      <w:r w:rsidR="00700F54" w:rsidRPr="00590778">
        <w:rPr>
          <w:rFonts w:ascii="Times New Roman" w:hAnsi="Times New Roman" w:cs="Times New Roman"/>
          <w:color w:val="000000" w:themeColor="text1"/>
        </w:rPr>
        <w:t>rate</w:t>
      </w:r>
      <w:r w:rsidRPr="00590778">
        <w:rPr>
          <w:rFonts w:ascii="Times New Roman" w:hAnsi="Times New Roman" w:cs="Times New Roman"/>
          <w:color w:val="000000" w:themeColor="text1"/>
          <w:sz w:val="24"/>
          <w:szCs w:val="24"/>
        </w:rPr>
        <w:t xml:space="preserve"> probability was computed from the logistic function:</w:t>
      </w:r>
    </w:p>
    <w:p w14:paraId="5FBFF6D5" w14:textId="316B5480" w:rsidR="006B60E6" w:rsidRPr="00590778" w:rsidRDefault="009D3DC3" w:rsidP="006B60E6">
      <w:pPr>
        <w:spacing w:beforeLines="50" w:before="163" w:afterLines="50" w:after="163" w:line="300" w:lineRule="auto"/>
        <w:jc w:val="both"/>
        <w:rPr>
          <w:rFonts w:ascii="Times New Roman" w:hAnsi="Times New Roman" w:cs="Times New Roman"/>
          <w:color w:val="000000" w:themeColor="text1"/>
        </w:rPr>
      </w:pPr>
      <m:oMathPara>
        <m:oMath>
          <m:r>
            <w:rPr>
              <w:rFonts w:ascii="Cambria Math" w:hAnsi="Cambria Math" w:cs="Times New Roman"/>
              <w:color w:val="000000" w:themeColor="text1"/>
            </w:rPr>
            <m:t>adjusted incidence rate=</m:t>
          </m:r>
          <m:f>
            <m:fPr>
              <m:ctrlPr>
                <w:rPr>
                  <w:rFonts w:ascii="Cambria Math" w:hAnsi="Cambria Math" w:cs="Times New Roman"/>
                  <w:color w:val="000000" w:themeColor="text1"/>
                </w:rPr>
              </m:ctrlPr>
            </m:fPr>
            <m:num>
              <m:r>
                <w:rPr>
                  <w:rFonts w:ascii="Cambria Math" w:hAnsi="Cambria Math" w:cs="Times New Roman"/>
                  <w:color w:val="000000" w:themeColor="text1"/>
                </w:rPr>
                <m:t>1</m:t>
              </m:r>
              <m:ctrlPr>
                <w:rPr>
                  <w:rFonts w:ascii="Cambria Math" w:hAnsi="Cambria Math" w:cs="Times New Roman"/>
                  <w:i/>
                  <w:color w:val="000000" w:themeColor="text1"/>
                </w:rPr>
              </m:ctrlPr>
            </m:num>
            <m:den>
              <m:r>
                <w:rPr>
                  <w:rFonts w:ascii="Cambria Math" w:hAnsi="Cambria Math" w:cs="Times New Roman"/>
                  <w:color w:val="000000" w:themeColor="text1"/>
                </w:rPr>
                <m:t>1+</m:t>
              </m:r>
              <m:sSup>
                <m:sSupPr>
                  <m:ctrlPr>
                    <w:rPr>
                      <w:rFonts w:ascii="Cambria Math" w:hAnsi="Cambria Math" w:cs="Times New Roman"/>
                      <w:i/>
                      <w:color w:val="000000" w:themeColor="text1"/>
                    </w:rPr>
                  </m:ctrlPr>
                </m:sSupPr>
                <m:e>
                  <m:r>
                    <w:rPr>
                      <w:rFonts w:ascii="Cambria Math" w:hAnsi="Cambria Math" w:cs="Times New Roman"/>
                      <w:color w:val="000000" w:themeColor="text1"/>
                    </w:rPr>
                    <m:t>e</m:t>
                  </m:r>
                </m:e>
                <m:sup>
                  <m:r>
                    <w:rPr>
                      <w:rFonts w:ascii="Cambria Math" w:hAnsi="Cambria Math" w:cs="Times New Roman"/>
                      <w:color w:val="000000" w:themeColor="text1"/>
                    </w:rPr>
                    <m:t>-</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m:rPr>
                              <m:sty m:val="p"/>
                            </m:rPr>
                            <w:rPr>
                              <w:rFonts w:ascii="Cambria Math" w:hAnsi="Cambria Math" w:cs="Times New Roman"/>
                              <w:color w:val="000000" w:themeColor="text1"/>
                            </w:rPr>
                            <m:t>β</m:t>
                          </m:r>
                        </m:e>
                        <m:sub>
                          <m:r>
                            <w:rPr>
                              <w:rFonts w:ascii="Cambria Math" w:hAnsi="Cambria Math" w:cs="Times New Roman"/>
                              <w:color w:val="000000" w:themeColor="text1"/>
                            </w:rPr>
                            <m:t>0</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m:rPr>
                              <m:sty m:val="p"/>
                            </m:rPr>
                            <w:rPr>
                              <w:rFonts w:ascii="Cambria Math" w:hAnsi="Cambria Math" w:cs="Times New Roman"/>
                              <w:color w:val="000000" w:themeColor="text1"/>
                            </w:rPr>
                            <m:t>β</m:t>
                          </m:r>
                        </m:e>
                        <m:sub>
                          <m:r>
                            <w:rPr>
                              <w:rFonts w:ascii="Cambria Math" w:hAnsi="Cambria Math" w:cs="Times New Roman"/>
                              <w:color w:val="000000" w:themeColor="text1"/>
                            </w:rPr>
                            <m:t>1</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m:rPr>
                              <m:sty m:val="p"/>
                            </m:rPr>
                            <w:rPr>
                              <w:rFonts w:ascii="Cambria Math" w:hAnsi="Cambria Math" w:cs="Times New Roman"/>
                              <w:color w:val="000000" w:themeColor="text1"/>
                            </w:rPr>
                            <m:t>β</m:t>
                          </m:r>
                        </m:e>
                        <m:sub>
                          <m:r>
                            <w:rPr>
                              <w:rFonts w:ascii="Cambria Math" w:hAnsi="Cambria Math" w:cs="Times New Roman"/>
                              <w:color w:val="000000" w:themeColor="text1"/>
                            </w:rPr>
                            <m:t>2</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2</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m:rPr>
                              <m:sty m:val="p"/>
                            </m:rPr>
                            <w:rPr>
                              <w:rFonts w:ascii="Cambria Math" w:hAnsi="Cambria Math" w:cs="Times New Roman"/>
                              <w:color w:val="000000" w:themeColor="text1"/>
                            </w:rPr>
                            <m:t>β</m:t>
                          </m:r>
                        </m:e>
                        <m:sub>
                          <m:r>
                            <w:rPr>
                              <w:rFonts w:ascii="Cambria Math" w:hAnsi="Cambria Math" w:cs="Times New Roman"/>
                              <w:color w:val="000000" w:themeColor="text1"/>
                            </w:rPr>
                            <m:t>3</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3</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m:rPr>
                              <m:sty m:val="p"/>
                            </m:rPr>
                            <w:rPr>
                              <w:rFonts w:ascii="Cambria Math" w:hAnsi="Cambria Math" w:cs="Times New Roman"/>
                              <w:color w:val="000000" w:themeColor="text1"/>
                            </w:rPr>
                            <m:t>β</m:t>
                          </m:r>
                        </m:e>
                        <m:sub>
                          <m:r>
                            <w:rPr>
                              <w:rFonts w:ascii="Cambria Math" w:hAnsi="Cambria Math" w:cs="Times New Roman"/>
                              <w:color w:val="000000" w:themeColor="text1"/>
                            </w:rPr>
                            <m:t>4</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4</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m:rPr>
                              <m:sty m:val="p"/>
                            </m:rPr>
                            <w:rPr>
                              <w:rFonts w:ascii="Cambria Math" w:hAnsi="Cambria Math" w:cs="Times New Roman"/>
                              <w:color w:val="000000" w:themeColor="text1"/>
                            </w:rPr>
                            <m:t>β</m:t>
                          </m:r>
                        </m:e>
                        <m:sub>
                          <m:r>
                            <w:rPr>
                              <w:rFonts w:ascii="Cambria Math" w:hAnsi="Cambria Math" w:cs="Times New Roman"/>
                              <w:color w:val="000000" w:themeColor="text1"/>
                            </w:rPr>
                            <m:t>5</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5</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m:rPr>
                              <m:sty m:val="p"/>
                            </m:rPr>
                            <w:rPr>
                              <w:rFonts w:ascii="Cambria Math" w:hAnsi="Cambria Math" w:cs="Times New Roman"/>
                              <w:color w:val="000000" w:themeColor="text1"/>
                            </w:rPr>
                            <m:t>β</m:t>
                          </m:r>
                        </m:e>
                        <m:sub>
                          <m:r>
                            <w:rPr>
                              <w:rFonts w:ascii="Cambria Math" w:hAnsi="Cambria Math" w:cs="Times New Roman"/>
                              <w:color w:val="000000" w:themeColor="text1"/>
                            </w:rPr>
                            <m:t>6</m:t>
                          </m:r>
                        </m:sub>
                      </m:sSub>
                      <m:r>
                        <w:rPr>
                          <w:rFonts w:ascii="Cambria Math" w:hAnsi="Cambria Math" w:cs="Times New Roman"/>
                          <w:color w:val="000000" w:themeColor="text1"/>
                        </w:rPr>
                        <m:t>6</m:t>
                      </m:r>
                    </m:e>
                  </m:d>
                </m:sup>
              </m:sSup>
              <m:ctrlPr>
                <w:rPr>
                  <w:rFonts w:ascii="Cambria Math" w:hAnsi="Cambria Math" w:cs="Times New Roman"/>
                  <w:i/>
                  <w:color w:val="000000" w:themeColor="text1"/>
                </w:rPr>
              </m:ctrlPr>
            </m:den>
          </m:f>
        </m:oMath>
      </m:oMathPara>
    </w:p>
    <w:p w14:paraId="5DFC0CC3" w14:textId="7583A8F7" w:rsidR="006B60E6" w:rsidRPr="00590778" w:rsidRDefault="006B60E6" w:rsidP="006B60E6">
      <w:pPr>
        <w:spacing w:beforeLines="50" w:before="163" w:afterLines="50" w:after="163" w:line="300" w:lineRule="auto"/>
        <w:jc w:val="both"/>
        <w:rPr>
          <w:rFonts w:ascii="Times New Roman" w:hAnsi="Times New Roman" w:cs="Times New Roman"/>
          <w:b/>
          <w:bCs/>
          <w:color w:val="000000" w:themeColor="text1"/>
        </w:rPr>
      </w:pPr>
      <w:r w:rsidRPr="00590778">
        <w:rPr>
          <w:rFonts w:ascii="Times New Roman" w:hAnsi="Times New Roman" w:cs="Times New Roman"/>
          <w:color w:val="000000" w:themeColor="text1"/>
        </w:rPr>
        <w:t xml:space="preserve">where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1</m:t>
            </m:r>
          </m:sub>
        </m:sSub>
      </m:oMath>
      <w:r w:rsidRPr="00590778">
        <w:rPr>
          <w:rFonts w:ascii="Times New Roman" w:hAnsi="Times New Roman" w:cs="Times New Roman"/>
          <w:color w:val="000000" w:themeColor="text1"/>
        </w:rPr>
        <w:t xml:space="preserve"> = Age,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2</m:t>
            </m:r>
          </m:sub>
        </m:sSub>
      </m:oMath>
      <w:r w:rsidRPr="00590778">
        <w:rPr>
          <w:rFonts w:ascii="Times New Roman" w:hAnsi="Times New Roman" w:cs="Times New Roman"/>
          <w:color w:val="000000" w:themeColor="text1"/>
        </w:rPr>
        <w:t xml:space="preserve"> = Hemoglobin,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3</m:t>
            </m:r>
          </m:sub>
        </m:sSub>
      </m:oMath>
      <w:r w:rsidRPr="00590778">
        <w:rPr>
          <w:rFonts w:ascii="Times New Roman" w:hAnsi="Times New Roman" w:cs="Times New Roman"/>
          <w:color w:val="000000" w:themeColor="text1"/>
        </w:rPr>
        <w:t xml:space="preserve"> = Cholesterol,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4</m:t>
            </m:r>
          </m:sub>
        </m:sSub>
      </m:oMath>
      <w:r w:rsidRPr="00590778">
        <w:rPr>
          <w:rFonts w:ascii="Times New Roman" w:hAnsi="Times New Roman" w:cs="Times New Roman"/>
          <w:color w:val="000000" w:themeColor="text1"/>
        </w:rPr>
        <w:t xml:space="preserve"> = Triglycerides, and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5</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6</m:t>
            </m:r>
          </m:sub>
        </m:sSub>
      </m:oMath>
      <w:r w:rsidRPr="00590778">
        <w:rPr>
          <w:rFonts w:ascii="Times New Roman" w:hAnsi="Times New Roman" w:cs="Times New Roman"/>
          <w:color w:val="000000" w:themeColor="text1"/>
        </w:rPr>
        <w:t xml:space="preserve"> are the dummy indicators for Comorbidity and CKD (reference: Healthy).</w:t>
      </w:r>
      <w:bookmarkEnd w:id="0"/>
      <w:r w:rsidRPr="00590778">
        <w:rPr>
          <w:rFonts w:ascii="Times New Roman" w:hAnsi="Times New Roman" w:cs="Times New Roman"/>
          <w:b/>
          <w:bCs/>
          <w:color w:val="000000" w:themeColor="text1"/>
        </w:rPr>
        <w:br w:type="page"/>
      </w:r>
    </w:p>
    <w:p w14:paraId="135F65A3" w14:textId="0EBD7BE9" w:rsidR="009455FD" w:rsidRPr="00590778" w:rsidRDefault="009455FD" w:rsidP="00897CE7">
      <w:pPr>
        <w:spacing w:beforeLines="50" w:before="163" w:afterLines="50" w:after="163" w:line="300" w:lineRule="auto"/>
        <w:jc w:val="both"/>
        <w:rPr>
          <w:rFonts w:ascii="Times New Roman" w:hAnsi="Times New Roman" w:cs="Times New Roman"/>
          <w:color w:val="000000" w:themeColor="text1"/>
        </w:rPr>
      </w:pPr>
      <w:r w:rsidRPr="00590778">
        <w:rPr>
          <w:rFonts w:ascii="Times New Roman" w:hAnsi="Times New Roman" w:cs="Times New Roman"/>
          <w:b/>
          <w:bCs/>
          <w:color w:val="000000" w:themeColor="text1"/>
        </w:rPr>
        <w:lastRenderedPageBreak/>
        <w:t xml:space="preserve">Supplementary Method S3. </w:t>
      </w:r>
      <w:r w:rsidRPr="00590778">
        <w:rPr>
          <w:rFonts w:ascii="Times New Roman" w:hAnsi="Times New Roman" w:cs="Times New Roman"/>
          <w:color w:val="000000" w:themeColor="text1"/>
        </w:rPr>
        <w:t>Random forest modeling details</w:t>
      </w:r>
    </w:p>
    <w:p w14:paraId="167D5130" w14:textId="6B164D0C" w:rsidR="009455FD" w:rsidRPr="00590778" w:rsidRDefault="009455FD" w:rsidP="009455FD">
      <w:pPr>
        <w:spacing w:beforeLines="50" w:before="163" w:afterLines="50" w:after="163" w:line="360" w:lineRule="auto"/>
        <w:jc w:val="both"/>
        <w:rPr>
          <w:rFonts w:ascii="Times New Roman" w:hAnsi="Times New Roman" w:cs="Times New Roman"/>
          <w:color w:val="000000" w:themeColor="text1"/>
        </w:rPr>
      </w:pPr>
      <w:r w:rsidRPr="00590778">
        <w:rPr>
          <w:rFonts w:ascii="Times New Roman" w:hAnsi="Times New Roman" w:cs="Times New Roman"/>
          <w:b/>
          <w:bCs/>
          <w:color w:val="000000" w:themeColor="text1"/>
        </w:rPr>
        <w:t>Algorithm and outcome</w:t>
      </w:r>
    </w:p>
    <w:p w14:paraId="09C97337" w14:textId="77777777" w:rsidR="004E68B5" w:rsidRPr="00590778" w:rsidRDefault="004E68B5" w:rsidP="004E68B5">
      <w:pPr>
        <w:spacing w:beforeLines="50" w:before="163" w:afterLines="50" w:after="163" w:line="360" w:lineRule="auto"/>
        <w:jc w:val="both"/>
        <w:rPr>
          <w:rFonts w:ascii="Times New Roman" w:hAnsi="Times New Roman" w:cs="Times New Roman"/>
          <w:color w:val="000000" w:themeColor="text1"/>
        </w:rPr>
      </w:pPr>
      <w:r w:rsidRPr="00590778">
        <w:rPr>
          <w:rFonts w:ascii="Times New Roman" w:hAnsi="Times New Roman" w:cs="Times New Roman"/>
          <w:color w:val="000000" w:themeColor="text1"/>
        </w:rPr>
        <w:t>Cohort-specific random forest classifiers (Healthy, Comorbidity, CKD) predicted rapid decline (≥30%/2 years).</w:t>
      </w:r>
    </w:p>
    <w:p w14:paraId="45386522" w14:textId="243EA6AD" w:rsidR="004E68B5" w:rsidRPr="00590778" w:rsidRDefault="004E68B5" w:rsidP="004E68B5">
      <w:pPr>
        <w:spacing w:beforeLines="50" w:before="163" w:afterLines="50" w:after="163" w:line="360" w:lineRule="auto"/>
        <w:jc w:val="both"/>
        <w:rPr>
          <w:rFonts w:ascii="Times New Roman" w:hAnsi="Times New Roman" w:cs="Times New Roman"/>
          <w:color w:val="000000" w:themeColor="text1"/>
        </w:rPr>
      </w:pPr>
      <w:r w:rsidRPr="00590778">
        <w:rPr>
          <w:rFonts w:ascii="Times New Roman" w:hAnsi="Times New Roman" w:cs="Times New Roman"/>
          <w:b/>
          <w:bCs/>
          <w:color w:val="000000" w:themeColor="text1"/>
        </w:rPr>
        <w:t>Predictors</w:t>
      </w:r>
    </w:p>
    <w:p w14:paraId="1055C2F3" w14:textId="135F2C6F" w:rsidR="004E68B5" w:rsidRPr="00590778" w:rsidRDefault="004E68B5" w:rsidP="004E68B5">
      <w:pPr>
        <w:spacing w:beforeLines="50" w:before="163" w:afterLines="50" w:after="163" w:line="360" w:lineRule="auto"/>
        <w:jc w:val="both"/>
        <w:rPr>
          <w:rFonts w:ascii="Times New Roman" w:hAnsi="Times New Roman" w:cs="Times New Roman"/>
          <w:color w:val="000000" w:themeColor="text1"/>
        </w:rPr>
      </w:pPr>
      <w:r w:rsidRPr="00590778">
        <w:rPr>
          <w:rFonts w:ascii="Times New Roman" w:hAnsi="Times New Roman" w:cs="Times New Roman"/>
          <w:color w:val="000000" w:themeColor="text1"/>
        </w:rPr>
        <w:t>eGFR categories (≥90, 75–&lt;90, 60–&lt;75, &lt;60 mL/min/1.73 m²), ACR categories (&lt;30, ≥30 mg/g), and covariates (age, hemoglobin, cholesterol, triglycerides).</w:t>
      </w:r>
    </w:p>
    <w:p w14:paraId="6ACE57BA" w14:textId="54B5DA11" w:rsidR="009455FD" w:rsidRPr="00590778" w:rsidRDefault="009455FD" w:rsidP="009455FD">
      <w:pPr>
        <w:spacing w:beforeLines="50" w:before="163" w:afterLines="50" w:after="163" w:line="360" w:lineRule="auto"/>
        <w:jc w:val="both"/>
        <w:rPr>
          <w:rFonts w:ascii="Times New Roman" w:hAnsi="Times New Roman" w:cs="Times New Roman"/>
          <w:color w:val="000000" w:themeColor="text1"/>
        </w:rPr>
      </w:pPr>
      <w:r w:rsidRPr="00590778">
        <w:rPr>
          <w:rFonts w:ascii="Times New Roman" w:hAnsi="Times New Roman" w:cs="Times New Roman"/>
          <w:b/>
          <w:bCs/>
          <w:color w:val="000000" w:themeColor="text1"/>
        </w:rPr>
        <w:t>Model specification</w:t>
      </w:r>
    </w:p>
    <w:p w14:paraId="6B26D716" w14:textId="1043C3B4" w:rsidR="009455FD" w:rsidRPr="00590778" w:rsidRDefault="004E68B5" w:rsidP="009455FD">
      <w:pPr>
        <w:spacing w:beforeLines="50" w:before="163" w:afterLines="50" w:after="163" w:line="360" w:lineRule="auto"/>
        <w:jc w:val="both"/>
        <w:rPr>
          <w:rFonts w:ascii="Times New Roman" w:hAnsi="Times New Roman" w:cs="Times New Roman"/>
          <w:color w:val="000000" w:themeColor="text1"/>
        </w:rPr>
      </w:pPr>
      <w:r w:rsidRPr="00590778">
        <w:rPr>
          <w:rFonts w:ascii="Times New Roman" w:hAnsi="Times New Roman" w:cs="Times New Roman"/>
          <w:color w:val="000000" w:themeColor="text1"/>
        </w:rPr>
        <w:t xml:space="preserve">scikit-learn </w:t>
      </w:r>
      <w:proofErr w:type="spellStart"/>
      <w:r w:rsidRPr="00590778">
        <w:rPr>
          <w:rFonts w:ascii="Times New Roman" w:hAnsi="Times New Roman" w:cs="Times New Roman"/>
          <w:color w:val="000000" w:themeColor="text1"/>
        </w:rPr>
        <w:t>RandomForestClassifier</w:t>
      </w:r>
      <w:proofErr w:type="spellEnd"/>
      <w:r w:rsidRPr="00590778">
        <w:rPr>
          <w:rFonts w:ascii="Times New Roman" w:hAnsi="Times New Roman" w:cs="Times New Roman"/>
          <w:color w:val="000000" w:themeColor="text1"/>
        </w:rPr>
        <w:t xml:space="preserve"> with </w:t>
      </w:r>
      <w:proofErr w:type="spellStart"/>
      <w:r w:rsidRPr="00590778">
        <w:rPr>
          <w:rFonts w:ascii="Times New Roman" w:hAnsi="Times New Roman" w:cs="Times New Roman"/>
          <w:color w:val="000000" w:themeColor="text1"/>
        </w:rPr>
        <w:t>n_estimators</w:t>
      </w:r>
      <w:proofErr w:type="spellEnd"/>
      <w:r w:rsidRPr="00590778">
        <w:rPr>
          <w:rFonts w:ascii="Times New Roman" w:hAnsi="Times New Roman" w:cs="Times New Roman"/>
          <w:color w:val="000000" w:themeColor="text1"/>
        </w:rPr>
        <w:t>=100, criterion</w:t>
      </w:r>
      <w:proofErr w:type="gramStart"/>
      <w:r w:rsidRPr="00590778">
        <w:rPr>
          <w:rFonts w:ascii="Times New Roman" w:hAnsi="Times New Roman" w:cs="Times New Roman"/>
          <w:color w:val="000000" w:themeColor="text1"/>
        </w:rPr>
        <w:t>=‘</w:t>
      </w:r>
      <w:proofErr w:type="spellStart"/>
      <w:proofErr w:type="gramEnd"/>
      <w:r w:rsidRPr="00590778">
        <w:rPr>
          <w:rFonts w:ascii="Times New Roman" w:hAnsi="Times New Roman" w:cs="Times New Roman"/>
          <w:color w:val="000000" w:themeColor="text1"/>
        </w:rPr>
        <w:t>gini</w:t>
      </w:r>
      <w:proofErr w:type="spellEnd"/>
      <w:r w:rsidRPr="00590778">
        <w:rPr>
          <w:rFonts w:ascii="Times New Roman" w:hAnsi="Times New Roman" w:cs="Times New Roman"/>
          <w:color w:val="000000" w:themeColor="text1"/>
        </w:rPr>
        <w:t xml:space="preserve">’, </w:t>
      </w:r>
      <w:proofErr w:type="spellStart"/>
      <w:r w:rsidRPr="00590778">
        <w:rPr>
          <w:rFonts w:ascii="Times New Roman" w:hAnsi="Times New Roman" w:cs="Times New Roman"/>
          <w:color w:val="000000" w:themeColor="text1"/>
        </w:rPr>
        <w:t>max_depth</w:t>
      </w:r>
      <w:proofErr w:type="spellEnd"/>
      <w:r w:rsidRPr="00590778">
        <w:rPr>
          <w:rFonts w:ascii="Times New Roman" w:hAnsi="Times New Roman" w:cs="Times New Roman"/>
          <w:color w:val="000000" w:themeColor="text1"/>
        </w:rPr>
        <w:t xml:space="preserve">=None, </w:t>
      </w:r>
      <w:proofErr w:type="spellStart"/>
      <w:r w:rsidRPr="00590778">
        <w:rPr>
          <w:rFonts w:ascii="Times New Roman" w:hAnsi="Times New Roman" w:cs="Times New Roman"/>
          <w:color w:val="000000" w:themeColor="text1"/>
        </w:rPr>
        <w:t>max_features</w:t>
      </w:r>
      <w:proofErr w:type="spellEnd"/>
      <w:proofErr w:type="gramStart"/>
      <w:r w:rsidRPr="00590778">
        <w:rPr>
          <w:rFonts w:ascii="Times New Roman" w:hAnsi="Times New Roman" w:cs="Times New Roman"/>
          <w:color w:val="000000" w:themeColor="text1"/>
        </w:rPr>
        <w:t>=‘</w:t>
      </w:r>
      <w:proofErr w:type="gramEnd"/>
      <w:r w:rsidRPr="00590778">
        <w:rPr>
          <w:rFonts w:ascii="Times New Roman" w:hAnsi="Times New Roman" w:cs="Times New Roman"/>
          <w:color w:val="000000" w:themeColor="text1"/>
        </w:rPr>
        <w:t xml:space="preserve">sqrt’, bootstrap=True, </w:t>
      </w:r>
      <w:proofErr w:type="spellStart"/>
      <w:r w:rsidRPr="00590778">
        <w:rPr>
          <w:rFonts w:ascii="Times New Roman" w:hAnsi="Times New Roman" w:cs="Times New Roman"/>
          <w:color w:val="000000" w:themeColor="text1"/>
        </w:rPr>
        <w:t>min_samples_split</w:t>
      </w:r>
      <w:proofErr w:type="spellEnd"/>
      <w:r w:rsidRPr="00590778">
        <w:rPr>
          <w:rFonts w:ascii="Times New Roman" w:hAnsi="Times New Roman" w:cs="Times New Roman"/>
          <w:color w:val="000000" w:themeColor="text1"/>
        </w:rPr>
        <w:t xml:space="preserve">=2, </w:t>
      </w:r>
      <w:proofErr w:type="spellStart"/>
      <w:r w:rsidRPr="00590778">
        <w:rPr>
          <w:rFonts w:ascii="Times New Roman" w:hAnsi="Times New Roman" w:cs="Times New Roman"/>
          <w:color w:val="000000" w:themeColor="text1"/>
        </w:rPr>
        <w:t>min_samples_leaf</w:t>
      </w:r>
      <w:proofErr w:type="spellEnd"/>
      <w:r w:rsidRPr="00590778">
        <w:rPr>
          <w:rFonts w:ascii="Times New Roman" w:hAnsi="Times New Roman" w:cs="Times New Roman"/>
          <w:color w:val="000000" w:themeColor="text1"/>
        </w:rPr>
        <w:t xml:space="preserve">=1, </w:t>
      </w:r>
      <w:proofErr w:type="spellStart"/>
      <w:r w:rsidRPr="00590778">
        <w:rPr>
          <w:rFonts w:ascii="Times New Roman" w:hAnsi="Times New Roman" w:cs="Times New Roman"/>
          <w:color w:val="000000" w:themeColor="text1"/>
        </w:rPr>
        <w:t>oob_score</w:t>
      </w:r>
      <w:proofErr w:type="spellEnd"/>
      <w:r w:rsidRPr="00590778">
        <w:rPr>
          <w:rFonts w:ascii="Times New Roman" w:hAnsi="Times New Roman" w:cs="Times New Roman"/>
          <w:color w:val="000000" w:themeColor="text1"/>
        </w:rPr>
        <w:t xml:space="preserve">=True, </w:t>
      </w:r>
      <w:proofErr w:type="spellStart"/>
      <w:r w:rsidRPr="00590778">
        <w:rPr>
          <w:rFonts w:ascii="Times New Roman" w:hAnsi="Times New Roman" w:cs="Times New Roman"/>
          <w:color w:val="000000" w:themeColor="text1"/>
        </w:rPr>
        <w:t>random_state</w:t>
      </w:r>
      <w:proofErr w:type="spellEnd"/>
      <w:r w:rsidRPr="00590778">
        <w:rPr>
          <w:rFonts w:ascii="Times New Roman" w:hAnsi="Times New Roman" w:cs="Times New Roman"/>
          <w:color w:val="000000" w:themeColor="text1"/>
        </w:rPr>
        <w:t xml:space="preserve">=0, </w:t>
      </w:r>
      <w:proofErr w:type="spellStart"/>
      <w:r w:rsidRPr="00590778">
        <w:rPr>
          <w:rFonts w:ascii="Times New Roman" w:hAnsi="Times New Roman" w:cs="Times New Roman"/>
          <w:color w:val="000000" w:themeColor="text1"/>
        </w:rPr>
        <w:t>n_jobs</w:t>
      </w:r>
      <w:proofErr w:type="spellEnd"/>
      <w:r w:rsidRPr="00590778">
        <w:rPr>
          <w:rFonts w:ascii="Times New Roman" w:hAnsi="Times New Roman" w:cs="Times New Roman"/>
          <w:color w:val="000000" w:themeColor="text1"/>
        </w:rPr>
        <w:t>=−1. No hyper-parameter tuning was performed to avoid overfitting; out-of-bag (OOB) estimates were used for internal generalization.</w:t>
      </w:r>
    </w:p>
    <w:p w14:paraId="4C16603A" w14:textId="77CF911A" w:rsidR="009455FD" w:rsidRPr="00590778" w:rsidRDefault="004E68B5" w:rsidP="009455FD">
      <w:pPr>
        <w:spacing w:beforeLines="50" w:before="163" w:afterLines="50" w:after="163" w:line="360" w:lineRule="auto"/>
        <w:jc w:val="both"/>
        <w:rPr>
          <w:rFonts w:ascii="Times New Roman" w:hAnsi="Times New Roman" w:cs="Times New Roman"/>
          <w:color w:val="000000" w:themeColor="text1"/>
        </w:rPr>
      </w:pPr>
      <w:r w:rsidRPr="00590778">
        <w:rPr>
          <w:rFonts w:ascii="Times New Roman" w:hAnsi="Times New Roman" w:cs="Times New Roman"/>
          <w:b/>
          <w:bCs/>
          <w:color w:val="000000" w:themeColor="text1"/>
        </w:rPr>
        <w:t>V</w:t>
      </w:r>
      <w:r w:rsidR="009455FD" w:rsidRPr="00590778">
        <w:rPr>
          <w:rFonts w:ascii="Times New Roman" w:hAnsi="Times New Roman" w:cs="Times New Roman"/>
          <w:b/>
          <w:bCs/>
          <w:color w:val="000000" w:themeColor="text1"/>
        </w:rPr>
        <w:t>alidation and reporting</w:t>
      </w:r>
    </w:p>
    <w:p w14:paraId="40BE7ECE" w14:textId="77777777" w:rsidR="004E68B5" w:rsidRPr="00590778" w:rsidRDefault="004E68B5" w:rsidP="004E68B5">
      <w:pPr>
        <w:spacing w:beforeLines="50" w:before="163" w:afterLines="50" w:after="163" w:line="360" w:lineRule="auto"/>
        <w:jc w:val="both"/>
        <w:rPr>
          <w:rFonts w:ascii="Times New Roman" w:hAnsi="Times New Roman" w:cs="Times New Roman"/>
          <w:color w:val="000000" w:themeColor="text1"/>
        </w:rPr>
      </w:pPr>
      <w:r w:rsidRPr="00590778">
        <w:rPr>
          <w:rFonts w:ascii="Times New Roman" w:hAnsi="Times New Roman" w:cs="Times New Roman"/>
          <w:color w:val="000000" w:themeColor="text1"/>
        </w:rPr>
        <w:t>Feature importance was reported as mean decrease in Gini (MDI). For clinical context, phenotype-specific odds ratios (ORs) from 2×2 tables were computed as descriptive measures; these ORs were not used for model training.</w:t>
      </w:r>
    </w:p>
    <w:p w14:paraId="0552500B" w14:textId="77777777" w:rsidR="004E68B5" w:rsidRPr="00590778" w:rsidRDefault="004E68B5" w:rsidP="004E68B5">
      <w:pPr>
        <w:spacing w:beforeLines="50" w:before="163" w:afterLines="50" w:after="163" w:line="360" w:lineRule="auto"/>
        <w:jc w:val="both"/>
        <w:rPr>
          <w:rFonts w:ascii="Times New Roman" w:hAnsi="Times New Roman" w:cs="Times New Roman"/>
          <w:b/>
          <w:bCs/>
          <w:color w:val="000000" w:themeColor="text1"/>
        </w:rPr>
      </w:pPr>
      <w:r w:rsidRPr="00590778">
        <w:rPr>
          <w:rFonts w:ascii="Times New Roman" w:hAnsi="Times New Roman" w:cs="Times New Roman"/>
          <w:b/>
          <w:bCs/>
          <w:color w:val="000000" w:themeColor="text1"/>
        </w:rPr>
        <w:t>Software</w:t>
      </w:r>
    </w:p>
    <w:p w14:paraId="0655054E" w14:textId="724AEFF0" w:rsidR="009455FD" w:rsidRPr="00590778" w:rsidRDefault="004E68B5" w:rsidP="009455FD">
      <w:pPr>
        <w:spacing w:beforeLines="50" w:before="163" w:afterLines="50" w:after="163" w:line="360" w:lineRule="auto"/>
        <w:jc w:val="both"/>
        <w:rPr>
          <w:rFonts w:ascii="Times New Roman" w:hAnsi="Times New Roman" w:cs="Times New Roman"/>
          <w:color w:val="000000" w:themeColor="text1"/>
        </w:rPr>
      </w:pPr>
      <w:r w:rsidRPr="00590778">
        <w:rPr>
          <w:rFonts w:ascii="Times New Roman" w:hAnsi="Times New Roman" w:cs="Times New Roman"/>
          <w:color w:val="000000" w:themeColor="text1"/>
        </w:rPr>
        <w:t xml:space="preserve">Python (scikit-learn, pandas, </w:t>
      </w:r>
      <w:proofErr w:type="spellStart"/>
      <w:r w:rsidRPr="00590778">
        <w:rPr>
          <w:rFonts w:ascii="Times New Roman" w:hAnsi="Times New Roman" w:cs="Times New Roman"/>
          <w:color w:val="000000" w:themeColor="text1"/>
        </w:rPr>
        <w:t>numpy</w:t>
      </w:r>
      <w:proofErr w:type="spellEnd"/>
      <w:r w:rsidRPr="00590778">
        <w:rPr>
          <w:rFonts w:ascii="Times New Roman" w:hAnsi="Times New Roman" w:cs="Times New Roman"/>
          <w:color w:val="000000" w:themeColor="text1"/>
        </w:rPr>
        <w:t>, matplotlib). A fixed random seed ensures reproducibility.</w:t>
      </w:r>
    </w:p>
    <w:p w14:paraId="7C6E0DB5" w14:textId="77777777" w:rsidR="004E68B5" w:rsidRPr="00590778" w:rsidRDefault="004E68B5" w:rsidP="004E68B5">
      <w:pPr>
        <w:spacing w:beforeLines="50" w:before="163" w:afterLines="50" w:after="163" w:line="360" w:lineRule="auto"/>
        <w:jc w:val="both"/>
        <w:rPr>
          <w:rFonts w:ascii="Times New Roman" w:hAnsi="Times New Roman" w:cs="Times New Roman"/>
          <w:b/>
          <w:bCs/>
          <w:color w:val="000000" w:themeColor="text1"/>
        </w:rPr>
      </w:pPr>
      <w:r w:rsidRPr="00590778">
        <w:rPr>
          <w:rFonts w:ascii="Times New Roman" w:hAnsi="Times New Roman" w:cs="Times New Roman"/>
          <w:b/>
          <w:bCs/>
          <w:color w:val="000000" w:themeColor="text1"/>
        </w:rPr>
        <w:t>Rationale</w:t>
      </w:r>
    </w:p>
    <w:p w14:paraId="07435018" w14:textId="33B97D21" w:rsidR="009455FD" w:rsidRPr="00590778" w:rsidRDefault="004E68B5" w:rsidP="009455FD">
      <w:pPr>
        <w:spacing w:beforeLines="50" w:before="163" w:afterLines="50" w:after="163" w:line="360" w:lineRule="auto"/>
        <w:jc w:val="both"/>
        <w:rPr>
          <w:rFonts w:ascii="Times New Roman" w:hAnsi="Times New Roman" w:cs="Times New Roman"/>
          <w:color w:val="000000" w:themeColor="text1"/>
        </w:rPr>
      </w:pPr>
      <w:r w:rsidRPr="00590778">
        <w:rPr>
          <w:rFonts w:ascii="Times New Roman" w:hAnsi="Times New Roman" w:cs="Times New Roman"/>
          <w:color w:val="000000" w:themeColor="text1"/>
        </w:rPr>
        <w:t xml:space="preserve">We chose 100 trees for stability, </w:t>
      </w:r>
      <w:proofErr w:type="spellStart"/>
      <w:r w:rsidRPr="00590778">
        <w:rPr>
          <w:rFonts w:ascii="Times New Roman" w:hAnsi="Times New Roman" w:cs="Times New Roman"/>
          <w:color w:val="000000" w:themeColor="text1"/>
        </w:rPr>
        <w:t>max_features</w:t>
      </w:r>
      <w:proofErr w:type="spellEnd"/>
      <w:r w:rsidRPr="00590778">
        <w:rPr>
          <w:rFonts w:ascii="Times New Roman" w:hAnsi="Times New Roman" w:cs="Times New Roman"/>
          <w:color w:val="000000" w:themeColor="text1"/>
        </w:rPr>
        <w:t xml:space="preserve">='sqrt' to decorrelate trees, and </w:t>
      </w:r>
      <w:proofErr w:type="spellStart"/>
      <w:r w:rsidRPr="00590778">
        <w:rPr>
          <w:rFonts w:ascii="Times New Roman" w:hAnsi="Times New Roman" w:cs="Times New Roman"/>
          <w:color w:val="000000" w:themeColor="text1"/>
        </w:rPr>
        <w:t>max_depth</w:t>
      </w:r>
      <w:proofErr w:type="spellEnd"/>
      <w:r w:rsidRPr="00590778">
        <w:rPr>
          <w:rFonts w:ascii="Times New Roman" w:hAnsi="Times New Roman" w:cs="Times New Roman"/>
          <w:color w:val="000000" w:themeColor="text1"/>
        </w:rPr>
        <w:t>=None to allow higher-order interactions, relying on bagging and OOB estimates to limit overfitting.</w:t>
      </w:r>
      <w:r w:rsidR="009455FD" w:rsidRPr="00590778">
        <w:rPr>
          <w:rFonts w:ascii="Times New Roman" w:hAnsi="Times New Roman" w:cs="Times New Roman"/>
          <w:b/>
          <w:bCs/>
          <w:color w:val="000000" w:themeColor="text1"/>
        </w:rPr>
        <w:br w:type="page"/>
      </w:r>
    </w:p>
    <w:p w14:paraId="19B8C89A" w14:textId="205F68C7" w:rsidR="00021BEC" w:rsidRPr="00590778" w:rsidRDefault="00021BEC" w:rsidP="006B60E6">
      <w:pPr>
        <w:spacing w:before="163" w:afterLines="50" w:after="163" w:line="300" w:lineRule="auto"/>
        <w:jc w:val="both"/>
        <w:rPr>
          <w:rFonts w:ascii="Times New Roman" w:hAnsi="Times New Roman" w:cs="Times New Roman"/>
          <w:color w:val="000000" w:themeColor="text1"/>
        </w:rPr>
      </w:pPr>
      <w:r w:rsidRPr="00590778">
        <w:rPr>
          <w:rFonts w:ascii="Times New Roman" w:hAnsi="Times New Roman" w:cs="Times New Roman"/>
          <w:b/>
          <w:bCs/>
          <w:color w:val="000000" w:themeColor="text1"/>
        </w:rPr>
        <w:lastRenderedPageBreak/>
        <w:t xml:space="preserve">Supplementary Table S1. </w:t>
      </w:r>
      <w:r w:rsidR="009035D4" w:rsidRPr="00590778">
        <w:rPr>
          <w:rFonts w:ascii="Times New Roman" w:hAnsi="Times New Roman" w:cs="Times New Roman"/>
          <w:color w:val="000000" w:themeColor="text1"/>
        </w:rPr>
        <w:t>Demographic and clinical characteristics of participants at baseline in the UK Biobank cohort</w:t>
      </w:r>
    </w:p>
    <w:tbl>
      <w:tblPr>
        <w:tblW w:w="0" w:type="auto"/>
        <w:tblCellMar>
          <w:left w:w="0" w:type="dxa"/>
          <w:right w:w="0" w:type="dxa"/>
        </w:tblCellMar>
        <w:tblLook w:val="0600" w:firstRow="0" w:lastRow="0" w:firstColumn="0" w:lastColumn="0" w:noHBand="1" w:noVBand="1"/>
      </w:tblPr>
      <w:tblGrid>
        <w:gridCol w:w="3828"/>
        <w:gridCol w:w="3260"/>
      </w:tblGrid>
      <w:tr w:rsidR="004568FA" w:rsidRPr="00590778" w14:paraId="5F26265F" w14:textId="77777777" w:rsidTr="006B60E6">
        <w:trPr>
          <w:trHeight w:val="326"/>
        </w:trPr>
        <w:tc>
          <w:tcPr>
            <w:tcW w:w="3828" w:type="dxa"/>
            <w:tcBorders>
              <w:top w:val="single" w:sz="8" w:space="0" w:color="000000"/>
              <w:left w:val="nil"/>
              <w:bottom w:val="nil"/>
              <w:right w:val="nil"/>
            </w:tcBorders>
            <w:tcMar>
              <w:top w:w="15" w:type="dxa"/>
              <w:left w:w="15" w:type="dxa"/>
              <w:bottom w:w="0" w:type="dxa"/>
              <w:right w:w="15" w:type="dxa"/>
            </w:tcMar>
            <w:vAlign w:val="center"/>
            <w:hideMark/>
          </w:tcPr>
          <w:p w14:paraId="31DAB61C" w14:textId="77777777" w:rsidR="00021BEC" w:rsidRPr="00590778" w:rsidRDefault="00021BEC" w:rsidP="006B60E6">
            <w:pPr>
              <w:rPr>
                <w:rFonts w:ascii="Times New Roman" w:eastAsia="Times New Roman" w:hAnsi="Times New Roman" w:cs="Times New Roman"/>
                <w:color w:val="000000" w:themeColor="text1"/>
                <w:sz w:val="20"/>
              </w:rPr>
            </w:pPr>
          </w:p>
        </w:tc>
        <w:tc>
          <w:tcPr>
            <w:tcW w:w="3260"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2E892A3D" w14:textId="4F7CD9EE"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 xml:space="preserve">UK Biobank </w:t>
            </w:r>
            <w:r w:rsidRPr="00590778">
              <w:rPr>
                <w:rFonts w:ascii="Times New Roman" w:eastAsia="微软雅黑" w:hAnsi="Times New Roman" w:cs="Times New Roman"/>
                <w:color w:val="000000" w:themeColor="text1"/>
                <w:kern w:val="24"/>
              </w:rPr>
              <w:t>(n = 5</w:t>
            </w:r>
            <w:r w:rsidR="0043118F" w:rsidRPr="00590778">
              <w:rPr>
                <w:rFonts w:ascii="Times New Roman" w:eastAsia="微软雅黑" w:hAnsi="Times New Roman" w:cs="Times New Roman"/>
                <w:color w:val="000000" w:themeColor="text1"/>
                <w:kern w:val="24"/>
              </w:rPr>
              <w:t>,</w:t>
            </w:r>
            <w:r w:rsidRPr="00590778">
              <w:rPr>
                <w:rFonts w:ascii="Times New Roman" w:eastAsia="微软雅黑" w:hAnsi="Times New Roman" w:cs="Times New Roman"/>
                <w:color w:val="000000" w:themeColor="text1"/>
                <w:kern w:val="24"/>
              </w:rPr>
              <w:t>560)</w:t>
            </w:r>
          </w:p>
        </w:tc>
      </w:tr>
      <w:tr w:rsidR="004568FA" w:rsidRPr="00590778" w14:paraId="6BF95640" w14:textId="77777777" w:rsidTr="006B60E6">
        <w:trPr>
          <w:trHeight w:val="326"/>
        </w:trPr>
        <w:tc>
          <w:tcPr>
            <w:tcW w:w="3828" w:type="dxa"/>
            <w:tcBorders>
              <w:top w:val="nil"/>
              <w:left w:val="nil"/>
              <w:bottom w:val="single" w:sz="8" w:space="0" w:color="000000"/>
              <w:right w:val="nil"/>
            </w:tcBorders>
            <w:tcMar>
              <w:top w:w="15" w:type="dxa"/>
              <w:left w:w="15" w:type="dxa"/>
              <w:bottom w:w="0" w:type="dxa"/>
              <w:right w:w="15" w:type="dxa"/>
            </w:tcMar>
            <w:vAlign w:val="center"/>
            <w:hideMark/>
          </w:tcPr>
          <w:p w14:paraId="559AFDE6" w14:textId="77777777" w:rsidR="00021BEC" w:rsidRPr="00590778" w:rsidRDefault="00021BEC" w:rsidP="006B60E6">
            <w:pPr>
              <w:rPr>
                <w:rFonts w:ascii="Times New Roman" w:hAnsi="Times New Roman" w:cs="Times New Roman"/>
                <w:color w:val="000000" w:themeColor="text1"/>
                <w:sz w:val="36"/>
                <w:szCs w:val="36"/>
              </w:rPr>
            </w:pPr>
          </w:p>
        </w:tc>
        <w:tc>
          <w:tcPr>
            <w:tcW w:w="3260"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360B5645" w14:textId="2F4EAA9E"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 xml:space="preserve">Validation </w:t>
            </w:r>
            <w:r w:rsidR="000A1F43" w:rsidRPr="00590778">
              <w:rPr>
                <w:rFonts w:ascii="Times New Roman" w:eastAsia="DengXian" w:hAnsi="Times New Roman" w:cs="Times New Roman"/>
                <w:color w:val="000000" w:themeColor="text1"/>
                <w:kern w:val="24"/>
              </w:rPr>
              <w:t>cohort</w:t>
            </w:r>
            <w:r w:rsidRPr="00590778">
              <w:rPr>
                <w:rFonts w:ascii="Times New Roman" w:eastAsia="DengXian" w:hAnsi="Times New Roman" w:cs="Times New Roman"/>
                <w:color w:val="000000" w:themeColor="text1"/>
                <w:kern w:val="24"/>
              </w:rPr>
              <w:t xml:space="preserve"> </w:t>
            </w:r>
            <w:r w:rsidRPr="00590778">
              <w:rPr>
                <w:rFonts w:ascii="Times New Roman" w:eastAsia="微软雅黑" w:hAnsi="Times New Roman" w:cs="Times New Roman"/>
                <w:color w:val="000000" w:themeColor="text1"/>
                <w:kern w:val="24"/>
              </w:rPr>
              <w:t>(n = 5</w:t>
            </w:r>
            <w:r w:rsidR="0043118F" w:rsidRPr="00590778">
              <w:rPr>
                <w:rFonts w:ascii="Times New Roman" w:eastAsia="微软雅黑" w:hAnsi="Times New Roman" w:cs="Times New Roman"/>
                <w:color w:val="000000" w:themeColor="text1"/>
                <w:kern w:val="24"/>
              </w:rPr>
              <w:t>,</w:t>
            </w:r>
            <w:r w:rsidRPr="00590778">
              <w:rPr>
                <w:rFonts w:ascii="Times New Roman" w:eastAsia="微软雅黑" w:hAnsi="Times New Roman" w:cs="Times New Roman"/>
                <w:color w:val="000000" w:themeColor="text1"/>
                <w:kern w:val="24"/>
              </w:rPr>
              <w:t>560)</w:t>
            </w:r>
          </w:p>
        </w:tc>
      </w:tr>
      <w:tr w:rsidR="004568FA" w:rsidRPr="00590778" w14:paraId="5CD9734A" w14:textId="77777777" w:rsidTr="006B60E6">
        <w:trPr>
          <w:trHeight w:val="326"/>
        </w:trPr>
        <w:tc>
          <w:tcPr>
            <w:tcW w:w="3828" w:type="dxa"/>
            <w:tcBorders>
              <w:top w:val="single" w:sz="8" w:space="0" w:color="000000"/>
              <w:left w:val="nil"/>
              <w:bottom w:val="nil"/>
              <w:right w:val="nil"/>
            </w:tcBorders>
            <w:tcMar>
              <w:top w:w="15" w:type="dxa"/>
              <w:left w:w="15" w:type="dxa"/>
              <w:bottom w:w="0" w:type="dxa"/>
              <w:right w:w="15" w:type="dxa"/>
            </w:tcMar>
            <w:vAlign w:val="center"/>
            <w:hideMark/>
          </w:tcPr>
          <w:p w14:paraId="576ED680" w14:textId="77777777" w:rsidR="00021BEC" w:rsidRPr="00590778" w:rsidRDefault="00021BEC" w:rsidP="006B60E6">
            <w:pPr>
              <w:jc w:val="both"/>
              <w:textAlignment w:val="center"/>
              <w:rPr>
                <w:rFonts w:ascii="Times New Roman" w:hAnsi="Times New Roman" w:cs="Times New Roman"/>
                <w:color w:val="000000" w:themeColor="text1"/>
                <w:sz w:val="36"/>
                <w:szCs w:val="36"/>
              </w:rPr>
            </w:pPr>
            <w:r w:rsidRPr="00590778">
              <w:rPr>
                <w:rFonts w:ascii="Times New Roman" w:eastAsia="微软雅黑" w:hAnsi="Times New Roman" w:cs="Times New Roman"/>
                <w:b/>
                <w:bCs/>
                <w:color w:val="000000" w:themeColor="text1"/>
                <w:kern w:val="24"/>
              </w:rPr>
              <w:t>Demographics</w:t>
            </w:r>
          </w:p>
        </w:tc>
        <w:tc>
          <w:tcPr>
            <w:tcW w:w="3260" w:type="dxa"/>
            <w:tcBorders>
              <w:top w:val="single" w:sz="8" w:space="0" w:color="000000"/>
              <w:left w:val="nil"/>
              <w:bottom w:val="nil"/>
              <w:right w:val="nil"/>
            </w:tcBorders>
            <w:tcMar>
              <w:top w:w="15" w:type="dxa"/>
              <w:left w:w="15" w:type="dxa"/>
              <w:bottom w:w="0" w:type="dxa"/>
              <w:right w:w="15" w:type="dxa"/>
            </w:tcMar>
            <w:vAlign w:val="center"/>
            <w:hideMark/>
          </w:tcPr>
          <w:p w14:paraId="5227D313" w14:textId="77777777" w:rsidR="00021BEC" w:rsidRPr="00590778" w:rsidRDefault="00021BEC" w:rsidP="006B60E6">
            <w:pPr>
              <w:jc w:val="center"/>
              <w:rPr>
                <w:rFonts w:ascii="Times New Roman" w:hAnsi="Times New Roman" w:cs="Times New Roman"/>
                <w:color w:val="000000" w:themeColor="text1"/>
                <w:sz w:val="36"/>
                <w:szCs w:val="36"/>
              </w:rPr>
            </w:pPr>
          </w:p>
        </w:tc>
      </w:tr>
      <w:tr w:rsidR="004568FA" w:rsidRPr="00590778" w14:paraId="38C94175" w14:textId="77777777" w:rsidTr="006B60E6">
        <w:trPr>
          <w:trHeight w:val="326"/>
        </w:trPr>
        <w:tc>
          <w:tcPr>
            <w:tcW w:w="3828" w:type="dxa"/>
            <w:tcBorders>
              <w:top w:val="nil"/>
              <w:left w:val="nil"/>
              <w:bottom w:val="nil"/>
              <w:right w:val="nil"/>
            </w:tcBorders>
            <w:tcMar>
              <w:top w:w="15" w:type="dxa"/>
              <w:left w:w="15" w:type="dxa"/>
              <w:bottom w:w="0" w:type="dxa"/>
              <w:right w:w="15" w:type="dxa"/>
            </w:tcMar>
            <w:vAlign w:val="center"/>
            <w:hideMark/>
          </w:tcPr>
          <w:p w14:paraId="1D28D399" w14:textId="77777777" w:rsidR="00021BEC" w:rsidRPr="00590778" w:rsidRDefault="00021BEC" w:rsidP="006B60E6">
            <w:pPr>
              <w:jc w:val="both"/>
              <w:textAlignment w:val="center"/>
              <w:rPr>
                <w:rFonts w:ascii="Times New Roman" w:hAnsi="Times New Roman" w:cs="Times New Roman"/>
                <w:color w:val="000000" w:themeColor="text1"/>
                <w:sz w:val="36"/>
                <w:szCs w:val="36"/>
              </w:rPr>
            </w:pPr>
            <w:r w:rsidRPr="00590778">
              <w:rPr>
                <w:rFonts w:ascii="Times New Roman" w:eastAsia="微软雅黑" w:hAnsi="Times New Roman" w:cs="Times New Roman"/>
                <w:color w:val="000000" w:themeColor="text1"/>
                <w:kern w:val="24"/>
              </w:rPr>
              <w:t>Age (years)</w:t>
            </w:r>
          </w:p>
        </w:tc>
        <w:tc>
          <w:tcPr>
            <w:tcW w:w="3260" w:type="dxa"/>
            <w:tcBorders>
              <w:top w:val="nil"/>
              <w:left w:val="nil"/>
              <w:bottom w:val="nil"/>
              <w:right w:val="nil"/>
            </w:tcBorders>
            <w:tcMar>
              <w:top w:w="15" w:type="dxa"/>
              <w:left w:w="15" w:type="dxa"/>
              <w:bottom w:w="0" w:type="dxa"/>
              <w:right w:w="15" w:type="dxa"/>
            </w:tcMar>
            <w:vAlign w:val="center"/>
            <w:hideMark/>
          </w:tcPr>
          <w:p w14:paraId="424A55C5" w14:textId="77777777"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57.4 ± 7.2</w:t>
            </w:r>
          </w:p>
        </w:tc>
      </w:tr>
      <w:tr w:rsidR="004568FA" w:rsidRPr="00590778" w14:paraId="50512078" w14:textId="77777777" w:rsidTr="006B60E6">
        <w:trPr>
          <w:trHeight w:val="326"/>
        </w:trPr>
        <w:tc>
          <w:tcPr>
            <w:tcW w:w="3828" w:type="dxa"/>
            <w:tcBorders>
              <w:top w:val="nil"/>
              <w:left w:val="nil"/>
              <w:bottom w:val="nil"/>
              <w:right w:val="nil"/>
            </w:tcBorders>
            <w:tcMar>
              <w:top w:w="15" w:type="dxa"/>
              <w:left w:w="15" w:type="dxa"/>
              <w:bottom w:w="0" w:type="dxa"/>
              <w:right w:w="15" w:type="dxa"/>
            </w:tcMar>
            <w:vAlign w:val="center"/>
            <w:hideMark/>
          </w:tcPr>
          <w:p w14:paraId="1BE0E5A5" w14:textId="77777777" w:rsidR="00021BEC" w:rsidRPr="00590778" w:rsidRDefault="00021BEC" w:rsidP="006B60E6">
            <w:pPr>
              <w:jc w:val="both"/>
              <w:textAlignment w:val="center"/>
              <w:rPr>
                <w:rFonts w:ascii="Times New Roman" w:hAnsi="Times New Roman" w:cs="Times New Roman"/>
                <w:color w:val="000000" w:themeColor="text1"/>
                <w:sz w:val="36"/>
                <w:szCs w:val="36"/>
              </w:rPr>
            </w:pPr>
            <w:r w:rsidRPr="00590778">
              <w:rPr>
                <w:rFonts w:ascii="Times New Roman" w:eastAsia="微软雅黑" w:hAnsi="Times New Roman" w:cs="Times New Roman"/>
                <w:color w:val="000000" w:themeColor="text1"/>
                <w:kern w:val="24"/>
              </w:rPr>
              <w:t>Sex, n (%)</w:t>
            </w:r>
          </w:p>
        </w:tc>
        <w:tc>
          <w:tcPr>
            <w:tcW w:w="3260" w:type="dxa"/>
            <w:tcBorders>
              <w:top w:val="nil"/>
              <w:left w:val="nil"/>
              <w:bottom w:val="nil"/>
              <w:right w:val="nil"/>
            </w:tcBorders>
            <w:tcMar>
              <w:top w:w="15" w:type="dxa"/>
              <w:left w:w="15" w:type="dxa"/>
              <w:bottom w:w="0" w:type="dxa"/>
              <w:right w:w="15" w:type="dxa"/>
            </w:tcMar>
            <w:vAlign w:val="center"/>
            <w:hideMark/>
          </w:tcPr>
          <w:p w14:paraId="1DD6B100" w14:textId="77777777" w:rsidR="00021BEC" w:rsidRPr="00590778" w:rsidRDefault="00021BEC" w:rsidP="006B60E6">
            <w:pPr>
              <w:jc w:val="center"/>
              <w:rPr>
                <w:rFonts w:ascii="Times New Roman" w:hAnsi="Times New Roman" w:cs="Times New Roman"/>
                <w:color w:val="000000" w:themeColor="text1"/>
                <w:sz w:val="36"/>
                <w:szCs w:val="36"/>
              </w:rPr>
            </w:pPr>
          </w:p>
        </w:tc>
      </w:tr>
      <w:tr w:rsidR="004568FA" w:rsidRPr="00590778" w14:paraId="4CF95490" w14:textId="77777777" w:rsidTr="006B60E6">
        <w:trPr>
          <w:trHeight w:val="326"/>
        </w:trPr>
        <w:tc>
          <w:tcPr>
            <w:tcW w:w="3828" w:type="dxa"/>
            <w:tcBorders>
              <w:top w:val="nil"/>
              <w:left w:val="nil"/>
              <w:bottom w:val="nil"/>
              <w:right w:val="nil"/>
            </w:tcBorders>
            <w:tcMar>
              <w:top w:w="15" w:type="dxa"/>
              <w:left w:w="135" w:type="dxa"/>
              <w:bottom w:w="0" w:type="dxa"/>
              <w:right w:w="15" w:type="dxa"/>
            </w:tcMar>
            <w:vAlign w:val="center"/>
            <w:hideMark/>
          </w:tcPr>
          <w:p w14:paraId="535782C5" w14:textId="77777777" w:rsidR="00021BEC" w:rsidRPr="00590778" w:rsidRDefault="00021BEC" w:rsidP="006B60E6">
            <w:pPr>
              <w:jc w:val="both"/>
              <w:textAlignment w:val="center"/>
              <w:rPr>
                <w:rFonts w:ascii="Times New Roman" w:hAnsi="Times New Roman" w:cs="Times New Roman"/>
                <w:color w:val="000000" w:themeColor="text1"/>
                <w:sz w:val="36"/>
                <w:szCs w:val="36"/>
              </w:rPr>
            </w:pPr>
            <w:r w:rsidRPr="00590778">
              <w:rPr>
                <w:rFonts w:ascii="Times New Roman" w:eastAsia="微软雅黑" w:hAnsi="Times New Roman" w:cs="Times New Roman"/>
                <w:color w:val="000000" w:themeColor="text1"/>
                <w:kern w:val="24"/>
              </w:rPr>
              <w:t xml:space="preserve">  Male</w:t>
            </w:r>
          </w:p>
        </w:tc>
        <w:tc>
          <w:tcPr>
            <w:tcW w:w="3260" w:type="dxa"/>
            <w:tcBorders>
              <w:top w:val="nil"/>
              <w:left w:val="nil"/>
              <w:bottom w:val="nil"/>
              <w:right w:val="nil"/>
            </w:tcBorders>
            <w:tcMar>
              <w:top w:w="15" w:type="dxa"/>
              <w:left w:w="15" w:type="dxa"/>
              <w:bottom w:w="0" w:type="dxa"/>
              <w:right w:w="15" w:type="dxa"/>
            </w:tcMar>
            <w:vAlign w:val="center"/>
            <w:hideMark/>
          </w:tcPr>
          <w:p w14:paraId="5F409DF9" w14:textId="77777777"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2783 (50)</w:t>
            </w:r>
          </w:p>
        </w:tc>
      </w:tr>
      <w:tr w:rsidR="004568FA" w:rsidRPr="00590778" w14:paraId="171DB61E" w14:textId="77777777" w:rsidTr="006B60E6">
        <w:trPr>
          <w:trHeight w:val="326"/>
        </w:trPr>
        <w:tc>
          <w:tcPr>
            <w:tcW w:w="3828" w:type="dxa"/>
            <w:tcBorders>
              <w:top w:val="nil"/>
              <w:left w:val="nil"/>
              <w:bottom w:val="nil"/>
              <w:right w:val="nil"/>
            </w:tcBorders>
            <w:tcMar>
              <w:top w:w="15" w:type="dxa"/>
              <w:left w:w="15" w:type="dxa"/>
              <w:bottom w:w="0" w:type="dxa"/>
              <w:right w:w="15" w:type="dxa"/>
            </w:tcMar>
            <w:vAlign w:val="center"/>
            <w:hideMark/>
          </w:tcPr>
          <w:p w14:paraId="142E02DD" w14:textId="40FF8DC5" w:rsidR="00021BEC" w:rsidRPr="00590778" w:rsidRDefault="00021BEC" w:rsidP="006B60E6">
            <w:pPr>
              <w:jc w:val="both"/>
              <w:textAlignment w:val="center"/>
              <w:rPr>
                <w:rFonts w:ascii="Times New Roman" w:hAnsi="Times New Roman" w:cs="Times New Roman"/>
                <w:color w:val="000000" w:themeColor="text1"/>
                <w:sz w:val="36"/>
                <w:szCs w:val="36"/>
              </w:rPr>
            </w:pPr>
            <w:r w:rsidRPr="00590778">
              <w:rPr>
                <w:rFonts w:ascii="Times New Roman" w:eastAsia="微软雅黑" w:hAnsi="Times New Roman" w:cs="Times New Roman"/>
                <w:color w:val="000000" w:themeColor="text1"/>
                <w:kern w:val="24"/>
              </w:rPr>
              <w:t xml:space="preserve">   Female</w:t>
            </w:r>
          </w:p>
        </w:tc>
        <w:tc>
          <w:tcPr>
            <w:tcW w:w="3260" w:type="dxa"/>
            <w:tcBorders>
              <w:top w:val="nil"/>
              <w:left w:val="nil"/>
              <w:bottom w:val="nil"/>
              <w:right w:val="nil"/>
            </w:tcBorders>
            <w:tcMar>
              <w:top w:w="15" w:type="dxa"/>
              <w:left w:w="15" w:type="dxa"/>
              <w:bottom w:w="0" w:type="dxa"/>
              <w:right w:w="15" w:type="dxa"/>
            </w:tcMar>
            <w:vAlign w:val="center"/>
            <w:hideMark/>
          </w:tcPr>
          <w:p w14:paraId="44309700" w14:textId="77777777"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2777 (50)</w:t>
            </w:r>
          </w:p>
        </w:tc>
      </w:tr>
      <w:tr w:rsidR="004568FA" w:rsidRPr="00590778" w14:paraId="58500F3F" w14:textId="77777777" w:rsidTr="006B60E6">
        <w:trPr>
          <w:trHeight w:val="326"/>
        </w:trPr>
        <w:tc>
          <w:tcPr>
            <w:tcW w:w="3828" w:type="dxa"/>
            <w:tcBorders>
              <w:top w:val="nil"/>
              <w:left w:val="nil"/>
              <w:bottom w:val="nil"/>
              <w:right w:val="nil"/>
            </w:tcBorders>
            <w:tcMar>
              <w:top w:w="15" w:type="dxa"/>
              <w:left w:w="15" w:type="dxa"/>
              <w:bottom w:w="0" w:type="dxa"/>
              <w:right w:w="15" w:type="dxa"/>
            </w:tcMar>
            <w:vAlign w:val="center"/>
            <w:hideMark/>
          </w:tcPr>
          <w:p w14:paraId="69E04B94" w14:textId="77777777" w:rsidR="00021BEC" w:rsidRPr="00590778" w:rsidRDefault="00021BEC" w:rsidP="006B60E6">
            <w:pPr>
              <w:jc w:val="both"/>
              <w:textAlignment w:val="center"/>
              <w:rPr>
                <w:rFonts w:ascii="Times New Roman" w:hAnsi="Times New Roman" w:cs="Times New Roman"/>
                <w:color w:val="000000" w:themeColor="text1"/>
                <w:sz w:val="36"/>
                <w:szCs w:val="36"/>
              </w:rPr>
            </w:pPr>
            <w:r w:rsidRPr="00590778">
              <w:rPr>
                <w:rFonts w:ascii="Times New Roman" w:eastAsia="微软雅黑" w:hAnsi="Times New Roman" w:cs="Times New Roman"/>
                <w:b/>
                <w:bCs/>
                <w:color w:val="000000" w:themeColor="text1"/>
                <w:kern w:val="24"/>
              </w:rPr>
              <w:t>Blood chemistry</w:t>
            </w:r>
          </w:p>
        </w:tc>
        <w:tc>
          <w:tcPr>
            <w:tcW w:w="3260" w:type="dxa"/>
            <w:tcBorders>
              <w:top w:val="nil"/>
              <w:left w:val="nil"/>
              <w:bottom w:val="nil"/>
              <w:right w:val="nil"/>
            </w:tcBorders>
            <w:tcMar>
              <w:top w:w="15" w:type="dxa"/>
              <w:left w:w="15" w:type="dxa"/>
              <w:bottom w:w="0" w:type="dxa"/>
              <w:right w:w="15" w:type="dxa"/>
            </w:tcMar>
            <w:vAlign w:val="center"/>
            <w:hideMark/>
          </w:tcPr>
          <w:p w14:paraId="5CC04CD2" w14:textId="77777777" w:rsidR="00021BEC" w:rsidRPr="00590778" w:rsidRDefault="00021BEC" w:rsidP="006B60E6">
            <w:pPr>
              <w:jc w:val="center"/>
              <w:rPr>
                <w:rFonts w:ascii="Times New Roman" w:hAnsi="Times New Roman" w:cs="Times New Roman"/>
                <w:color w:val="000000" w:themeColor="text1"/>
                <w:sz w:val="36"/>
                <w:szCs w:val="36"/>
              </w:rPr>
            </w:pPr>
          </w:p>
        </w:tc>
      </w:tr>
      <w:tr w:rsidR="004568FA" w:rsidRPr="00590778" w14:paraId="04BC23DF" w14:textId="77777777" w:rsidTr="006B60E6">
        <w:trPr>
          <w:trHeight w:val="326"/>
        </w:trPr>
        <w:tc>
          <w:tcPr>
            <w:tcW w:w="3828" w:type="dxa"/>
            <w:tcBorders>
              <w:top w:val="nil"/>
              <w:left w:val="nil"/>
              <w:bottom w:val="nil"/>
              <w:right w:val="nil"/>
            </w:tcBorders>
            <w:tcMar>
              <w:top w:w="15" w:type="dxa"/>
              <w:left w:w="15" w:type="dxa"/>
              <w:bottom w:w="0" w:type="dxa"/>
              <w:right w:w="15" w:type="dxa"/>
            </w:tcMar>
            <w:vAlign w:val="center"/>
            <w:hideMark/>
          </w:tcPr>
          <w:p w14:paraId="1265C080" w14:textId="77777777" w:rsidR="00021BEC" w:rsidRPr="00590778" w:rsidRDefault="00021BEC" w:rsidP="006B60E6">
            <w:pPr>
              <w:jc w:val="both"/>
              <w:textAlignment w:val="center"/>
              <w:rPr>
                <w:rFonts w:ascii="Times New Roman" w:hAnsi="Times New Roman" w:cs="Times New Roman"/>
                <w:color w:val="000000" w:themeColor="text1"/>
                <w:sz w:val="36"/>
                <w:szCs w:val="36"/>
              </w:rPr>
            </w:pPr>
            <w:r w:rsidRPr="00590778">
              <w:rPr>
                <w:rFonts w:ascii="Times New Roman" w:eastAsia="微软雅黑" w:hAnsi="Times New Roman" w:cs="Times New Roman"/>
                <w:color w:val="000000" w:themeColor="text1"/>
                <w:kern w:val="24"/>
              </w:rPr>
              <w:t>Creatinine (</w:t>
            </w:r>
            <w:r w:rsidRPr="00590778">
              <w:rPr>
                <w:rFonts w:ascii="Times New Roman" w:eastAsia="微软雅黑" w:hAnsi="Times New Roman" w:cs="Times New Roman"/>
                <w:color w:val="000000" w:themeColor="text1"/>
                <w:kern w:val="24"/>
                <w:lang w:val="el-GR"/>
              </w:rPr>
              <w:t>μ</w:t>
            </w:r>
            <w:r w:rsidRPr="00590778">
              <w:rPr>
                <w:rFonts w:ascii="Times New Roman" w:eastAsia="微软雅黑" w:hAnsi="Times New Roman" w:cs="Times New Roman"/>
                <w:color w:val="000000" w:themeColor="text1"/>
                <w:kern w:val="24"/>
              </w:rPr>
              <w:t>mol/L)</w:t>
            </w:r>
          </w:p>
        </w:tc>
        <w:tc>
          <w:tcPr>
            <w:tcW w:w="3260" w:type="dxa"/>
            <w:tcBorders>
              <w:top w:val="nil"/>
              <w:left w:val="nil"/>
              <w:bottom w:val="nil"/>
              <w:right w:val="nil"/>
            </w:tcBorders>
            <w:tcMar>
              <w:top w:w="15" w:type="dxa"/>
              <w:left w:w="15" w:type="dxa"/>
              <w:bottom w:w="0" w:type="dxa"/>
              <w:right w:w="15" w:type="dxa"/>
            </w:tcMar>
            <w:vAlign w:val="center"/>
            <w:hideMark/>
          </w:tcPr>
          <w:p w14:paraId="6496B575" w14:textId="77777777"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72.3 ± 13.9</w:t>
            </w:r>
          </w:p>
        </w:tc>
      </w:tr>
      <w:tr w:rsidR="004568FA" w:rsidRPr="00590778" w14:paraId="4214DDBD" w14:textId="77777777" w:rsidTr="006B60E6">
        <w:trPr>
          <w:trHeight w:val="326"/>
        </w:trPr>
        <w:tc>
          <w:tcPr>
            <w:tcW w:w="3828" w:type="dxa"/>
            <w:tcBorders>
              <w:top w:val="nil"/>
              <w:left w:val="nil"/>
              <w:bottom w:val="nil"/>
              <w:right w:val="nil"/>
            </w:tcBorders>
            <w:tcMar>
              <w:top w:w="15" w:type="dxa"/>
              <w:left w:w="15" w:type="dxa"/>
              <w:bottom w:w="0" w:type="dxa"/>
              <w:right w:w="15" w:type="dxa"/>
            </w:tcMar>
            <w:vAlign w:val="center"/>
            <w:hideMark/>
          </w:tcPr>
          <w:p w14:paraId="40B8D7BC" w14:textId="77777777" w:rsidR="00021BEC" w:rsidRPr="00590778" w:rsidRDefault="00021BEC" w:rsidP="006B60E6">
            <w:pPr>
              <w:jc w:val="both"/>
              <w:textAlignment w:val="center"/>
              <w:rPr>
                <w:rFonts w:ascii="Times New Roman" w:hAnsi="Times New Roman" w:cs="Times New Roman"/>
                <w:color w:val="000000" w:themeColor="text1"/>
                <w:sz w:val="36"/>
                <w:szCs w:val="36"/>
              </w:rPr>
            </w:pPr>
            <w:r w:rsidRPr="00590778">
              <w:rPr>
                <w:rFonts w:ascii="Times New Roman" w:eastAsia="微软雅黑" w:hAnsi="Times New Roman" w:cs="Times New Roman"/>
                <w:color w:val="000000" w:themeColor="text1"/>
                <w:kern w:val="24"/>
              </w:rPr>
              <w:t>Cystatin C (mg/L)</w:t>
            </w:r>
          </w:p>
        </w:tc>
        <w:tc>
          <w:tcPr>
            <w:tcW w:w="3260" w:type="dxa"/>
            <w:tcBorders>
              <w:top w:val="nil"/>
              <w:left w:val="nil"/>
              <w:bottom w:val="nil"/>
              <w:right w:val="nil"/>
            </w:tcBorders>
            <w:tcMar>
              <w:top w:w="15" w:type="dxa"/>
              <w:left w:w="15" w:type="dxa"/>
              <w:bottom w:w="0" w:type="dxa"/>
              <w:right w:w="15" w:type="dxa"/>
            </w:tcMar>
            <w:vAlign w:val="center"/>
            <w:hideMark/>
          </w:tcPr>
          <w:p w14:paraId="0E392A35" w14:textId="77777777"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0.9 ± 0.1</w:t>
            </w:r>
          </w:p>
        </w:tc>
      </w:tr>
      <w:tr w:rsidR="004568FA" w:rsidRPr="00590778" w14:paraId="59333CEB" w14:textId="77777777" w:rsidTr="006B60E6">
        <w:trPr>
          <w:trHeight w:val="326"/>
        </w:trPr>
        <w:tc>
          <w:tcPr>
            <w:tcW w:w="3828" w:type="dxa"/>
            <w:tcBorders>
              <w:top w:val="nil"/>
              <w:left w:val="nil"/>
              <w:bottom w:val="nil"/>
              <w:right w:val="nil"/>
            </w:tcBorders>
            <w:tcMar>
              <w:top w:w="15" w:type="dxa"/>
              <w:left w:w="15" w:type="dxa"/>
              <w:bottom w:w="0" w:type="dxa"/>
              <w:right w:w="15" w:type="dxa"/>
            </w:tcMar>
            <w:vAlign w:val="center"/>
            <w:hideMark/>
          </w:tcPr>
          <w:p w14:paraId="358B7520" w14:textId="56F61167" w:rsidR="00021BEC" w:rsidRPr="00590778" w:rsidRDefault="009A5E08" w:rsidP="006B60E6">
            <w:pPr>
              <w:jc w:val="both"/>
              <w:rPr>
                <w:rFonts w:ascii="Times New Roman" w:eastAsia="微软雅黑" w:hAnsi="Times New Roman" w:cs="Times New Roman"/>
                <w:color w:val="000000" w:themeColor="text1"/>
                <w:kern w:val="24"/>
              </w:rPr>
            </w:pPr>
            <w:r w:rsidRPr="00590778">
              <w:rPr>
                <w:rFonts w:ascii="Times New Roman" w:eastAsia="微软雅黑" w:hAnsi="Times New Roman" w:cs="Times New Roman"/>
                <w:color w:val="000000" w:themeColor="text1"/>
                <w:kern w:val="24"/>
              </w:rPr>
              <w:t>eGFR</w:t>
            </w:r>
            <w:r w:rsidR="00021BEC" w:rsidRPr="00590778">
              <w:rPr>
                <w:rFonts w:ascii="Times New Roman" w:eastAsia="微软雅黑" w:hAnsi="Times New Roman" w:cs="Times New Roman"/>
                <w:color w:val="000000" w:themeColor="text1"/>
                <w:kern w:val="24"/>
              </w:rPr>
              <w:t xml:space="preserve"> (ml/min/1.73 m</w:t>
            </w:r>
            <w:r w:rsidR="00021BEC" w:rsidRPr="00590778">
              <w:rPr>
                <w:rFonts w:ascii="Times New Roman" w:eastAsia="微软雅黑" w:hAnsi="Times New Roman" w:cs="Times New Roman"/>
                <w:color w:val="000000" w:themeColor="text1"/>
                <w:kern w:val="24"/>
                <w:vertAlign w:val="superscript"/>
              </w:rPr>
              <w:t>2</w:t>
            </w:r>
            <w:r w:rsidR="00021BEC" w:rsidRPr="00590778">
              <w:rPr>
                <w:rFonts w:ascii="Times New Roman" w:eastAsia="微软雅黑" w:hAnsi="Times New Roman" w:cs="Times New Roman"/>
                <w:color w:val="000000" w:themeColor="text1"/>
                <w:kern w:val="24"/>
              </w:rPr>
              <w:t>)</w:t>
            </w:r>
          </w:p>
        </w:tc>
        <w:tc>
          <w:tcPr>
            <w:tcW w:w="3260" w:type="dxa"/>
            <w:tcBorders>
              <w:top w:val="nil"/>
              <w:left w:val="nil"/>
              <w:bottom w:val="nil"/>
              <w:right w:val="nil"/>
            </w:tcBorders>
            <w:tcMar>
              <w:top w:w="15" w:type="dxa"/>
              <w:left w:w="15" w:type="dxa"/>
              <w:bottom w:w="0" w:type="dxa"/>
              <w:right w:w="15" w:type="dxa"/>
            </w:tcMar>
            <w:vAlign w:val="center"/>
            <w:hideMark/>
          </w:tcPr>
          <w:p w14:paraId="421921D2" w14:textId="77777777"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91 ± 12.4</w:t>
            </w:r>
          </w:p>
        </w:tc>
      </w:tr>
      <w:tr w:rsidR="004568FA" w:rsidRPr="00590778" w14:paraId="4CC26DF9" w14:textId="77777777" w:rsidTr="006B60E6">
        <w:trPr>
          <w:trHeight w:val="326"/>
        </w:trPr>
        <w:tc>
          <w:tcPr>
            <w:tcW w:w="3828" w:type="dxa"/>
            <w:tcBorders>
              <w:top w:val="nil"/>
              <w:left w:val="nil"/>
              <w:bottom w:val="nil"/>
              <w:right w:val="nil"/>
            </w:tcBorders>
            <w:tcMar>
              <w:top w:w="15" w:type="dxa"/>
              <w:left w:w="15" w:type="dxa"/>
              <w:bottom w:w="0" w:type="dxa"/>
              <w:right w:w="15" w:type="dxa"/>
            </w:tcMar>
            <w:vAlign w:val="center"/>
            <w:hideMark/>
          </w:tcPr>
          <w:p w14:paraId="1DB4F617" w14:textId="77777777" w:rsidR="00021BEC" w:rsidRPr="00590778" w:rsidRDefault="00021BEC" w:rsidP="006B60E6">
            <w:pPr>
              <w:jc w:val="both"/>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ACR (mg/g)</w:t>
            </w:r>
          </w:p>
        </w:tc>
        <w:tc>
          <w:tcPr>
            <w:tcW w:w="3260" w:type="dxa"/>
            <w:tcBorders>
              <w:top w:val="nil"/>
              <w:left w:val="nil"/>
              <w:bottom w:val="nil"/>
              <w:right w:val="nil"/>
            </w:tcBorders>
            <w:tcMar>
              <w:top w:w="15" w:type="dxa"/>
              <w:left w:w="15" w:type="dxa"/>
              <w:bottom w:w="0" w:type="dxa"/>
              <w:right w:w="15" w:type="dxa"/>
            </w:tcMar>
            <w:vAlign w:val="center"/>
            <w:hideMark/>
          </w:tcPr>
          <w:p w14:paraId="4251875A" w14:textId="77777777"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16.2 ± 61.1</w:t>
            </w:r>
          </w:p>
        </w:tc>
      </w:tr>
      <w:tr w:rsidR="004568FA" w:rsidRPr="00590778" w14:paraId="25932CF0" w14:textId="77777777" w:rsidTr="006B60E6">
        <w:trPr>
          <w:trHeight w:val="326"/>
        </w:trPr>
        <w:tc>
          <w:tcPr>
            <w:tcW w:w="3828" w:type="dxa"/>
            <w:tcBorders>
              <w:top w:val="nil"/>
              <w:left w:val="nil"/>
              <w:bottom w:val="nil"/>
              <w:right w:val="nil"/>
            </w:tcBorders>
            <w:tcMar>
              <w:top w:w="15" w:type="dxa"/>
              <w:left w:w="15" w:type="dxa"/>
              <w:bottom w:w="0" w:type="dxa"/>
              <w:right w:w="15" w:type="dxa"/>
            </w:tcMar>
            <w:vAlign w:val="center"/>
            <w:hideMark/>
          </w:tcPr>
          <w:p w14:paraId="5A01C0F9" w14:textId="64A8093D" w:rsidR="00021BEC" w:rsidRPr="00590778" w:rsidRDefault="00021BEC" w:rsidP="006B60E6">
            <w:pPr>
              <w:jc w:val="both"/>
              <w:textAlignment w:val="center"/>
              <w:rPr>
                <w:rFonts w:ascii="Times New Roman" w:hAnsi="Times New Roman" w:cs="Times New Roman"/>
                <w:color w:val="000000" w:themeColor="text1"/>
                <w:sz w:val="36"/>
                <w:szCs w:val="36"/>
              </w:rPr>
            </w:pPr>
            <w:r w:rsidRPr="00590778">
              <w:rPr>
                <w:rFonts w:ascii="Times New Roman" w:hAnsi="Times New Roman" w:cs="Times New Roman"/>
                <w:color w:val="000000" w:themeColor="text1"/>
                <w:kern w:val="24"/>
              </w:rPr>
              <w:t>A</w:t>
            </w:r>
            <w:r w:rsidR="007E4408" w:rsidRPr="00590778">
              <w:rPr>
                <w:rFonts w:ascii="Times New Roman" w:hAnsi="Times New Roman" w:cs="Times New Roman"/>
                <w:color w:val="000000" w:themeColor="text1"/>
                <w:kern w:val="24"/>
              </w:rPr>
              <w:t>L</w:t>
            </w:r>
            <w:r w:rsidRPr="00590778">
              <w:rPr>
                <w:rFonts w:ascii="Times New Roman" w:hAnsi="Times New Roman" w:cs="Times New Roman"/>
                <w:color w:val="000000" w:themeColor="text1"/>
                <w:kern w:val="24"/>
              </w:rPr>
              <w:t>T (U/L)</w:t>
            </w:r>
          </w:p>
        </w:tc>
        <w:tc>
          <w:tcPr>
            <w:tcW w:w="3260" w:type="dxa"/>
            <w:tcBorders>
              <w:top w:val="nil"/>
              <w:left w:val="nil"/>
              <w:bottom w:val="nil"/>
              <w:right w:val="nil"/>
            </w:tcBorders>
            <w:tcMar>
              <w:top w:w="15" w:type="dxa"/>
              <w:left w:w="15" w:type="dxa"/>
              <w:bottom w:w="0" w:type="dxa"/>
              <w:right w:w="15" w:type="dxa"/>
            </w:tcMar>
            <w:vAlign w:val="center"/>
            <w:hideMark/>
          </w:tcPr>
          <w:p w14:paraId="1054F04B" w14:textId="77777777"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23 ± 12.2</w:t>
            </w:r>
          </w:p>
        </w:tc>
      </w:tr>
      <w:tr w:rsidR="004568FA" w:rsidRPr="00590778" w14:paraId="41AF7844" w14:textId="77777777" w:rsidTr="006B60E6">
        <w:trPr>
          <w:trHeight w:val="326"/>
        </w:trPr>
        <w:tc>
          <w:tcPr>
            <w:tcW w:w="3828" w:type="dxa"/>
            <w:tcBorders>
              <w:top w:val="nil"/>
              <w:left w:val="nil"/>
              <w:bottom w:val="nil"/>
              <w:right w:val="nil"/>
            </w:tcBorders>
            <w:tcMar>
              <w:top w:w="15" w:type="dxa"/>
              <w:left w:w="15" w:type="dxa"/>
              <w:bottom w:w="0" w:type="dxa"/>
              <w:right w:w="15" w:type="dxa"/>
            </w:tcMar>
            <w:vAlign w:val="center"/>
            <w:hideMark/>
          </w:tcPr>
          <w:p w14:paraId="1A2FB5CD" w14:textId="77777777" w:rsidR="00021BEC" w:rsidRPr="00590778" w:rsidRDefault="00021BEC" w:rsidP="006B60E6">
            <w:pPr>
              <w:jc w:val="both"/>
              <w:textAlignment w:val="center"/>
              <w:rPr>
                <w:rFonts w:ascii="Times New Roman" w:hAnsi="Times New Roman" w:cs="Times New Roman"/>
                <w:color w:val="000000" w:themeColor="text1"/>
                <w:sz w:val="36"/>
                <w:szCs w:val="36"/>
              </w:rPr>
            </w:pPr>
            <w:r w:rsidRPr="00590778">
              <w:rPr>
                <w:rFonts w:ascii="Times New Roman" w:hAnsi="Times New Roman" w:cs="Times New Roman"/>
                <w:color w:val="000000" w:themeColor="text1"/>
                <w:kern w:val="24"/>
              </w:rPr>
              <w:t>Albumin (g/L)</w:t>
            </w:r>
          </w:p>
        </w:tc>
        <w:tc>
          <w:tcPr>
            <w:tcW w:w="3260" w:type="dxa"/>
            <w:tcBorders>
              <w:top w:val="nil"/>
              <w:left w:val="nil"/>
              <w:bottom w:val="nil"/>
              <w:right w:val="nil"/>
            </w:tcBorders>
            <w:tcMar>
              <w:top w:w="15" w:type="dxa"/>
              <w:left w:w="15" w:type="dxa"/>
              <w:bottom w:w="0" w:type="dxa"/>
              <w:right w:w="15" w:type="dxa"/>
            </w:tcMar>
            <w:vAlign w:val="center"/>
            <w:hideMark/>
          </w:tcPr>
          <w:p w14:paraId="335E3F4F" w14:textId="77777777"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45.3 ± 2.6</w:t>
            </w:r>
          </w:p>
        </w:tc>
      </w:tr>
      <w:tr w:rsidR="004568FA" w:rsidRPr="00590778" w14:paraId="2C1AE37D" w14:textId="77777777" w:rsidTr="006B60E6">
        <w:trPr>
          <w:trHeight w:val="326"/>
        </w:trPr>
        <w:tc>
          <w:tcPr>
            <w:tcW w:w="3828" w:type="dxa"/>
            <w:tcBorders>
              <w:top w:val="nil"/>
              <w:left w:val="nil"/>
              <w:bottom w:val="nil"/>
              <w:right w:val="nil"/>
            </w:tcBorders>
            <w:tcMar>
              <w:top w:w="15" w:type="dxa"/>
              <w:left w:w="15" w:type="dxa"/>
              <w:bottom w:w="0" w:type="dxa"/>
              <w:right w:w="15" w:type="dxa"/>
            </w:tcMar>
            <w:vAlign w:val="center"/>
            <w:hideMark/>
          </w:tcPr>
          <w:p w14:paraId="03A595E2" w14:textId="77777777" w:rsidR="00021BEC" w:rsidRPr="00590778" w:rsidRDefault="00021BEC" w:rsidP="006B60E6">
            <w:pPr>
              <w:jc w:val="both"/>
              <w:textAlignment w:val="center"/>
              <w:rPr>
                <w:rFonts w:ascii="Times New Roman" w:hAnsi="Times New Roman" w:cs="Times New Roman"/>
                <w:color w:val="000000" w:themeColor="text1"/>
                <w:sz w:val="36"/>
                <w:szCs w:val="36"/>
              </w:rPr>
            </w:pPr>
            <w:r w:rsidRPr="00590778">
              <w:rPr>
                <w:rFonts w:ascii="Times New Roman" w:hAnsi="Times New Roman" w:cs="Times New Roman"/>
                <w:color w:val="000000" w:themeColor="text1"/>
                <w:kern w:val="24"/>
              </w:rPr>
              <w:t>Calcium (mmol/L)</w:t>
            </w:r>
          </w:p>
        </w:tc>
        <w:tc>
          <w:tcPr>
            <w:tcW w:w="3260" w:type="dxa"/>
            <w:tcBorders>
              <w:top w:val="nil"/>
              <w:left w:val="nil"/>
              <w:bottom w:val="nil"/>
              <w:right w:val="nil"/>
            </w:tcBorders>
            <w:tcMar>
              <w:top w:w="15" w:type="dxa"/>
              <w:left w:w="15" w:type="dxa"/>
              <w:bottom w:w="0" w:type="dxa"/>
              <w:right w:w="15" w:type="dxa"/>
            </w:tcMar>
            <w:vAlign w:val="center"/>
            <w:hideMark/>
          </w:tcPr>
          <w:p w14:paraId="0273B607" w14:textId="77777777"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2.4 ± 0.1</w:t>
            </w:r>
          </w:p>
        </w:tc>
      </w:tr>
      <w:tr w:rsidR="004568FA" w:rsidRPr="00590778" w14:paraId="5E7BD0CC" w14:textId="77777777" w:rsidTr="006B60E6">
        <w:trPr>
          <w:trHeight w:val="326"/>
        </w:trPr>
        <w:tc>
          <w:tcPr>
            <w:tcW w:w="3828" w:type="dxa"/>
            <w:tcBorders>
              <w:top w:val="nil"/>
              <w:left w:val="nil"/>
              <w:bottom w:val="nil"/>
              <w:right w:val="nil"/>
            </w:tcBorders>
            <w:tcMar>
              <w:top w:w="15" w:type="dxa"/>
              <w:left w:w="15" w:type="dxa"/>
              <w:bottom w:w="0" w:type="dxa"/>
              <w:right w:w="15" w:type="dxa"/>
            </w:tcMar>
            <w:vAlign w:val="center"/>
            <w:hideMark/>
          </w:tcPr>
          <w:p w14:paraId="1E960E0D" w14:textId="77777777" w:rsidR="00021BEC" w:rsidRPr="00590778" w:rsidRDefault="00021BEC" w:rsidP="006B60E6">
            <w:pPr>
              <w:jc w:val="both"/>
              <w:textAlignment w:val="center"/>
              <w:rPr>
                <w:rFonts w:ascii="Times New Roman" w:hAnsi="Times New Roman" w:cs="Times New Roman"/>
                <w:color w:val="000000" w:themeColor="text1"/>
                <w:sz w:val="36"/>
                <w:szCs w:val="36"/>
              </w:rPr>
            </w:pPr>
            <w:r w:rsidRPr="00590778">
              <w:rPr>
                <w:rFonts w:ascii="Times New Roman" w:hAnsi="Times New Roman" w:cs="Times New Roman"/>
                <w:color w:val="000000" w:themeColor="text1"/>
                <w:kern w:val="24"/>
              </w:rPr>
              <w:t>Uric acid (mmol/L)</w:t>
            </w:r>
          </w:p>
        </w:tc>
        <w:tc>
          <w:tcPr>
            <w:tcW w:w="3260" w:type="dxa"/>
            <w:tcBorders>
              <w:top w:val="nil"/>
              <w:left w:val="nil"/>
              <w:bottom w:val="nil"/>
              <w:right w:val="nil"/>
            </w:tcBorders>
            <w:tcMar>
              <w:top w:w="15" w:type="dxa"/>
              <w:left w:w="15" w:type="dxa"/>
              <w:bottom w:w="0" w:type="dxa"/>
              <w:right w:w="15" w:type="dxa"/>
            </w:tcMar>
            <w:vAlign w:val="center"/>
            <w:hideMark/>
          </w:tcPr>
          <w:p w14:paraId="7DA5D8D1" w14:textId="77777777"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0.3 ± 0.1</w:t>
            </w:r>
          </w:p>
        </w:tc>
      </w:tr>
      <w:tr w:rsidR="004568FA" w:rsidRPr="00590778" w14:paraId="2F3CD84B" w14:textId="77777777" w:rsidTr="006B60E6">
        <w:trPr>
          <w:trHeight w:val="326"/>
        </w:trPr>
        <w:tc>
          <w:tcPr>
            <w:tcW w:w="3828" w:type="dxa"/>
            <w:tcBorders>
              <w:top w:val="nil"/>
              <w:left w:val="nil"/>
              <w:bottom w:val="nil"/>
              <w:right w:val="nil"/>
            </w:tcBorders>
            <w:tcMar>
              <w:top w:w="15" w:type="dxa"/>
              <w:left w:w="15" w:type="dxa"/>
              <w:bottom w:w="0" w:type="dxa"/>
              <w:right w:w="15" w:type="dxa"/>
            </w:tcMar>
            <w:vAlign w:val="center"/>
            <w:hideMark/>
          </w:tcPr>
          <w:p w14:paraId="4F05FA26" w14:textId="77777777" w:rsidR="00021BEC" w:rsidRPr="00590778" w:rsidRDefault="00021BEC" w:rsidP="006B60E6">
            <w:pPr>
              <w:jc w:val="both"/>
              <w:textAlignment w:val="center"/>
              <w:rPr>
                <w:rFonts w:ascii="Times New Roman" w:hAnsi="Times New Roman" w:cs="Times New Roman"/>
                <w:color w:val="000000" w:themeColor="text1"/>
                <w:sz w:val="36"/>
                <w:szCs w:val="36"/>
              </w:rPr>
            </w:pPr>
            <w:r w:rsidRPr="00590778">
              <w:rPr>
                <w:rFonts w:ascii="Times New Roman" w:hAnsi="Times New Roman" w:cs="Times New Roman"/>
                <w:color w:val="000000" w:themeColor="text1"/>
                <w:kern w:val="24"/>
              </w:rPr>
              <w:t>Triglyceride (mmol/L)</w:t>
            </w:r>
          </w:p>
        </w:tc>
        <w:tc>
          <w:tcPr>
            <w:tcW w:w="3260" w:type="dxa"/>
            <w:tcBorders>
              <w:top w:val="nil"/>
              <w:left w:val="nil"/>
              <w:bottom w:val="nil"/>
              <w:right w:val="nil"/>
            </w:tcBorders>
            <w:tcMar>
              <w:top w:w="15" w:type="dxa"/>
              <w:left w:w="15" w:type="dxa"/>
              <w:bottom w:w="0" w:type="dxa"/>
              <w:right w:w="15" w:type="dxa"/>
            </w:tcMar>
            <w:vAlign w:val="center"/>
            <w:hideMark/>
          </w:tcPr>
          <w:p w14:paraId="335A6E0E" w14:textId="77777777"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1.7 ± 0.9</w:t>
            </w:r>
          </w:p>
        </w:tc>
      </w:tr>
      <w:tr w:rsidR="004568FA" w:rsidRPr="00590778" w14:paraId="13806338" w14:textId="77777777" w:rsidTr="006B60E6">
        <w:trPr>
          <w:trHeight w:val="326"/>
        </w:trPr>
        <w:tc>
          <w:tcPr>
            <w:tcW w:w="3828" w:type="dxa"/>
            <w:tcBorders>
              <w:top w:val="nil"/>
              <w:left w:val="nil"/>
              <w:bottom w:val="nil"/>
              <w:right w:val="nil"/>
            </w:tcBorders>
            <w:tcMar>
              <w:top w:w="15" w:type="dxa"/>
              <w:left w:w="15" w:type="dxa"/>
              <w:bottom w:w="0" w:type="dxa"/>
              <w:right w:w="15" w:type="dxa"/>
            </w:tcMar>
            <w:vAlign w:val="center"/>
            <w:hideMark/>
          </w:tcPr>
          <w:p w14:paraId="4C427A7B" w14:textId="77777777" w:rsidR="00021BEC" w:rsidRPr="00590778" w:rsidRDefault="00021BEC" w:rsidP="006B60E6">
            <w:pPr>
              <w:jc w:val="both"/>
              <w:textAlignment w:val="center"/>
              <w:rPr>
                <w:rFonts w:ascii="Times New Roman" w:hAnsi="Times New Roman" w:cs="Times New Roman"/>
                <w:color w:val="000000" w:themeColor="text1"/>
                <w:sz w:val="36"/>
                <w:szCs w:val="36"/>
              </w:rPr>
            </w:pPr>
            <w:r w:rsidRPr="00590778">
              <w:rPr>
                <w:rFonts w:ascii="Times New Roman" w:hAnsi="Times New Roman" w:cs="Times New Roman"/>
                <w:color w:val="000000" w:themeColor="text1"/>
                <w:kern w:val="24"/>
              </w:rPr>
              <w:t xml:space="preserve">LDL-C </w:t>
            </w:r>
            <w:r w:rsidRPr="00590778">
              <w:rPr>
                <w:rFonts w:ascii="Times New Roman" w:eastAsia="微软雅黑" w:hAnsi="Times New Roman" w:cs="Times New Roman"/>
                <w:color w:val="000000" w:themeColor="text1"/>
                <w:kern w:val="24"/>
              </w:rPr>
              <w:t>(mmol/L)</w:t>
            </w:r>
          </w:p>
        </w:tc>
        <w:tc>
          <w:tcPr>
            <w:tcW w:w="3260" w:type="dxa"/>
            <w:tcBorders>
              <w:top w:val="nil"/>
              <w:left w:val="nil"/>
              <w:bottom w:val="nil"/>
              <w:right w:val="nil"/>
            </w:tcBorders>
            <w:tcMar>
              <w:top w:w="15" w:type="dxa"/>
              <w:left w:w="15" w:type="dxa"/>
              <w:bottom w:w="0" w:type="dxa"/>
              <w:right w:w="15" w:type="dxa"/>
            </w:tcMar>
            <w:vAlign w:val="center"/>
            <w:hideMark/>
          </w:tcPr>
          <w:p w14:paraId="2D61943B" w14:textId="77777777"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3.6 ± 0.8</w:t>
            </w:r>
          </w:p>
        </w:tc>
      </w:tr>
      <w:tr w:rsidR="004568FA" w:rsidRPr="00590778" w14:paraId="6928B519" w14:textId="77777777" w:rsidTr="006B60E6">
        <w:trPr>
          <w:trHeight w:val="326"/>
        </w:trPr>
        <w:tc>
          <w:tcPr>
            <w:tcW w:w="3828" w:type="dxa"/>
            <w:tcBorders>
              <w:top w:val="nil"/>
              <w:left w:val="nil"/>
              <w:bottom w:val="nil"/>
              <w:right w:val="nil"/>
            </w:tcBorders>
            <w:tcMar>
              <w:top w:w="15" w:type="dxa"/>
              <w:left w:w="15" w:type="dxa"/>
              <w:bottom w:w="0" w:type="dxa"/>
              <w:right w:w="15" w:type="dxa"/>
            </w:tcMar>
            <w:vAlign w:val="center"/>
            <w:hideMark/>
          </w:tcPr>
          <w:p w14:paraId="3F6B0F45" w14:textId="77777777" w:rsidR="00021BEC" w:rsidRPr="00590778" w:rsidRDefault="00021BEC" w:rsidP="006B60E6">
            <w:pPr>
              <w:jc w:val="both"/>
              <w:textAlignment w:val="center"/>
              <w:rPr>
                <w:rFonts w:ascii="Times New Roman" w:hAnsi="Times New Roman" w:cs="Times New Roman"/>
                <w:color w:val="000000" w:themeColor="text1"/>
                <w:sz w:val="36"/>
                <w:szCs w:val="36"/>
              </w:rPr>
            </w:pPr>
            <w:r w:rsidRPr="00590778">
              <w:rPr>
                <w:rFonts w:ascii="Times New Roman" w:hAnsi="Times New Roman" w:cs="Times New Roman"/>
                <w:color w:val="000000" w:themeColor="text1"/>
                <w:kern w:val="24"/>
              </w:rPr>
              <w:t>Cholesterol (mmol/L)</w:t>
            </w:r>
          </w:p>
        </w:tc>
        <w:tc>
          <w:tcPr>
            <w:tcW w:w="3260" w:type="dxa"/>
            <w:tcBorders>
              <w:top w:val="nil"/>
              <w:left w:val="nil"/>
              <w:bottom w:val="nil"/>
              <w:right w:val="nil"/>
            </w:tcBorders>
            <w:tcMar>
              <w:top w:w="15" w:type="dxa"/>
              <w:left w:w="15" w:type="dxa"/>
              <w:bottom w:w="0" w:type="dxa"/>
              <w:right w:w="15" w:type="dxa"/>
            </w:tcMar>
            <w:vAlign w:val="center"/>
            <w:hideMark/>
          </w:tcPr>
          <w:p w14:paraId="09359F30" w14:textId="77777777"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5.8 ± 1.1</w:t>
            </w:r>
          </w:p>
        </w:tc>
      </w:tr>
      <w:tr w:rsidR="004568FA" w:rsidRPr="00590778" w14:paraId="497C76DB" w14:textId="77777777" w:rsidTr="006B60E6">
        <w:trPr>
          <w:trHeight w:val="326"/>
        </w:trPr>
        <w:tc>
          <w:tcPr>
            <w:tcW w:w="3828" w:type="dxa"/>
            <w:tcBorders>
              <w:top w:val="nil"/>
              <w:left w:val="nil"/>
              <w:bottom w:val="nil"/>
              <w:right w:val="nil"/>
            </w:tcBorders>
            <w:tcMar>
              <w:top w:w="15" w:type="dxa"/>
              <w:left w:w="15" w:type="dxa"/>
              <w:bottom w:w="0" w:type="dxa"/>
              <w:right w:w="15" w:type="dxa"/>
            </w:tcMar>
            <w:vAlign w:val="center"/>
            <w:hideMark/>
          </w:tcPr>
          <w:p w14:paraId="59B876EB" w14:textId="77777777" w:rsidR="00021BEC" w:rsidRPr="00590778" w:rsidRDefault="00021BEC" w:rsidP="006B60E6">
            <w:pPr>
              <w:jc w:val="both"/>
              <w:textAlignment w:val="center"/>
              <w:rPr>
                <w:rFonts w:ascii="Times New Roman" w:hAnsi="Times New Roman" w:cs="Times New Roman"/>
                <w:color w:val="000000" w:themeColor="text1"/>
                <w:sz w:val="36"/>
                <w:szCs w:val="36"/>
              </w:rPr>
            </w:pPr>
            <w:r w:rsidRPr="00590778">
              <w:rPr>
                <w:rFonts w:ascii="Times New Roman" w:hAnsi="Times New Roman" w:cs="Times New Roman"/>
                <w:color w:val="000000" w:themeColor="text1"/>
                <w:kern w:val="24"/>
              </w:rPr>
              <w:t>Hemoglobin (g/L)</w:t>
            </w:r>
          </w:p>
        </w:tc>
        <w:tc>
          <w:tcPr>
            <w:tcW w:w="3260" w:type="dxa"/>
            <w:tcBorders>
              <w:top w:val="nil"/>
              <w:left w:val="nil"/>
              <w:bottom w:val="nil"/>
              <w:right w:val="nil"/>
            </w:tcBorders>
            <w:tcMar>
              <w:top w:w="15" w:type="dxa"/>
              <w:left w:w="15" w:type="dxa"/>
              <w:bottom w:w="0" w:type="dxa"/>
              <w:right w:w="15" w:type="dxa"/>
            </w:tcMar>
            <w:vAlign w:val="center"/>
            <w:hideMark/>
          </w:tcPr>
          <w:p w14:paraId="14B6F25C" w14:textId="77777777"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139.8 ± 23.8</w:t>
            </w:r>
          </w:p>
        </w:tc>
      </w:tr>
      <w:tr w:rsidR="004568FA" w:rsidRPr="00590778" w14:paraId="4C0FA948" w14:textId="77777777" w:rsidTr="006B60E6">
        <w:trPr>
          <w:trHeight w:val="326"/>
        </w:trPr>
        <w:tc>
          <w:tcPr>
            <w:tcW w:w="3828" w:type="dxa"/>
            <w:tcBorders>
              <w:top w:val="nil"/>
              <w:left w:val="nil"/>
              <w:bottom w:val="nil"/>
              <w:right w:val="nil"/>
            </w:tcBorders>
            <w:tcMar>
              <w:top w:w="15" w:type="dxa"/>
              <w:left w:w="15" w:type="dxa"/>
              <w:bottom w:w="0" w:type="dxa"/>
              <w:right w:w="15" w:type="dxa"/>
            </w:tcMar>
            <w:vAlign w:val="center"/>
            <w:hideMark/>
          </w:tcPr>
          <w:p w14:paraId="46E89BAE" w14:textId="77777777" w:rsidR="00021BEC" w:rsidRPr="00590778" w:rsidRDefault="00021BEC" w:rsidP="006B60E6">
            <w:pPr>
              <w:jc w:val="both"/>
              <w:textAlignment w:val="center"/>
              <w:rPr>
                <w:rFonts w:ascii="Times New Roman" w:hAnsi="Times New Roman" w:cs="Times New Roman"/>
                <w:color w:val="000000" w:themeColor="text1"/>
                <w:sz w:val="36"/>
                <w:szCs w:val="36"/>
              </w:rPr>
            </w:pPr>
            <w:r w:rsidRPr="00590778">
              <w:rPr>
                <w:rFonts w:ascii="Times New Roman" w:hAnsi="Times New Roman" w:cs="Times New Roman"/>
                <w:color w:val="000000" w:themeColor="text1"/>
                <w:kern w:val="24"/>
              </w:rPr>
              <w:t>High-sensitivity CRP (mg/L)</w:t>
            </w:r>
          </w:p>
        </w:tc>
        <w:tc>
          <w:tcPr>
            <w:tcW w:w="3260" w:type="dxa"/>
            <w:tcBorders>
              <w:top w:val="nil"/>
              <w:left w:val="nil"/>
              <w:bottom w:val="nil"/>
              <w:right w:val="nil"/>
            </w:tcBorders>
            <w:tcMar>
              <w:top w:w="15" w:type="dxa"/>
              <w:left w:w="15" w:type="dxa"/>
              <w:bottom w:w="0" w:type="dxa"/>
              <w:right w:w="15" w:type="dxa"/>
            </w:tcMar>
            <w:vAlign w:val="center"/>
            <w:hideMark/>
          </w:tcPr>
          <w:p w14:paraId="64A9402B" w14:textId="77777777"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2.2 ± 4</w:t>
            </w:r>
          </w:p>
        </w:tc>
      </w:tr>
      <w:tr w:rsidR="004568FA" w:rsidRPr="00590778" w14:paraId="1255D59C" w14:textId="77777777" w:rsidTr="006B60E6">
        <w:trPr>
          <w:trHeight w:val="326"/>
        </w:trPr>
        <w:tc>
          <w:tcPr>
            <w:tcW w:w="3828" w:type="dxa"/>
            <w:tcBorders>
              <w:top w:val="nil"/>
              <w:left w:val="nil"/>
              <w:bottom w:val="nil"/>
              <w:right w:val="nil"/>
            </w:tcBorders>
            <w:tcMar>
              <w:top w:w="15" w:type="dxa"/>
              <w:left w:w="15" w:type="dxa"/>
              <w:bottom w:w="0" w:type="dxa"/>
              <w:right w:w="15" w:type="dxa"/>
            </w:tcMar>
            <w:vAlign w:val="center"/>
            <w:hideMark/>
          </w:tcPr>
          <w:p w14:paraId="0FDE0C12" w14:textId="77777777" w:rsidR="00021BEC" w:rsidRPr="00590778" w:rsidRDefault="00021BEC" w:rsidP="006B60E6">
            <w:pPr>
              <w:jc w:val="both"/>
              <w:textAlignment w:val="center"/>
              <w:rPr>
                <w:rFonts w:ascii="Times New Roman" w:hAnsi="Times New Roman" w:cs="Times New Roman"/>
                <w:color w:val="000000" w:themeColor="text1"/>
                <w:sz w:val="36"/>
                <w:szCs w:val="36"/>
              </w:rPr>
            </w:pPr>
            <w:r w:rsidRPr="00590778">
              <w:rPr>
                <w:rFonts w:ascii="Times New Roman" w:eastAsia="微软雅黑" w:hAnsi="Times New Roman" w:cs="Times New Roman"/>
                <w:b/>
                <w:bCs/>
                <w:color w:val="000000" w:themeColor="text1"/>
                <w:kern w:val="24"/>
              </w:rPr>
              <w:t>Outcomes (within 2 years)</w:t>
            </w:r>
          </w:p>
        </w:tc>
        <w:tc>
          <w:tcPr>
            <w:tcW w:w="3260" w:type="dxa"/>
            <w:tcBorders>
              <w:top w:val="nil"/>
              <w:left w:val="nil"/>
              <w:bottom w:val="nil"/>
              <w:right w:val="nil"/>
            </w:tcBorders>
            <w:tcMar>
              <w:top w:w="15" w:type="dxa"/>
              <w:left w:w="15" w:type="dxa"/>
              <w:bottom w:w="0" w:type="dxa"/>
              <w:right w:w="15" w:type="dxa"/>
            </w:tcMar>
            <w:vAlign w:val="center"/>
            <w:hideMark/>
          </w:tcPr>
          <w:p w14:paraId="5481CB01" w14:textId="77777777" w:rsidR="00021BEC" w:rsidRPr="00590778" w:rsidRDefault="00021BEC" w:rsidP="006B60E6">
            <w:pPr>
              <w:jc w:val="center"/>
              <w:rPr>
                <w:rFonts w:ascii="Times New Roman" w:hAnsi="Times New Roman" w:cs="Times New Roman"/>
                <w:color w:val="000000" w:themeColor="text1"/>
                <w:sz w:val="36"/>
                <w:szCs w:val="36"/>
              </w:rPr>
            </w:pPr>
          </w:p>
        </w:tc>
      </w:tr>
      <w:tr w:rsidR="004568FA" w:rsidRPr="00590778" w14:paraId="11384440" w14:textId="77777777" w:rsidTr="006B60E6">
        <w:trPr>
          <w:trHeight w:val="326"/>
        </w:trPr>
        <w:tc>
          <w:tcPr>
            <w:tcW w:w="3828" w:type="dxa"/>
            <w:tcBorders>
              <w:top w:val="nil"/>
              <w:left w:val="nil"/>
              <w:bottom w:val="nil"/>
              <w:right w:val="nil"/>
            </w:tcBorders>
            <w:tcMar>
              <w:top w:w="15" w:type="dxa"/>
              <w:left w:w="15" w:type="dxa"/>
              <w:bottom w:w="0" w:type="dxa"/>
              <w:right w:w="15" w:type="dxa"/>
            </w:tcMar>
            <w:vAlign w:val="center"/>
            <w:hideMark/>
          </w:tcPr>
          <w:p w14:paraId="01F078E6" w14:textId="2322274E" w:rsidR="00021BEC" w:rsidRPr="00590778" w:rsidRDefault="009A5E08" w:rsidP="006B60E6">
            <w:pPr>
              <w:jc w:val="both"/>
              <w:textAlignment w:val="center"/>
              <w:rPr>
                <w:rFonts w:ascii="Times New Roman" w:hAnsi="Times New Roman" w:cs="Times New Roman"/>
                <w:color w:val="000000" w:themeColor="text1"/>
                <w:sz w:val="36"/>
                <w:szCs w:val="36"/>
              </w:rPr>
            </w:pPr>
            <w:r w:rsidRPr="00590778">
              <w:rPr>
                <w:rFonts w:ascii="Times New Roman" w:eastAsia="微软雅黑" w:hAnsi="Times New Roman" w:cs="Times New Roman"/>
                <w:color w:val="000000" w:themeColor="text1"/>
                <w:kern w:val="24"/>
              </w:rPr>
              <w:t>eGFR</w:t>
            </w:r>
            <w:r w:rsidR="00021BEC" w:rsidRPr="00590778">
              <w:rPr>
                <w:rFonts w:ascii="Times New Roman" w:eastAsia="微软雅黑" w:hAnsi="Times New Roman" w:cs="Times New Roman"/>
                <w:color w:val="000000" w:themeColor="text1"/>
                <w:kern w:val="24"/>
              </w:rPr>
              <w:t xml:space="preserve"> declined by 30%, n (%)</w:t>
            </w:r>
          </w:p>
        </w:tc>
        <w:tc>
          <w:tcPr>
            <w:tcW w:w="3260" w:type="dxa"/>
            <w:tcBorders>
              <w:top w:val="nil"/>
              <w:left w:val="nil"/>
              <w:bottom w:val="nil"/>
              <w:right w:val="nil"/>
            </w:tcBorders>
            <w:tcMar>
              <w:top w:w="15" w:type="dxa"/>
              <w:left w:w="15" w:type="dxa"/>
              <w:bottom w:w="0" w:type="dxa"/>
              <w:right w:w="15" w:type="dxa"/>
            </w:tcMar>
            <w:vAlign w:val="center"/>
            <w:hideMark/>
          </w:tcPr>
          <w:p w14:paraId="015ABE04" w14:textId="77777777"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24 (0.4)</w:t>
            </w:r>
          </w:p>
        </w:tc>
      </w:tr>
      <w:tr w:rsidR="004568FA" w:rsidRPr="00590778" w14:paraId="5EA0EA2F" w14:textId="77777777" w:rsidTr="006B60E6">
        <w:trPr>
          <w:trHeight w:val="326"/>
        </w:trPr>
        <w:tc>
          <w:tcPr>
            <w:tcW w:w="3828" w:type="dxa"/>
            <w:tcBorders>
              <w:top w:val="nil"/>
              <w:left w:val="nil"/>
              <w:bottom w:val="nil"/>
              <w:right w:val="nil"/>
            </w:tcBorders>
            <w:tcMar>
              <w:top w:w="15" w:type="dxa"/>
              <w:left w:w="15" w:type="dxa"/>
              <w:bottom w:w="0" w:type="dxa"/>
              <w:right w:w="15" w:type="dxa"/>
            </w:tcMar>
            <w:vAlign w:val="center"/>
            <w:hideMark/>
          </w:tcPr>
          <w:p w14:paraId="369EF67B" w14:textId="7B66246A" w:rsidR="00021BEC" w:rsidRPr="00590778" w:rsidRDefault="009A5E08" w:rsidP="006B60E6">
            <w:pPr>
              <w:jc w:val="both"/>
              <w:textAlignment w:val="center"/>
              <w:rPr>
                <w:rFonts w:ascii="Times New Roman" w:hAnsi="Times New Roman" w:cs="Times New Roman"/>
                <w:color w:val="000000" w:themeColor="text1"/>
                <w:sz w:val="36"/>
                <w:szCs w:val="36"/>
              </w:rPr>
            </w:pPr>
            <w:r w:rsidRPr="00590778">
              <w:rPr>
                <w:rFonts w:ascii="Times New Roman" w:eastAsia="微软雅黑" w:hAnsi="Times New Roman" w:cs="Times New Roman"/>
                <w:color w:val="000000" w:themeColor="text1"/>
                <w:kern w:val="24"/>
              </w:rPr>
              <w:t>eGFR</w:t>
            </w:r>
            <w:r w:rsidR="00021BEC" w:rsidRPr="00590778">
              <w:rPr>
                <w:rFonts w:ascii="Times New Roman" w:eastAsia="微软雅黑" w:hAnsi="Times New Roman" w:cs="Times New Roman"/>
                <w:color w:val="000000" w:themeColor="text1"/>
                <w:kern w:val="24"/>
              </w:rPr>
              <w:t xml:space="preserve"> declined by 35%, n (%)</w:t>
            </w:r>
          </w:p>
        </w:tc>
        <w:tc>
          <w:tcPr>
            <w:tcW w:w="3260" w:type="dxa"/>
            <w:tcBorders>
              <w:top w:val="nil"/>
              <w:left w:val="nil"/>
              <w:bottom w:val="nil"/>
              <w:right w:val="nil"/>
            </w:tcBorders>
            <w:tcMar>
              <w:top w:w="15" w:type="dxa"/>
              <w:left w:w="15" w:type="dxa"/>
              <w:bottom w:w="0" w:type="dxa"/>
              <w:right w:w="15" w:type="dxa"/>
            </w:tcMar>
            <w:vAlign w:val="center"/>
            <w:hideMark/>
          </w:tcPr>
          <w:p w14:paraId="0B628BFC" w14:textId="77777777"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13 (0.2)</w:t>
            </w:r>
          </w:p>
        </w:tc>
      </w:tr>
      <w:tr w:rsidR="004568FA" w:rsidRPr="00590778" w14:paraId="755F39AD" w14:textId="77777777" w:rsidTr="006B60E6">
        <w:trPr>
          <w:trHeight w:val="326"/>
        </w:trPr>
        <w:tc>
          <w:tcPr>
            <w:tcW w:w="3828" w:type="dxa"/>
            <w:tcBorders>
              <w:top w:val="nil"/>
              <w:left w:val="nil"/>
              <w:bottom w:val="single" w:sz="8" w:space="0" w:color="000000"/>
              <w:right w:val="nil"/>
            </w:tcBorders>
            <w:tcMar>
              <w:top w:w="15" w:type="dxa"/>
              <w:left w:w="15" w:type="dxa"/>
              <w:bottom w:w="0" w:type="dxa"/>
              <w:right w:w="15" w:type="dxa"/>
            </w:tcMar>
            <w:vAlign w:val="center"/>
            <w:hideMark/>
          </w:tcPr>
          <w:p w14:paraId="5E44EA49" w14:textId="668DEF23" w:rsidR="00021BEC" w:rsidRPr="00590778" w:rsidRDefault="009A5E08" w:rsidP="006B60E6">
            <w:pPr>
              <w:jc w:val="both"/>
              <w:textAlignment w:val="center"/>
              <w:rPr>
                <w:rFonts w:ascii="Times New Roman" w:hAnsi="Times New Roman" w:cs="Times New Roman"/>
                <w:color w:val="000000" w:themeColor="text1"/>
                <w:sz w:val="36"/>
                <w:szCs w:val="36"/>
              </w:rPr>
            </w:pPr>
            <w:r w:rsidRPr="00590778">
              <w:rPr>
                <w:rFonts w:ascii="Times New Roman" w:eastAsia="微软雅黑" w:hAnsi="Times New Roman" w:cs="Times New Roman"/>
                <w:color w:val="000000" w:themeColor="text1"/>
                <w:kern w:val="24"/>
              </w:rPr>
              <w:t>eGFR</w:t>
            </w:r>
            <w:r w:rsidR="00021BEC" w:rsidRPr="00590778">
              <w:rPr>
                <w:rFonts w:ascii="Times New Roman" w:eastAsia="微软雅黑" w:hAnsi="Times New Roman" w:cs="Times New Roman"/>
                <w:color w:val="000000" w:themeColor="text1"/>
                <w:kern w:val="24"/>
              </w:rPr>
              <w:t xml:space="preserve"> declined by 50%, n (%)</w:t>
            </w:r>
          </w:p>
        </w:tc>
        <w:tc>
          <w:tcPr>
            <w:tcW w:w="3260" w:type="dxa"/>
            <w:tcBorders>
              <w:top w:val="nil"/>
              <w:left w:val="nil"/>
              <w:bottom w:val="single" w:sz="8" w:space="0" w:color="000000"/>
              <w:right w:val="nil"/>
            </w:tcBorders>
            <w:tcMar>
              <w:top w:w="15" w:type="dxa"/>
              <w:left w:w="15" w:type="dxa"/>
              <w:bottom w:w="0" w:type="dxa"/>
              <w:right w:w="15" w:type="dxa"/>
            </w:tcMar>
            <w:vAlign w:val="center"/>
            <w:hideMark/>
          </w:tcPr>
          <w:p w14:paraId="14DCCADD" w14:textId="77777777" w:rsidR="00021BEC" w:rsidRPr="00590778" w:rsidRDefault="00021BEC" w:rsidP="006B60E6">
            <w:pPr>
              <w:jc w:val="center"/>
              <w:textAlignment w:val="center"/>
              <w:rPr>
                <w:rFonts w:ascii="Times New Roman" w:hAnsi="Times New Roman" w:cs="Times New Roman"/>
                <w:color w:val="000000" w:themeColor="text1"/>
                <w:sz w:val="36"/>
                <w:szCs w:val="36"/>
              </w:rPr>
            </w:pPr>
            <w:r w:rsidRPr="00590778">
              <w:rPr>
                <w:rFonts w:ascii="Times New Roman" w:eastAsia="DengXian" w:hAnsi="Times New Roman" w:cs="Times New Roman"/>
                <w:color w:val="000000" w:themeColor="text1"/>
                <w:kern w:val="24"/>
              </w:rPr>
              <w:t>3 (0.1)</w:t>
            </w:r>
          </w:p>
        </w:tc>
      </w:tr>
    </w:tbl>
    <w:p w14:paraId="4DB20E6C" w14:textId="77777777" w:rsidR="00021BEC" w:rsidRPr="00590778" w:rsidRDefault="00021BEC" w:rsidP="006B60E6">
      <w:pPr>
        <w:spacing w:beforeLines="50" w:before="163" w:afterLines="50" w:after="163" w:line="300" w:lineRule="auto"/>
        <w:jc w:val="both"/>
        <w:rPr>
          <w:rFonts w:ascii="Times New Roman" w:hAnsi="Times New Roman" w:cs="Times New Roman"/>
          <w:color w:val="000000" w:themeColor="text1"/>
          <w:shd w:val="clear" w:color="auto" w:fill="FFFFFF"/>
        </w:rPr>
      </w:pPr>
      <w:r w:rsidRPr="00590778">
        <w:rPr>
          <w:rFonts w:ascii="Times New Roman" w:hAnsi="Times New Roman" w:cs="Times New Roman"/>
          <w:color w:val="000000" w:themeColor="text1"/>
          <w:shd w:val="clear" w:color="auto" w:fill="FFFFFF"/>
        </w:rPr>
        <w:t xml:space="preserve">Values expressed as mean ± SD or number (percentage). </w:t>
      </w:r>
    </w:p>
    <w:p w14:paraId="2D158C56" w14:textId="77CF8F98" w:rsidR="00B05231" w:rsidRPr="00590778" w:rsidRDefault="009A5E08" w:rsidP="006B60E6">
      <w:pPr>
        <w:spacing w:beforeLines="50" w:before="163" w:afterLines="50" w:after="163" w:line="300" w:lineRule="auto"/>
        <w:jc w:val="both"/>
        <w:rPr>
          <w:rFonts w:ascii="Times New Roman" w:hAnsi="Times New Roman" w:cs="Times New Roman"/>
          <w:color w:val="000000" w:themeColor="text1"/>
          <w:shd w:val="clear" w:color="auto" w:fill="FFFFFF"/>
        </w:rPr>
      </w:pPr>
      <w:r w:rsidRPr="00590778">
        <w:rPr>
          <w:rFonts w:ascii="Times New Roman" w:hAnsi="Times New Roman" w:cs="Times New Roman"/>
          <w:color w:val="000000" w:themeColor="text1"/>
          <w:shd w:val="clear" w:color="auto" w:fill="FFFFFF"/>
        </w:rPr>
        <w:t>eGFR</w:t>
      </w:r>
      <w:r w:rsidR="00021BEC" w:rsidRPr="00590778">
        <w:rPr>
          <w:rFonts w:ascii="Times New Roman" w:hAnsi="Times New Roman" w:cs="Times New Roman"/>
          <w:color w:val="000000" w:themeColor="text1"/>
          <w:shd w:val="clear" w:color="auto" w:fill="FFFFFF"/>
        </w:rPr>
        <w:t xml:space="preserve">: </w:t>
      </w:r>
      <w:r w:rsidRPr="00590778">
        <w:rPr>
          <w:rFonts w:ascii="Times New Roman" w:hAnsi="Times New Roman" w:cs="Times New Roman"/>
          <w:color w:val="000000" w:themeColor="text1"/>
          <w:shd w:val="clear" w:color="auto" w:fill="FFFFFF"/>
        </w:rPr>
        <w:t xml:space="preserve">estimated </w:t>
      </w:r>
      <w:r w:rsidR="00021BEC" w:rsidRPr="00590778">
        <w:rPr>
          <w:rFonts w:ascii="Times New Roman" w:hAnsi="Times New Roman" w:cs="Times New Roman"/>
          <w:color w:val="000000" w:themeColor="text1"/>
          <w:shd w:val="clear" w:color="auto" w:fill="FFFFFF"/>
        </w:rPr>
        <w:t xml:space="preserve">glomerular filtration rate (estimated by the </w:t>
      </w:r>
      <w:r w:rsidR="000A1F43" w:rsidRPr="00590778">
        <w:rPr>
          <w:rFonts w:ascii="Times New Roman" w:hAnsi="Times New Roman" w:cs="Times New Roman"/>
          <w:color w:val="000000" w:themeColor="text1"/>
          <w:shd w:val="clear" w:color="auto" w:fill="FFFFFF"/>
        </w:rPr>
        <w:t>CKD-EPI creatinine-cystatin C equation</w:t>
      </w:r>
      <w:r w:rsidR="00021BEC" w:rsidRPr="00590778">
        <w:rPr>
          <w:rFonts w:ascii="Times New Roman" w:hAnsi="Times New Roman" w:cs="Times New Roman"/>
          <w:color w:val="000000" w:themeColor="text1"/>
          <w:shd w:val="clear" w:color="auto" w:fill="FFFFFF"/>
        </w:rPr>
        <w:t xml:space="preserve"> formula), ACR: urine albumin-to-creatinine ratio. A</w:t>
      </w:r>
      <w:r w:rsidR="007E4408" w:rsidRPr="00590778">
        <w:rPr>
          <w:rFonts w:ascii="Times New Roman" w:hAnsi="Times New Roman" w:cs="Times New Roman"/>
          <w:color w:val="000000" w:themeColor="text1"/>
          <w:shd w:val="clear" w:color="auto" w:fill="FFFFFF"/>
        </w:rPr>
        <w:t>L</w:t>
      </w:r>
      <w:r w:rsidR="00021BEC" w:rsidRPr="00590778">
        <w:rPr>
          <w:rFonts w:ascii="Times New Roman" w:hAnsi="Times New Roman" w:cs="Times New Roman"/>
          <w:color w:val="000000" w:themeColor="text1"/>
          <w:shd w:val="clear" w:color="auto" w:fill="FFFFFF"/>
        </w:rPr>
        <w:t>T: alanine aminotransferase, LDL-</w:t>
      </w:r>
      <w:r w:rsidR="002A0918" w:rsidRPr="00590778">
        <w:rPr>
          <w:rFonts w:ascii="Times New Roman" w:hAnsi="Times New Roman" w:cs="Times New Roman"/>
          <w:color w:val="000000" w:themeColor="text1"/>
          <w:shd w:val="clear" w:color="auto" w:fill="FFFFFF"/>
        </w:rPr>
        <w:t>C:</w:t>
      </w:r>
      <w:r w:rsidR="00021BEC" w:rsidRPr="00590778">
        <w:rPr>
          <w:rFonts w:ascii="Times New Roman" w:hAnsi="Times New Roman" w:cs="Times New Roman"/>
          <w:color w:val="000000" w:themeColor="text1"/>
          <w:shd w:val="clear" w:color="auto" w:fill="FFFFFF"/>
        </w:rPr>
        <w:t xml:space="preserve"> Low-density lipoprotein, CRP: C-reactive protein.</w:t>
      </w:r>
    </w:p>
    <w:p w14:paraId="6EF5AB0E" w14:textId="77777777" w:rsidR="00B05231" w:rsidRPr="00590778" w:rsidRDefault="00B05231" w:rsidP="006B60E6">
      <w:pPr>
        <w:spacing w:beforeLines="50" w:before="163" w:afterLines="50" w:after="163" w:line="300" w:lineRule="auto"/>
        <w:jc w:val="both"/>
        <w:rPr>
          <w:rFonts w:ascii="Times New Roman" w:hAnsi="Times New Roman" w:cs="Times New Roman"/>
          <w:color w:val="000000" w:themeColor="text1"/>
          <w:shd w:val="clear" w:color="auto" w:fill="FFFFFF"/>
        </w:rPr>
      </w:pPr>
      <w:r w:rsidRPr="00590778">
        <w:rPr>
          <w:rFonts w:ascii="Times New Roman" w:hAnsi="Times New Roman" w:cs="Times New Roman"/>
          <w:color w:val="000000" w:themeColor="text1"/>
          <w:shd w:val="clear" w:color="auto" w:fill="FFFFFF"/>
        </w:rPr>
        <w:br w:type="page"/>
      </w:r>
    </w:p>
    <w:p w14:paraId="6A4BFDA5" w14:textId="7EFD2E92" w:rsidR="00834E22" w:rsidRPr="00590778" w:rsidRDefault="00834E22" w:rsidP="00834E22">
      <w:pPr>
        <w:spacing w:before="163" w:afterLines="50" w:after="163" w:line="300" w:lineRule="auto"/>
        <w:jc w:val="both"/>
        <w:rPr>
          <w:rFonts w:ascii="Times New Roman" w:hAnsi="Times New Roman" w:cs="Times New Roman"/>
          <w:color w:val="000000" w:themeColor="text1"/>
        </w:rPr>
      </w:pPr>
      <w:r w:rsidRPr="00590778">
        <w:rPr>
          <w:rFonts w:ascii="Times New Roman" w:hAnsi="Times New Roman" w:cs="Times New Roman"/>
          <w:b/>
          <w:bCs/>
          <w:color w:val="000000" w:themeColor="text1"/>
        </w:rPr>
        <w:lastRenderedPageBreak/>
        <w:t xml:space="preserve">Supplementary Table S1b. </w:t>
      </w:r>
      <w:r w:rsidR="004004D5" w:rsidRPr="00590778">
        <w:rPr>
          <w:rFonts w:ascii="Times New Roman" w:hAnsi="Times New Roman" w:cs="Times New Roman"/>
          <w:color w:val="000000" w:themeColor="text1"/>
        </w:rPr>
        <w:t>Ethnic background of the UK Biobank validation cohort (n=5,560)</w:t>
      </w:r>
    </w:p>
    <w:tbl>
      <w:tblPr>
        <w:tblW w:w="2980" w:type="pct"/>
        <w:tblCellSpacing w:w="15" w:type="dxa"/>
        <w:tblCellMar>
          <w:top w:w="15" w:type="dxa"/>
          <w:left w:w="15" w:type="dxa"/>
          <w:bottom w:w="15" w:type="dxa"/>
          <w:right w:w="15" w:type="dxa"/>
        </w:tblCellMar>
        <w:tblLook w:val="04A0" w:firstRow="1" w:lastRow="0" w:firstColumn="1" w:lastColumn="0" w:noHBand="0" w:noVBand="1"/>
      </w:tblPr>
      <w:tblGrid>
        <w:gridCol w:w="3684"/>
        <w:gridCol w:w="1136"/>
        <w:gridCol w:w="1418"/>
      </w:tblGrid>
      <w:tr w:rsidR="004568FA" w:rsidRPr="00590778" w14:paraId="3447D20B" w14:textId="77777777" w:rsidTr="00897CE7">
        <w:trPr>
          <w:trHeight w:hRule="exact" w:val="454"/>
          <w:tblHeader/>
          <w:tblCellSpacing w:w="15" w:type="dxa"/>
        </w:trPr>
        <w:tc>
          <w:tcPr>
            <w:tcW w:w="2917" w:type="pct"/>
            <w:tcBorders>
              <w:top w:val="single" w:sz="4" w:space="0" w:color="auto"/>
              <w:bottom w:val="single" w:sz="4" w:space="0" w:color="auto"/>
            </w:tcBorders>
            <w:vAlign w:val="center"/>
            <w:hideMark/>
          </w:tcPr>
          <w:p w14:paraId="7FF65AAD"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Category (UKB coding)</w:t>
            </w:r>
          </w:p>
        </w:tc>
        <w:tc>
          <w:tcPr>
            <w:tcW w:w="887" w:type="pct"/>
            <w:tcBorders>
              <w:top w:val="single" w:sz="4" w:space="0" w:color="auto"/>
              <w:bottom w:val="single" w:sz="4" w:space="0" w:color="auto"/>
            </w:tcBorders>
            <w:vAlign w:val="center"/>
            <w:hideMark/>
          </w:tcPr>
          <w:p w14:paraId="290194B6"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n</w:t>
            </w:r>
          </w:p>
        </w:tc>
        <w:tc>
          <w:tcPr>
            <w:tcW w:w="1100" w:type="pct"/>
            <w:tcBorders>
              <w:top w:val="single" w:sz="4" w:space="0" w:color="auto"/>
              <w:bottom w:val="single" w:sz="4" w:space="0" w:color="auto"/>
            </w:tcBorders>
            <w:vAlign w:val="center"/>
            <w:hideMark/>
          </w:tcPr>
          <w:p w14:paraId="3CB2D951"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w:t>
            </w:r>
          </w:p>
        </w:tc>
      </w:tr>
      <w:tr w:rsidR="004568FA" w:rsidRPr="00590778" w14:paraId="5748C53D" w14:textId="77777777" w:rsidTr="00897CE7">
        <w:trPr>
          <w:trHeight w:hRule="exact" w:val="454"/>
          <w:tblCellSpacing w:w="15" w:type="dxa"/>
        </w:trPr>
        <w:tc>
          <w:tcPr>
            <w:tcW w:w="2917" w:type="pct"/>
            <w:vAlign w:val="center"/>
            <w:hideMark/>
          </w:tcPr>
          <w:p w14:paraId="525D9A97"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White – British</w:t>
            </w:r>
          </w:p>
        </w:tc>
        <w:tc>
          <w:tcPr>
            <w:tcW w:w="887" w:type="pct"/>
            <w:vAlign w:val="center"/>
            <w:hideMark/>
          </w:tcPr>
          <w:p w14:paraId="6C008651"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5222</w:t>
            </w:r>
          </w:p>
        </w:tc>
        <w:tc>
          <w:tcPr>
            <w:tcW w:w="1100" w:type="pct"/>
            <w:vAlign w:val="center"/>
            <w:hideMark/>
          </w:tcPr>
          <w:p w14:paraId="6B2DCE1B"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93.9%</w:t>
            </w:r>
          </w:p>
        </w:tc>
      </w:tr>
      <w:tr w:rsidR="004568FA" w:rsidRPr="00590778" w14:paraId="0018C0F4" w14:textId="77777777" w:rsidTr="00897CE7">
        <w:trPr>
          <w:trHeight w:hRule="exact" w:val="454"/>
          <w:tblCellSpacing w:w="15" w:type="dxa"/>
        </w:trPr>
        <w:tc>
          <w:tcPr>
            <w:tcW w:w="2917" w:type="pct"/>
            <w:vAlign w:val="center"/>
            <w:hideMark/>
          </w:tcPr>
          <w:p w14:paraId="728B4215"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White – Irish</w:t>
            </w:r>
          </w:p>
        </w:tc>
        <w:tc>
          <w:tcPr>
            <w:tcW w:w="887" w:type="pct"/>
            <w:vAlign w:val="center"/>
            <w:hideMark/>
          </w:tcPr>
          <w:p w14:paraId="637319AF"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125</w:t>
            </w:r>
          </w:p>
        </w:tc>
        <w:tc>
          <w:tcPr>
            <w:tcW w:w="1100" w:type="pct"/>
            <w:vAlign w:val="center"/>
            <w:hideMark/>
          </w:tcPr>
          <w:p w14:paraId="51AD4ABB"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2.2%</w:t>
            </w:r>
          </w:p>
        </w:tc>
      </w:tr>
      <w:tr w:rsidR="004568FA" w:rsidRPr="00590778" w14:paraId="66D32970" w14:textId="77777777" w:rsidTr="00897CE7">
        <w:trPr>
          <w:trHeight w:hRule="exact" w:val="454"/>
          <w:tblCellSpacing w:w="15" w:type="dxa"/>
        </w:trPr>
        <w:tc>
          <w:tcPr>
            <w:tcW w:w="2917" w:type="pct"/>
            <w:vAlign w:val="center"/>
            <w:hideMark/>
          </w:tcPr>
          <w:p w14:paraId="64075289"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White – Other</w:t>
            </w:r>
          </w:p>
        </w:tc>
        <w:tc>
          <w:tcPr>
            <w:tcW w:w="887" w:type="pct"/>
            <w:vAlign w:val="center"/>
            <w:hideMark/>
          </w:tcPr>
          <w:p w14:paraId="07F64FE1"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123</w:t>
            </w:r>
          </w:p>
        </w:tc>
        <w:tc>
          <w:tcPr>
            <w:tcW w:w="1100" w:type="pct"/>
            <w:vAlign w:val="center"/>
            <w:hideMark/>
          </w:tcPr>
          <w:p w14:paraId="0F6312C1"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2.2%</w:t>
            </w:r>
          </w:p>
        </w:tc>
      </w:tr>
      <w:tr w:rsidR="004568FA" w:rsidRPr="00590778" w14:paraId="2C39D3FC" w14:textId="77777777" w:rsidTr="00897CE7">
        <w:trPr>
          <w:trHeight w:hRule="exact" w:val="454"/>
          <w:tblCellSpacing w:w="15" w:type="dxa"/>
        </w:trPr>
        <w:tc>
          <w:tcPr>
            <w:tcW w:w="2917" w:type="pct"/>
            <w:vAlign w:val="center"/>
            <w:hideMark/>
          </w:tcPr>
          <w:p w14:paraId="1570DBA7"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Mixed – White and Black African</w:t>
            </w:r>
          </w:p>
        </w:tc>
        <w:tc>
          <w:tcPr>
            <w:tcW w:w="887" w:type="pct"/>
            <w:vAlign w:val="center"/>
            <w:hideMark/>
          </w:tcPr>
          <w:p w14:paraId="25A76325"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4</w:t>
            </w:r>
          </w:p>
        </w:tc>
        <w:tc>
          <w:tcPr>
            <w:tcW w:w="1100" w:type="pct"/>
            <w:vAlign w:val="center"/>
            <w:hideMark/>
          </w:tcPr>
          <w:p w14:paraId="2193553D"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0.1%</w:t>
            </w:r>
          </w:p>
        </w:tc>
      </w:tr>
      <w:tr w:rsidR="004568FA" w:rsidRPr="00590778" w14:paraId="4DFAFCC2" w14:textId="77777777" w:rsidTr="00897CE7">
        <w:trPr>
          <w:trHeight w:hRule="exact" w:val="454"/>
          <w:tblCellSpacing w:w="15" w:type="dxa"/>
        </w:trPr>
        <w:tc>
          <w:tcPr>
            <w:tcW w:w="2917" w:type="pct"/>
            <w:vAlign w:val="center"/>
            <w:hideMark/>
          </w:tcPr>
          <w:p w14:paraId="5778D5F2"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Mixed – White and Asian</w:t>
            </w:r>
          </w:p>
        </w:tc>
        <w:tc>
          <w:tcPr>
            <w:tcW w:w="887" w:type="pct"/>
            <w:vAlign w:val="center"/>
            <w:hideMark/>
          </w:tcPr>
          <w:p w14:paraId="51B488CB"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5</w:t>
            </w:r>
          </w:p>
        </w:tc>
        <w:tc>
          <w:tcPr>
            <w:tcW w:w="1100" w:type="pct"/>
            <w:vAlign w:val="center"/>
            <w:hideMark/>
          </w:tcPr>
          <w:p w14:paraId="15F0B275"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0.1%</w:t>
            </w:r>
          </w:p>
        </w:tc>
      </w:tr>
      <w:tr w:rsidR="004568FA" w:rsidRPr="00590778" w14:paraId="5490A5EF" w14:textId="77777777" w:rsidTr="00897CE7">
        <w:trPr>
          <w:trHeight w:hRule="exact" w:val="454"/>
          <w:tblCellSpacing w:w="15" w:type="dxa"/>
        </w:trPr>
        <w:tc>
          <w:tcPr>
            <w:tcW w:w="2917" w:type="pct"/>
            <w:vAlign w:val="center"/>
            <w:hideMark/>
          </w:tcPr>
          <w:p w14:paraId="3C802CB6"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Mixed – Other</w:t>
            </w:r>
          </w:p>
        </w:tc>
        <w:tc>
          <w:tcPr>
            <w:tcW w:w="887" w:type="pct"/>
            <w:vAlign w:val="center"/>
            <w:hideMark/>
          </w:tcPr>
          <w:p w14:paraId="1C400F25"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5</w:t>
            </w:r>
          </w:p>
        </w:tc>
        <w:tc>
          <w:tcPr>
            <w:tcW w:w="1100" w:type="pct"/>
            <w:vAlign w:val="center"/>
            <w:hideMark/>
          </w:tcPr>
          <w:p w14:paraId="6091CDCA"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0.1%</w:t>
            </w:r>
          </w:p>
        </w:tc>
      </w:tr>
      <w:tr w:rsidR="004568FA" w:rsidRPr="00590778" w14:paraId="07DD719A" w14:textId="77777777" w:rsidTr="00897CE7">
        <w:trPr>
          <w:trHeight w:hRule="exact" w:val="454"/>
          <w:tblCellSpacing w:w="15" w:type="dxa"/>
        </w:trPr>
        <w:tc>
          <w:tcPr>
            <w:tcW w:w="2917" w:type="pct"/>
            <w:vAlign w:val="center"/>
            <w:hideMark/>
          </w:tcPr>
          <w:p w14:paraId="7F9AD89E"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Asian or Asian British – Indian</w:t>
            </w:r>
          </w:p>
        </w:tc>
        <w:tc>
          <w:tcPr>
            <w:tcW w:w="887" w:type="pct"/>
            <w:vAlign w:val="center"/>
            <w:hideMark/>
          </w:tcPr>
          <w:p w14:paraId="727511D1"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8</w:t>
            </w:r>
          </w:p>
        </w:tc>
        <w:tc>
          <w:tcPr>
            <w:tcW w:w="1100" w:type="pct"/>
            <w:vAlign w:val="center"/>
            <w:hideMark/>
          </w:tcPr>
          <w:p w14:paraId="103978D6"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0.1%</w:t>
            </w:r>
          </w:p>
        </w:tc>
      </w:tr>
      <w:tr w:rsidR="004568FA" w:rsidRPr="00590778" w14:paraId="36777867" w14:textId="77777777" w:rsidTr="00897CE7">
        <w:trPr>
          <w:trHeight w:hRule="exact" w:val="454"/>
          <w:tblCellSpacing w:w="15" w:type="dxa"/>
        </w:trPr>
        <w:tc>
          <w:tcPr>
            <w:tcW w:w="2917" w:type="pct"/>
            <w:vAlign w:val="center"/>
            <w:hideMark/>
          </w:tcPr>
          <w:p w14:paraId="400D981A"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Asian or Asian British – Pakistani</w:t>
            </w:r>
          </w:p>
        </w:tc>
        <w:tc>
          <w:tcPr>
            <w:tcW w:w="887" w:type="pct"/>
            <w:vAlign w:val="center"/>
            <w:hideMark/>
          </w:tcPr>
          <w:p w14:paraId="649104D8"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3</w:t>
            </w:r>
          </w:p>
        </w:tc>
        <w:tc>
          <w:tcPr>
            <w:tcW w:w="1100" w:type="pct"/>
            <w:vAlign w:val="center"/>
            <w:hideMark/>
          </w:tcPr>
          <w:p w14:paraId="2A73C5C9"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0.1%</w:t>
            </w:r>
          </w:p>
        </w:tc>
      </w:tr>
      <w:tr w:rsidR="004568FA" w:rsidRPr="00590778" w14:paraId="3DB9407A" w14:textId="77777777" w:rsidTr="00897CE7">
        <w:trPr>
          <w:trHeight w:hRule="exact" w:val="454"/>
          <w:tblCellSpacing w:w="15" w:type="dxa"/>
        </w:trPr>
        <w:tc>
          <w:tcPr>
            <w:tcW w:w="2917" w:type="pct"/>
            <w:vAlign w:val="center"/>
            <w:hideMark/>
          </w:tcPr>
          <w:p w14:paraId="2384D616"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Asian or Asian British – Other</w:t>
            </w:r>
          </w:p>
        </w:tc>
        <w:tc>
          <w:tcPr>
            <w:tcW w:w="887" w:type="pct"/>
            <w:vAlign w:val="center"/>
            <w:hideMark/>
          </w:tcPr>
          <w:p w14:paraId="3A15CDA7"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7</w:t>
            </w:r>
          </w:p>
        </w:tc>
        <w:tc>
          <w:tcPr>
            <w:tcW w:w="1100" w:type="pct"/>
            <w:vAlign w:val="center"/>
            <w:hideMark/>
          </w:tcPr>
          <w:p w14:paraId="717F5A54"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0.1%</w:t>
            </w:r>
          </w:p>
        </w:tc>
      </w:tr>
      <w:tr w:rsidR="004568FA" w:rsidRPr="00590778" w14:paraId="230B7F03" w14:textId="77777777" w:rsidTr="00897CE7">
        <w:trPr>
          <w:trHeight w:hRule="exact" w:val="454"/>
          <w:tblCellSpacing w:w="15" w:type="dxa"/>
        </w:trPr>
        <w:tc>
          <w:tcPr>
            <w:tcW w:w="2917" w:type="pct"/>
            <w:vAlign w:val="center"/>
            <w:hideMark/>
          </w:tcPr>
          <w:p w14:paraId="0E07DD3E"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Black or Black British – Caribbean</w:t>
            </w:r>
          </w:p>
        </w:tc>
        <w:tc>
          <w:tcPr>
            <w:tcW w:w="887" w:type="pct"/>
            <w:vAlign w:val="center"/>
            <w:hideMark/>
          </w:tcPr>
          <w:p w14:paraId="5EBF5AC7"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8</w:t>
            </w:r>
          </w:p>
        </w:tc>
        <w:tc>
          <w:tcPr>
            <w:tcW w:w="1100" w:type="pct"/>
            <w:vAlign w:val="center"/>
            <w:hideMark/>
          </w:tcPr>
          <w:p w14:paraId="6E0A7A87"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0.1%</w:t>
            </w:r>
          </w:p>
        </w:tc>
      </w:tr>
      <w:tr w:rsidR="004568FA" w:rsidRPr="00590778" w14:paraId="15552B7A" w14:textId="77777777" w:rsidTr="00897CE7">
        <w:trPr>
          <w:trHeight w:hRule="exact" w:val="454"/>
          <w:tblCellSpacing w:w="15" w:type="dxa"/>
        </w:trPr>
        <w:tc>
          <w:tcPr>
            <w:tcW w:w="2917" w:type="pct"/>
            <w:vAlign w:val="center"/>
            <w:hideMark/>
          </w:tcPr>
          <w:p w14:paraId="25EF3EFC"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Black or Black British – African</w:t>
            </w:r>
          </w:p>
        </w:tc>
        <w:tc>
          <w:tcPr>
            <w:tcW w:w="887" w:type="pct"/>
            <w:vAlign w:val="center"/>
            <w:hideMark/>
          </w:tcPr>
          <w:p w14:paraId="66501932"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8</w:t>
            </w:r>
          </w:p>
        </w:tc>
        <w:tc>
          <w:tcPr>
            <w:tcW w:w="1100" w:type="pct"/>
            <w:vAlign w:val="center"/>
            <w:hideMark/>
          </w:tcPr>
          <w:p w14:paraId="29E3703A"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0.1%</w:t>
            </w:r>
          </w:p>
        </w:tc>
      </w:tr>
      <w:tr w:rsidR="004568FA" w:rsidRPr="00590778" w14:paraId="13E12DE1" w14:textId="77777777" w:rsidTr="00897CE7">
        <w:trPr>
          <w:trHeight w:hRule="exact" w:val="454"/>
          <w:tblCellSpacing w:w="15" w:type="dxa"/>
        </w:trPr>
        <w:tc>
          <w:tcPr>
            <w:tcW w:w="2917" w:type="pct"/>
            <w:vAlign w:val="center"/>
            <w:hideMark/>
          </w:tcPr>
          <w:p w14:paraId="466B9D57"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Chinese</w:t>
            </w:r>
          </w:p>
        </w:tc>
        <w:tc>
          <w:tcPr>
            <w:tcW w:w="887" w:type="pct"/>
            <w:vAlign w:val="center"/>
            <w:hideMark/>
          </w:tcPr>
          <w:p w14:paraId="297FE075"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12</w:t>
            </w:r>
          </w:p>
        </w:tc>
        <w:tc>
          <w:tcPr>
            <w:tcW w:w="1100" w:type="pct"/>
            <w:vAlign w:val="center"/>
            <w:hideMark/>
          </w:tcPr>
          <w:p w14:paraId="29D2B7C8"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0.2%</w:t>
            </w:r>
          </w:p>
        </w:tc>
      </w:tr>
      <w:tr w:rsidR="004568FA" w:rsidRPr="00590778" w14:paraId="4C99AD0F" w14:textId="77777777" w:rsidTr="00897CE7">
        <w:trPr>
          <w:trHeight w:hRule="exact" w:val="454"/>
          <w:tblCellSpacing w:w="15" w:type="dxa"/>
        </w:trPr>
        <w:tc>
          <w:tcPr>
            <w:tcW w:w="2917" w:type="pct"/>
            <w:vAlign w:val="center"/>
            <w:hideMark/>
          </w:tcPr>
          <w:p w14:paraId="4C9F9ABA"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Any other ethnic group</w:t>
            </w:r>
          </w:p>
        </w:tc>
        <w:tc>
          <w:tcPr>
            <w:tcW w:w="887" w:type="pct"/>
            <w:vAlign w:val="center"/>
            <w:hideMark/>
          </w:tcPr>
          <w:p w14:paraId="21FFC184"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12</w:t>
            </w:r>
          </w:p>
        </w:tc>
        <w:tc>
          <w:tcPr>
            <w:tcW w:w="1100" w:type="pct"/>
            <w:vAlign w:val="center"/>
            <w:hideMark/>
          </w:tcPr>
          <w:p w14:paraId="6BAFA6AA"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0.2%</w:t>
            </w:r>
          </w:p>
        </w:tc>
      </w:tr>
      <w:tr w:rsidR="004568FA" w:rsidRPr="00590778" w14:paraId="0E5EE857" w14:textId="77777777" w:rsidTr="00897CE7">
        <w:trPr>
          <w:trHeight w:hRule="exact" w:val="454"/>
          <w:tblCellSpacing w:w="15" w:type="dxa"/>
        </w:trPr>
        <w:tc>
          <w:tcPr>
            <w:tcW w:w="2917" w:type="pct"/>
            <w:vAlign w:val="center"/>
            <w:hideMark/>
          </w:tcPr>
          <w:p w14:paraId="5CFEAC46"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White (major category)</w:t>
            </w:r>
          </w:p>
        </w:tc>
        <w:tc>
          <w:tcPr>
            <w:tcW w:w="887" w:type="pct"/>
            <w:vAlign w:val="center"/>
            <w:hideMark/>
          </w:tcPr>
          <w:p w14:paraId="3123DA9D"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7</w:t>
            </w:r>
          </w:p>
        </w:tc>
        <w:tc>
          <w:tcPr>
            <w:tcW w:w="1100" w:type="pct"/>
            <w:vAlign w:val="center"/>
            <w:hideMark/>
          </w:tcPr>
          <w:p w14:paraId="47868310"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0.1%</w:t>
            </w:r>
          </w:p>
        </w:tc>
      </w:tr>
      <w:tr w:rsidR="004568FA" w:rsidRPr="00590778" w14:paraId="5B92FF9B" w14:textId="77777777" w:rsidTr="00897CE7">
        <w:trPr>
          <w:trHeight w:hRule="exact" w:val="454"/>
          <w:tblCellSpacing w:w="15" w:type="dxa"/>
        </w:trPr>
        <w:tc>
          <w:tcPr>
            <w:tcW w:w="2917" w:type="pct"/>
            <w:tcBorders>
              <w:bottom w:val="single" w:sz="4" w:space="0" w:color="auto"/>
            </w:tcBorders>
            <w:vAlign w:val="center"/>
            <w:hideMark/>
          </w:tcPr>
          <w:p w14:paraId="3546FF31"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Prefer not to answer</w:t>
            </w:r>
          </w:p>
        </w:tc>
        <w:tc>
          <w:tcPr>
            <w:tcW w:w="887" w:type="pct"/>
            <w:tcBorders>
              <w:bottom w:val="single" w:sz="4" w:space="0" w:color="auto"/>
            </w:tcBorders>
            <w:vAlign w:val="center"/>
            <w:hideMark/>
          </w:tcPr>
          <w:p w14:paraId="7FB8D4B6"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11</w:t>
            </w:r>
          </w:p>
        </w:tc>
        <w:tc>
          <w:tcPr>
            <w:tcW w:w="1100" w:type="pct"/>
            <w:tcBorders>
              <w:bottom w:val="single" w:sz="4" w:space="0" w:color="auto"/>
            </w:tcBorders>
            <w:vAlign w:val="center"/>
            <w:hideMark/>
          </w:tcPr>
          <w:p w14:paraId="70C5491E" w14:textId="77777777" w:rsidR="00834E22" w:rsidRPr="00590778" w:rsidRDefault="00834E22" w:rsidP="00897CE7">
            <w:pPr>
              <w:jc w:val="both"/>
              <w:rPr>
                <w:rFonts w:ascii="Times New Roman" w:hAnsi="Times New Roman" w:cs="Times New Roman"/>
                <w:color w:val="000000" w:themeColor="text1"/>
              </w:rPr>
            </w:pPr>
            <w:r w:rsidRPr="00590778">
              <w:rPr>
                <w:rFonts w:ascii="Times New Roman" w:hAnsi="Times New Roman" w:cs="Times New Roman"/>
                <w:color w:val="000000" w:themeColor="text1"/>
              </w:rPr>
              <w:t>0.2%</w:t>
            </w:r>
          </w:p>
        </w:tc>
      </w:tr>
    </w:tbl>
    <w:p w14:paraId="7A97D6F6" w14:textId="77777777" w:rsidR="00834E22" w:rsidRPr="00590778" w:rsidRDefault="00834E22">
      <w:pPr>
        <w:spacing w:beforeLines="50" w:before="163" w:afterLines="50" w:after="163" w:line="360" w:lineRule="auto"/>
        <w:jc w:val="both"/>
        <w:rPr>
          <w:rFonts w:ascii="Times New Roman" w:hAnsi="Times New Roman" w:cs="Times New Roman"/>
          <w:b/>
          <w:bCs/>
          <w:color w:val="000000" w:themeColor="text1"/>
        </w:rPr>
      </w:pPr>
      <w:r w:rsidRPr="00590778">
        <w:rPr>
          <w:rFonts w:ascii="Times New Roman" w:hAnsi="Times New Roman" w:cs="Times New Roman"/>
          <w:b/>
          <w:bCs/>
          <w:color w:val="000000" w:themeColor="text1"/>
        </w:rPr>
        <w:br w:type="page"/>
      </w:r>
    </w:p>
    <w:p w14:paraId="2EB58D05" w14:textId="5661A22F" w:rsidR="00021BEC" w:rsidRPr="00590778" w:rsidRDefault="00021BEC" w:rsidP="006B60E6">
      <w:pPr>
        <w:spacing w:before="163" w:afterLines="50" w:after="163" w:line="300" w:lineRule="auto"/>
        <w:jc w:val="both"/>
        <w:rPr>
          <w:rFonts w:ascii="Times New Roman" w:hAnsi="Times New Roman" w:cs="Times New Roman"/>
          <w:color w:val="000000" w:themeColor="text1"/>
        </w:rPr>
      </w:pPr>
      <w:r w:rsidRPr="00590778">
        <w:rPr>
          <w:rFonts w:ascii="Times New Roman" w:hAnsi="Times New Roman" w:cs="Times New Roman"/>
          <w:b/>
          <w:bCs/>
          <w:color w:val="000000" w:themeColor="text1"/>
        </w:rPr>
        <w:lastRenderedPageBreak/>
        <w:t xml:space="preserve">Supplementary Table S2. </w:t>
      </w:r>
      <w:r w:rsidR="009035D4" w:rsidRPr="00590778">
        <w:rPr>
          <w:rFonts w:ascii="Times New Roman" w:hAnsi="Times New Roman" w:cs="Times New Roman"/>
          <w:color w:val="000000" w:themeColor="text1"/>
        </w:rPr>
        <w:t>Association between eGFR decline thresholds and all‐cause mortality in the UK Biobank validation cohort</w:t>
      </w:r>
    </w:p>
    <w:tbl>
      <w:tblPr>
        <w:tblW w:w="10360" w:type="dxa"/>
        <w:tblCellMar>
          <w:left w:w="0" w:type="dxa"/>
          <w:right w:w="0" w:type="dxa"/>
        </w:tblCellMar>
        <w:tblLook w:val="0600" w:firstRow="0" w:lastRow="0" w:firstColumn="0" w:lastColumn="0" w:noHBand="1" w:noVBand="1"/>
      </w:tblPr>
      <w:tblGrid>
        <w:gridCol w:w="2494"/>
        <w:gridCol w:w="2596"/>
        <w:gridCol w:w="864"/>
        <w:gridCol w:w="155"/>
        <w:gridCol w:w="3452"/>
        <w:gridCol w:w="799"/>
      </w:tblGrid>
      <w:tr w:rsidR="004568FA" w:rsidRPr="00590778" w14:paraId="6BB77682" w14:textId="77777777" w:rsidTr="0044475C">
        <w:trPr>
          <w:trHeight w:val="482"/>
        </w:trPr>
        <w:tc>
          <w:tcPr>
            <w:tcW w:w="2494" w:type="dxa"/>
            <w:tcBorders>
              <w:top w:val="single" w:sz="8" w:space="0" w:color="000000"/>
              <w:left w:val="nil"/>
              <w:bottom w:val="nil"/>
              <w:right w:val="nil"/>
            </w:tcBorders>
            <w:tcMar>
              <w:top w:w="15" w:type="dxa"/>
              <w:left w:w="15" w:type="dxa"/>
              <w:bottom w:w="0" w:type="dxa"/>
              <w:right w:w="15" w:type="dxa"/>
            </w:tcMar>
            <w:vAlign w:val="center"/>
            <w:hideMark/>
          </w:tcPr>
          <w:p w14:paraId="05EFC120"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p>
        </w:tc>
        <w:tc>
          <w:tcPr>
            <w:tcW w:w="2596"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59D0A6F7"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b/>
                <w:bCs/>
                <w:color w:val="000000" w:themeColor="text1"/>
                <w:kern w:val="2"/>
                <w:sz w:val="22"/>
              </w:rPr>
              <w:t>Model 1</w:t>
            </w:r>
          </w:p>
        </w:tc>
        <w:tc>
          <w:tcPr>
            <w:tcW w:w="864"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34A2305E"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p>
        </w:tc>
        <w:tc>
          <w:tcPr>
            <w:tcW w:w="155" w:type="dxa"/>
            <w:tcBorders>
              <w:top w:val="single" w:sz="8" w:space="0" w:color="000000"/>
              <w:left w:val="nil"/>
              <w:bottom w:val="nil"/>
              <w:right w:val="nil"/>
            </w:tcBorders>
            <w:tcMar>
              <w:top w:w="15" w:type="dxa"/>
              <w:left w:w="15" w:type="dxa"/>
              <w:bottom w:w="0" w:type="dxa"/>
              <w:right w:w="15" w:type="dxa"/>
            </w:tcMar>
            <w:vAlign w:val="center"/>
            <w:hideMark/>
          </w:tcPr>
          <w:p w14:paraId="4D26496F"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p>
        </w:tc>
        <w:tc>
          <w:tcPr>
            <w:tcW w:w="3452"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50DC0582"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b/>
                <w:bCs/>
                <w:color w:val="000000" w:themeColor="text1"/>
                <w:kern w:val="2"/>
                <w:sz w:val="22"/>
              </w:rPr>
              <w:t>Model 2</w:t>
            </w:r>
          </w:p>
        </w:tc>
        <w:tc>
          <w:tcPr>
            <w:tcW w:w="799"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23CC326E"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p>
        </w:tc>
      </w:tr>
      <w:tr w:rsidR="004568FA" w:rsidRPr="00590778" w14:paraId="36F70121" w14:textId="77777777" w:rsidTr="0044475C">
        <w:trPr>
          <w:trHeight w:val="482"/>
        </w:trPr>
        <w:tc>
          <w:tcPr>
            <w:tcW w:w="2494" w:type="dxa"/>
            <w:tcBorders>
              <w:top w:val="nil"/>
              <w:left w:val="nil"/>
              <w:bottom w:val="single" w:sz="8" w:space="0" w:color="000000"/>
              <w:right w:val="nil"/>
            </w:tcBorders>
            <w:tcMar>
              <w:top w:w="15" w:type="dxa"/>
              <w:left w:w="15" w:type="dxa"/>
              <w:bottom w:w="0" w:type="dxa"/>
              <w:right w:w="15" w:type="dxa"/>
            </w:tcMar>
            <w:vAlign w:val="center"/>
            <w:hideMark/>
          </w:tcPr>
          <w:p w14:paraId="784A3D2E"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p>
        </w:tc>
        <w:tc>
          <w:tcPr>
            <w:tcW w:w="2596"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5319F363"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b/>
                <w:bCs/>
                <w:color w:val="000000" w:themeColor="text1"/>
                <w:kern w:val="2"/>
                <w:sz w:val="22"/>
              </w:rPr>
              <w:t>HR (5% CI – 95% CI)</w:t>
            </w:r>
          </w:p>
        </w:tc>
        <w:tc>
          <w:tcPr>
            <w:tcW w:w="864"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259B098A"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b/>
                <w:bCs/>
                <w:i/>
                <w:iCs/>
                <w:color w:val="000000" w:themeColor="text1"/>
                <w:kern w:val="2"/>
                <w:sz w:val="22"/>
              </w:rPr>
              <w:t>P</w:t>
            </w:r>
          </w:p>
        </w:tc>
        <w:tc>
          <w:tcPr>
            <w:tcW w:w="155" w:type="dxa"/>
            <w:tcBorders>
              <w:top w:val="nil"/>
              <w:left w:val="nil"/>
              <w:bottom w:val="single" w:sz="8" w:space="0" w:color="000000"/>
              <w:right w:val="nil"/>
            </w:tcBorders>
            <w:tcMar>
              <w:top w:w="15" w:type="dxa"/>
              <w:left w:w="15" w:type="dxa"/>
              <w:bottom w:w="0" w:type="dxa"/>
              <w:right w:w="15" w:type="dxa"/>
            </w:tcMar>
            <w:vAlign w:val="center"/>
            <w:hideMark/>
          </w:tcPr>
          <w:p w14:paraId="47C9AE2D"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p>
        </w:tc>
        <w:tc>
          <w:tcPr>
            <w:tcW w:w="3452"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1F2BD349"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b/>
                <w:bCs/>
                <w:color w:val="000000" w:themeColor="text1"/>
                <w:kern w:val="2"/>
                <w:sz w:val="22"/>
              </w:rPr>
              <w:t>Adjusted HR (5% CI – 95% CI)</w:t>
            </w:r>
          </w:p>
        </w:tc>
        <w:tc>
          <w:tcPr>
            <w:tcW w:w="799"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6F555050"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b/>
                <w:bCs/>
                <w:i/>
                <w:iCs/>
                <w:color w:val="000000" w:themeColor="text1"/>
                <w:kern w:val="2"/>
                <w:sz w:val="22"/>
              </w:rPr>
              <w:t>P</w:t>
            </w:r>
          </w:p>
        </w:tc>
      </w:tr>
      <w:tr w:rsidR="004568FA" w:rsidRPr="00590778" w14:paraId="1A759299" w14:textId="77777777" w:rsidTr="0044475C">
        <w:trPr>
          <w:trHeight w:val="482"/>
        </w:trPr>
        <w:tc>
          <w:tcPr>
            <w:tcW w:w="2494" w:type="dxa"/>
            <w:tcBorders>
              <w:top w:val="single" w:sz="8" w:space="0" w:color="000000"/>
              <w:left w:val="nil"/>
              <w:bottom w:val="nil"/>
              <w:right w:val="nil"/>
            </w:tcBorders>
            <w:tcMar>
              <w:top w:w="15" w:type="dxa"/>
              <w:left w:w="15" w:type="dxa"/>
              <w:bottom w:w="0" w:type="dxa"/>
              <w:right w:w="15" w:type="dxa"/>
            </w:tcMar>
            <w:vAlign w:val="center"/>
            <w:hideMark/>
          </w:tcPr>
          <w:p w14:paraId="3CF31067" w14:textId="0971C4C6" w:rsidR="00021BEC" w:rsidRPr="00590778" w:rsidRDefault="006D0A63"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color w:val="000000" w:themeColor="text1"/>
                <w:kern w:val="2"/>
                <w:sz w:val="22"/>
              </w:rPr>
              <w:t xml:space="preserve">≥ </w:t>
            </w:r>
            <w:r w:rsidR="00021BEC" w:rsidRPr="00590778">
              <w:rPr>
                <w:rFonts w:ascii="Times New Roman" w:hAnsi="Times New Roman" w:cs="Times New Roman"/>
                <w:color w:val="000000" w:themeColor="text1"/>
                <w:kern w:val="2"/>
                <w:sz w:val="22"/>
              </w:rPr>
              <w:t xml:space="preserve">20% decline in </w:t>
            </w:r>
            <w:r w:rsidR="009A5E08" w:rsidRPr="00590778">
              <w:rPr>
                <w:rFonts w:ascii="Times New Roman" w:hAnsi="Times New Roman" w:cs="Times New Roman"/>
                <w:color w:val="000000" w:themeColor="text1"/>
                <w:kern w:val="2"/>
                <w:sz w:val="22"/>
              </w:rPr>
              <w:t>eGFR</w:t>
            </w:r>
          </w:p>
        </w:tc>
        <w:tc>
          <w:tcPr>
            <w:tcW w:w="2596" w:type="dxa"/>
            <w:tcBorders>
              <w:top w:val="single" w:sz="8" w:space="0" w:color="000000"/>
              <w:left w:val="nil"/>
              <w:bottom w:val="nil"/>
              <w:right w:val="nil"/>
            </w:tcBorders>
            <w:tcMar>
              <w:top w:w="15" w:type="dxa"/>
              <w:left w:w="15" w:type="dxa"/>
              <w:bottom w:w="0" w:type="dxa"/>
              <w:right w:w="15" w:type="dxa"/>
            </w:tcMar>
            <w:vAlign w:val="center"/>
            <w:hideMark/>
          </w:tcPr>
          <w:p w14:paraId="53C908D9"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color w:val="000000" w:themeColor="text1"/>
                <w:kern w:val="2"/>
                <w:sz w:val="22"/>
              </w:rPr>
              <w:t>2.03 (1.00 – 4.13)</w:t>
            </w:r>
          </w:p>
        </w:tc>
        <w:tc>
          <w:tcPr>
            <w:tcW w:w="864" w:type="dxa"/>
            <w:tcBorders>
              <w:top w:val="single" w:sz="8" w:space="0" w:color="000000"/>
              <w:left w:val="nil"/>
              <w:bottom w:val="nil"/>
              <w:right w:val="nil"/>
            </w:tcBorders>
            <w:tcMar>
              <w:top w:w="15" w:type="dxa"/>
              <w:left w:w="15" w:type="dxa"/>
              <w:bottom w:w="0" w:type="dxa"/>
              <w:right w:w="15" w:type="dxa"/>
            </w:tcMar>
            <w:vAlign w:val="center"/>
            <w:hideMark/>
          </w:tcPr>
          <w:p w14:paraId="626546F8"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color w:val="000000" w:themeColor="text1"/>
                <w:kern w:val="2"/>
                <w:sz w:val="22"/>
              </w:rPr>
              <w:t>0.051</w:t>
            </w:r>
          </w:p>
        </w:tc>
        <w:tc>
          <w:tcPr>
            <w:tcW w:w="155" w:type="dxa"/>
            <w:tcBorders>
              <w:top w:val="single" w:sz="8" w:space="0" w:color="000000"/>
              <w:left w:val="nil"/>
              <w:bottom w:val="nil"/>
              <w:right w:val="nil"/>
            </w:tcBorders>
            <w:tcMar>
              <w:top w:w="15" w:type="dxa"/>
              <w:left w:w="15" w:type="dxa"/>
              <w:bottom w:w="0" w:type="dxa"/>
              <w:right w:w="15" w:type="dxa"/>
            </w:tcMar>
            <w:vAlign w:val="center"/>
            <w:hideMark/>
          </w:tcPr>
          <w:p w14:paraId="626085A3"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p>
        </w:tc>
        <w:tc>
          <w:tcPr>
            <w:tcW w:w="3452" w:type="dxa"/>
            <w:tcBorders>
              <w:top w:val="single" w:sz="8" w:space="0" w:color="000000"/>
              <w:left w:val="nil"/>
              <w:bottom w:val="nil"/>
              <w:right w:val="nil"/>
            </w:tcBorders>
            <w:tcMar>
              <w:top w:w="15" w:type="dxa"/>
              <w:left w:w="15" w:type="dxa"/>
              <w:bottom w:w="0" w:type="dxa"/>
              <w:right w:w="15" w:type="dxa"/>
            </w:tcMar>
            <w:vAlign w:val="center"/>
            <w:hideMark/>
          </w:tcPr>
          <w:p w14:paraId="2BF3AD7C" w14:textId="7F22DB78" w:rsidR="00021BEC" w:rsidRPr="00590778" w:rsidRDefault="009C7716"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color w:val="000000" w:themeColor="text1"/>
                <w:kern w:val="2"/>
                <w:sz w:val="22"/>
              </w:rPr>
              <w:t>1.91 (0.93 – 3.91)</w:t>
            </w:r>
          </w:p>
        </w:tc>
        <w:tc>
          <w:tcPr>
            <w:tcW w:w="799" w:type="dxa"/>
            <w:tcBorders>
              <w:top w:val="single" w:sz="8" w:space="0" w:color="000000"/>
              <w:left w:val="nil"/>
              <w:bottom w:val="nil"/>
              <w:right w:val="nil"/>
            </w:tcBorders>
            <w:tcMar>
              <w:top w:w="15" w:type="dxa"/>
              <w:left w:w="15" w:type="dxa"/>
              <w:bottom w:w="0" w:type="dxa"/>
              <w:right w:w="15" w:type="dxa"/>
            </w:tcMar>
            <w:vAlign w:val="center"/>
            <w:hideMark/>
          </w:tcPr>
          <w:p w14:paraId="3E533DC5" w14:textId="67FC5E28" w:rsidR="00021BEC" w:rsidRPr="00590778" w:rsidRDefault="009C7716"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color w:val="000000" w:themeColor="text1"/>
                <w:kern w:val="2"/>
                <w:sz w:val="22"/>
              </w:rPr>
              <w:t>0.076</w:t>
            </w:r>
          </w:p>
        </w:tc>
      </w:tr>
      <w:tr w:rsidR="004568FA" w:rsidRPr="00590778" w14:paraId="0700537C" w14:textId="77777777" w:rsidTr="0044475C">
        <w:trPr>
          <w:trHeight w:val="578"/>
        </w:trPr>
        <w:tc>
          <w:tcPr>
            <w:tcW w:w="2494" w:type="dxa"/>
            <w:tcBorders>
              <w:top w:val="nil"/>
              <w:left w:val="nil"/>
              <w:bottom w:val="nil"/>
              <w:right w:val="nil"/>
            </w:tcBorders>
            <w:tcMar>
              <w:top w:w="15" w:type="dxa"/>
              <w:left w:w="15" w:type="dxa"/>
              <w:bottom w:w="0" w:type="dxa"/>
              <w:right w:w="15" w:type="dxa"/>
            </w:tcMar>
            <w:vAlign w:val="center"/>
            <w:hideMark/>
          </w:tcPr>
          <w:p w14:paraId="2B85BDDE" w14:textId="66E9D6BA" w:rsidR="00021BEC" w:rsidRPr="00590778" w:rsidRDefault="006D0A63"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color w:val="000000" w:themeColor="text1"/>
                <w:kern w:val="2"/>
                <w:sz w:val="22"/>
              </w:rPr>
              <w:t xml:space="preserve">≥ </w:t>
            </w:r>
            <w:r w:rsidR="00021BEC" w:rsidRPr="00590778">
              <w:rPr>
                <w:rFonts w:ascii="Times New Roman" w:hAnsi="Times New Roman" w:cs="Times New Roman"/>
                <w:color w:val="000000" w:themeColor="text1"/>
                <w:kern w:val="2"/>
                <w:sz w:val="22"/>
              </w:rPr>
              <w:t xml:space="preserve">30% decline in </w:t>
            </w:r>
            <w:r w:rsidR="009A5E08" w:rsidRPr="00590778">
              <w:rPr>
                <w:rFonts w:ascii="Times New Roman" w:hAnsi="Times New Roman" w:cs="Times New Roman"/>
                <w:color w:val="000000" w:themeColor="text1"/>
                <w:kern w:val="2"/>
                <w:sz w:val="22"/>
              </w:rPr>
              <w:t>eGFR</w:t>
            </w:r>
          </w:p>
        </w:tc>
        <w:tc>
          <w:tcPr>
            <w:tcW w:w="2596" w:type="dxa"/>
            <w:tcBorders>
              <w:top w:val="nil"/>
              <w:left w:val="nil"/>
              <w:bottom w:val="nil"/>
              <w:right w:val="nil"/>
            </w:tcBorders>
            <w:tcMar>
              <w:top w:w="15" w:type="dxa"/>
              <w:left w:w="15" w:type="dxa"/>
              <w:bottom w:w="0" w:type="dxa"/>
              <w:right w:w="15" w:type="dxa"/>
            </w:tcMar>
            <w:vAlign w:val="center"/>
            <w:hideMark/>
          </w:tcPr>
          <w:p w14:paraId="44D1AFA9"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color w:val="000000" w:themeColor="text1"/>
                <w:kern w:val="2"/>
                <w:sz w:val="22"/>
              </w:rPr>
              <w:t>6.16 (2.28 – 16.62)</w:t>
            </w:r>
          </w:p>
        </w:tc>
        <w:tc>
          <w:tcPr>
            <w:tcW w:w="864" w:type="dxa"/>
            <w:tcBorders>
              <w:top w:val="nil"/>
              <w:left w:val="nil"/>
              <w:bottom w:val="nil"/>
              <w:right w:val="nil"/>
            </w:tcBorders>
            <w:tcMar>
              <w:top w:w="15" w:type="dxa"/>
              <w:left w:w="15" w:type="dxa"/>
              <w:bottom w:w="0" w:type="dxa"/>
              <w:right w:w="15" w:type="dxa"/>
            </w:tcMar>
            <w:vAlign w:val="center"/>
            <w:hideMark/>
          </w:tcPr>
          <w:p w14:paraId="3B4CC135"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color w:val="000000" w:themeColor="text1"/>
                <w:kern w:val="2"/>
                <w:sz w:val="22"/>
              </w:rPr>
              <w:t>&lt; 0.001</w:t>
            </w:r>
          </w:p>
        </w:tc>
        <w:tc>
          <w:tcPr>
            <w:tcW w:w="155" w:type="dxa"/>
            <w:tcBorders>
              <w:top w:val="nil"/>
              <w:left w:val="nil"/>
              <w:bottom w:val="nil"/>
              <w:right w:val="nil"/>
            </w:tcBorders>
            <w:tcMar>
              <w:top w:w="15" w:type="dxa"/>
              <w:left w:w="15" w:type="dxa"/>
              <w:bottom w:w="0" w:type="dxa"/>
              <w:right w:w="15" w:type="dxa"/>
            </w:tcMar>
            <w:vAlign w:val="center"/>
            <w:hideMark/>
          </w:tcPr>
          <w:p w14:paraId="0A9CEDCB"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p>
        </w:tc>
        <w:tc>
          <w:tcPr>
            <w:tcW w:w="3452" w:type="dxa"/>
            <w:tcBorders>
              <w:top w:val="nil"/>
              <w:left w:val="nil"/>
              <w:bottom w:val="nil"/>
              <w:right w:val="nil"/>
            </w:tcBorders>
            <w:tcMar>
              <w:top w:w="15" w:type="dxa"/>
              <w:left w:w="15" w:type="dxa"/>
              <w:bottom w:w="0" w:type="dxa"/>
              <w:right w:w="15" w:type="dxa"/>
            </w:tcMar>
            <w:vAlign w:val="center"/>
            <w:hideMark/>
          </w:tcPr>
          <w:p w14:paraId="415B2890"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color w:val="000000" w:themeColor="text1"/>
                <w:kern w:val="2"/>
                <w:sz w:val="22"/>
              </w:rPr>
              <w:t>6.37 (2.33 – 17.38)</w:t>
            </w:r>
          </w:p>
        </w:tc>
        <w:tc>
          <w:tcPr>
            <w:tcW w:w="799" w:type="dxa"/>
            <w:tcBorders>
              <w:top w:val="nil"/>
              <w:left w:val="nil"/>
              <w:bottom w:val="nil"/>
              <w:right w:val="nil"/>
            </w:tcBorders>
            <w:tcMar>
              <w:top w:w="15" w:type="dxa"/>
              <w:left w:w="15" w:type="dxa"/>
              <w:bottom w:w="0" w:type="dxa"/>
              <w:right w:w="15" w:type="dxa"/>
            </w:tcMar>
            <w:vAlign w:val="center"/>
            <w:hideMark/>
          </w:tcPr>
          <w:p w14:paraId="612FEF68"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color w:val="000000" w:themeColor="text1"/>
                <w:kern w:val="2"/>
                <w:sz w:val="22"/>
              </w:rPr>
              <w:t>&lt; 0.001</w:t>
            </w:r>
          </w:p>
        </w:tc>
      </w:tr>
      <w:tr w:rsidR="004568FA" w:rsidRPr="00590778" w14:paraId="40CBB126" w14:textId="77777777" w:rsidTr="0044475C">
        <w:trPr>
          <w:trHeight w:val="482"/>
        </w:trPr>
        <w:tc>
          <w:tcPr>
            <w:tcW w:w="2494" w:type="dxa"/>
            <w:tcBorders>
              <w:top w:val="nil"/>
              <w:left w:val="nil"/>
              <w:bottom w:val="nil"/>
              <w:right w:val="nil"/>
            </w:tcBorders>
            <w:tcMar>
              <w:top w:w="15" w:type="dxa"/>
              <w:left w:w="15" w:type="dxa"/>
              <w:bottom w:w="0" w:type="dxa"/>
              <w:right w:w="15" w:type="dxa"/>
            </w:tcMar>
            <w:vAlign w:val="center"/>
            <w:hideMark/>
          </w:tcPr>
          <w:p w14:paraId="328F6256" w14:textId="23EB4FA8" w:rsidR="00021BEC" w:rsidRPr="00590778" w:rsidRDefault="006D0A63"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color w:val="000000" w:themeColor="text1"/>
                <w:kern w:val="2"/>
                <w:sz w:val="22"/>
              </w:rPr>
              <w:t xml:space="preserve">≥ </w:t>
            </w:r>
            <w:r w:rsidR="00021BEC" w:rsidRPr="00590778">
              <w:rPr>
                <w:rFonts w:ascii="Times New Roman" w:hAnsi="Times New Roman" w:cs="Times New Roman"/>
                <w:color w:val="000000" w:themeColor="text1"/>
                <w:kern w:val="2"/>
                <w:sz w:val="22"/>
              </w:rPr>
              <w:t xml:space="preserve">35% decline in </w:t>
            </w:r>
            <w:r w:rsidR="009A5E08" w:rsidRPr="00590778">
              <w:rPr>
                <w:rFonts w:ascii="Times New Roman" w:hAnsi="Times New Roman" w:cs="Times New Roman"/>
                <w:color w:val="000000" w:themeColor="text1"/>
                <w:kern w:val="2"/>
                <w:sz w:val="22"/>
              </w:rPr>
              <w:t>eGFR</w:t>
            </w:r>
          </w:p>
        </w:tc>
        <w:tc>
          <w:tcPr>
            <w:tcW w:w="2596" w:type="dxa"/>
            <w:tcBorders>
              <w:top w:val="nil"/>
              <w:left w:val="nil"/>
              <w:bottom w:val="nil"/>
              <w:right w:val="nil"/>
            </w:tcBorders>
            <w:tcMar>
              <w:top w:w="15" w:type="dxa"/>
              <w:left w:w="15" w:type="dxa"/>
              <w:bottom w:w="0" w:type="dxa"/>
              <w:right w:w="15" w:type="dxa"/>
            </w:tcMar>
            <w:vAlign w:val="center"/>
            <w:hideMark/>
          </w:tcPr>
          <w:p w14:paraId="41BC501D"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color w:val="000000" w:themeColor="text1"/>
                <w:kern w:val="2"/>
                <w:sz w:val="22"/>
              </w:rPr>
              <w:t>5.5 (1.36 – 22.16)</w:t>
            </w:r>
          </w:p>
        </w:tc>
        <w:tc>
          <w:tcPr>
            <w:tcW w:w="864" w:type="dxa"/>
            <w:tcBorders>
              <w:top w:val="nil"/>
              <w:left w:val="nil"/>
              <w:bottom w:val="nil"/>
              <w:right w:val="nil"/>
            </w:tcBorders>
            <w:tcMar>
              <w:top w:w="15" w:type="dxa"/>
              <w:left w:w="15" w:type="dxa"/>
              <w:bottom w:w="0" w:type="dxa"/>
              <w:right w:w="15" w:type="dxa"/>
            </w:tcMar>
            <w:vAlign w:val="center"/>
            <w:hideMark/>
          </w:tcPr>
          <w:p w14:paraId="705A3E53"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color w:val="000000" w:themeColor="text1"/>
                <w:kern w:val="2"/>
                <w:sz w:val="22"/>
              </w:rPr>
              <w:t>0.017</w:t>
            </w:r>
          </w:p>
        </w:tc>
        <w:tc>
          <w:tcPr>
            <w:tcW w:w="155" w:type="dxa"/>
            <w:tcBorders>
              <w:top w:val="nil"/>
              <w:left w:val="nil"/>
              <w:bottom w:val="nil"/>
              <w:right w:val="nil"/>
            </w:tcBorders>
            <w:tcMar>
              <w:top w:w="15" w:type="dxa"/>
              <w:left w:w="15" w:type="dxa"/>
              <w:bottom w:w="0" w:type="dxa"/>
              <w:right w:w="15" w:type="dxa"/>
            </w:tcMar>
            <w:vAlign w:val="center"/>
            <w:hideMark/>
          </w:tcPr>
          <w:p w14:paraId="5115F588"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p>
        </w:tc>
        <w:tc>
          <w:tcPr>
            <w:tcW w:w="3452" w:type="dxa"/>
            <w:tcBorders>
              <w:top w:val="nil"/>
              <w:left w:val="nil"/>
              <w:bottom w:val="nil"/>
              <w:right w:val="nil"/>
            </w:tcBorders>
            <w:tcMar>
              <w:top w:w="15" w:type="dxa"/>
              <w:left w:w="15" w:type="dxa"/>
              <w:bottom w:w="0" w:type="dxa"/>
              <w:right w:w="15" w:type="dxa"/>
            </w:tcMar>
            <w:vAlign w:val="center"/>
            <w:hideMark/>
          </w:tcPr>
          <w:p w14:paraId="52793427"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color w:val="000000" w:themeColor="text1"/>
                <w:kern w:val="2"/>
                <w:sz w:val="22"/>
              </w:rPr>
              <w:t>4.93 (1.20 – 20.21)</w:t>
            </w:r>
          </w:p>
        </w:tc>
        <w:tc>
          <w:tcPr>
            <w:tcW w:w="799" w:type="dxa"/>
            <w:tcBorders>
              <w:top w:val="nil"/>
              <w:left w:val="nil"/>
              <w:bottom w:val="nil"/>
              <w:right w:val="nil"/>
            </w:tcBorders>
            <w:tcMar>
              <w:top w:w="15" w:type="dxa"/>
              <w:left w:w="15" w:type="dxa"/>
              <w:bottom w:w="0" w:type="dxa"/>
              <w:right w:w="15" w:type="dxa"/>
            </w:tcMar>
            <w:vAlign w:val="center"/>
            <w:hideMark/>
          </w:tcPr>
          <w:p w14:paraId="0ED29C87"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color w:val="000000" w:themeColor="text1"/>
                <w:kern w:val="2"/>
                <w:sz w:val="22"/>
              </w:rPr>
              <w:t>0.026</w:t>
            </w:r>
          </w:p>
        </w:tc>
      </w:tr>
      <w:tr w:rsidR="004568FA" w:rsidRPr="00590778" w14:paraId="01602C33" w14:textId="77777777" w:rsidTr="0044475C">
        <w:trPr>
          <w:trHeight w:val="482"/>
        </w:trPr>
        <w:tc>
          <w:tcPr>
            <w:tcW w:w="2494" w:type="dxa"/>
            <w:tcBorders>
              <w:top w:val="nil"/>
              <w:left w:val="nil"/>
              <w:bottom w:val="single" w:sz="8" w:space="0" w:color="000000"/>
              <w:right w:val="nil"/>
            </w:tcBorders>
            <w:tcMar>
              <w:top w:w="15" w:type="dxa"/>
              <w:left w:w="15" w:type="dxa"/>
              <w:bottom w:w="0" w:type="dxa"/>
              <w:right w:w="15" w:type="dxa"/>
            </w:tcMar>
            <w:vAlign w:val="center"/>
            <w:hideMark/>
          </w:tcPr>
          <w:p w14:paraId="6157CAEE" w14:textId="78221245" w:rsidR="00021BEC" w:rsidRPr="00590778" w:rsidRDefault="006D0A63"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color w:val="000000" w:themeColor="text1"/>
                <w:kern w:val="2"/>
                <w:sz w:val="22"/>
              </w:rPr>
              <w:t xml:space="preserve">≥ </w:t>
            </w:r>
            <w:r w:rsidR="00021BEC" w:rsidRPr="00590778">
              <w:rPr>
                <w:rFonts w:ascii="Times New Roman" w:hAnsi="Times New Roman" w:cs="Times New Roman"/>
                <w:color w:val="000000" w:themeColor="text1"/>
                <w:kern w:val="2"/>
                <w:sz w:val="22"/>
              </w:rPr>
              <w:t xml:space="preserve">50% decline in </w:t>
            </w:r>
            <w:r w:rsidR="009A5E08" w:rsidRPr="00590778">
              <w:rPr>
                <w:rFonts w:ascii="Times New Roman" w:hAnsi="Times New Roman" w:cs="Times New Roman"/>
                <w:color w:val="000000" w:themeColor="text1"/>
                <w:kern w:val="2"/>
                <w:sz w:val="22"/>
              </w:rPr>
              <w:t>eGFR</w:t>
            </w:r>
          </w:p>
        </w:tc>
        <w:tc>
          <w:tcPr>
            <w:tcW w:w="2596" w:type="dxa"/>
            <w:tcBorders>
              <w:top w:val="nil"/>
              <w:left w:val="nil"/>
              <w:bottom w:val="single" w:sz="8" w:space="0" w:color="000000"/>
              <w:right w:val="nil"/>
            </w:tcBorders>
            <w:tcMar>
              <w:top w:w="15" w:type="dxa"/>
              <w:left w:w="15" w:type="dxa"/>
              <w:bottom w:w="0" w:type="dxa"/>
              <w:right w:w="15" w:type="dxa"/>
            </w:tcMar>
            <w:vAlign w:val="center"/>
            <w:hideMark/>
          </w:tcPr>
          <w:p w14:paraId="0010FB49"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color w:val="000000" w:themeColor="text1"/>
                <w:kern w:val="2"/>
                <w:sz w:val="22"/>
              </w:rPr>
              <w:t>11.57 (1.62 – 82.73)</w:t>
            </w:r>
          </w:p>
        </w:tc>
        <w:tc>
          <w:tcPr>
            <w:tcW w:w="864" w:type="dxa"/>
            <w:tcBorders>
              <w:top w:val="nil"/>
              <w:left w:val="nil"/>
              <w:bottom w:val="single" w:sz="8" w:space="0" w:color="000000"/>
              <w:right w:val="nil"/>
            </w:tcBorders>
            <w:tcMar>
              <w:top w:w="15" w:type="dxa"/>
              <w:left w:w="15" w:type="dxa"/>
              <w:bottom w:w="0" w:type="dxa"/>
              <w:right w:w="15" w:type="dxa"/>
            </w:tcMar>
            <w:vAlign w:val="center"/>
            <w:hideMark/>
          </w:tcPr>
          <w:p w14:paraId="2684C56F"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color w:val="000000" w:themeColor="text1"/>
                <w:kern w:val="2"/>
                <w:sz w:val="22"/>
              </w:rPr>
              <w:t>0.015</w:t>
            </w:r>
          </w:p>
        </w:tc>
        <w:tc>
          <w:tcPr>
            <w:tcW w:w="155" w:type="dxa"/>
            <w:tcBorders>
              <w:top w:val="nil"/>
              <w:left w:val="nil"/>
              <w:bottom w:val="single" w:sz="8" w:space="0" w:color="000000"/>
              <w:right w:val="nil"/>
            </w:tcBorders>
            <w:tcMar>
              <w:top w:w="15" w:type="dxa"/>
              <w:left w:w="15" w:type="dxa"/>
              <w:bottom w:w="0" w:type="dxa"/>
              <w:right w:w="15" w:type="dxa"/>
            </w:tcMar>
            <w:vAlign w:val="center"/>
            <w:hideMark/>
          </w:tcPr>
          <w:p w14:paraId="4E9709B8"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p>
        </w:tc>
        <w:tc>
          <w:tcPr>
            <w:tcW w:w="3452" w:type="dxa"/>
            <w:tcBorders>
              <w:top w:val="nil"/>
              <w:left w:val="nil"/>
              <w:bottom w:val="single" w:sz="8" w:space="0" w:color="000000"/>
              <w:right w:val="nil"/>
            </w:tcBorders>
            <w:tcMar>
              <w:top w:w="15" w:type="dxa"/>
              <w:left w:w="15" w:type="dxa"/>
              <w:bottom w:w="0" w:type="dxa"/>
              <w:right w:w="15" w:type="dxa"/>
            </w:tcMar>
            <w:vAlign w:val="center"/>
            <w:hideMark/>
          </w:tcPr>
          <w:p w14:paraId="135CA985"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color w:val="000000" w:themeColor="text1"/>
                <w:kern w:val="2"/>
                <w:sz w:val="22"/>
              </w:rPr>
              <w:t>8.26 (1.14 – 59.71)</w:t>
            </w:r>
          </w:p>
        </w:tc>
        <w:tc>
          <w:tcPr>
            <w:tcW w:w="799" w:type="dxa"/>
            <w:tcBorders>
              <w:top w:val="nil"/>
              <w:left w:val="nil"/>
              <w:bottom w:val="single" w:sz="8" w:space="0" w:color="000000"/>
              <w:right w:val="nil"/>
            </w:tcBorders>
            <w:tcMar>
              <w:top w:w="15" w:type="dxa"/>
              <w:left w:w="15" w:type="dxa"/>
              <w:bottom w:w="0" w:type="dxa"/>
              <w:right w:w="15" w:type="dxa"/>
            </w:tcMar>
            <w:vAlign w:val="center"/>
            <w:hideMark/>
          </w:tcPr>
          <w:p w14:paraId="64E00657" w14:textId="77777777" w:rsidR="00021BEC" w:rsidRPr="00590778" w:rsidRDefault="00021BEC" w:rsidP="006B60E6">
            <w:pPr>
              <w:spacing w:before="163" w:after="163" w:line="300" w:lineRule="auto"/>
              <w:rPr>
                <w:rFonts w:ascii="Times New Roman" w:hAnsi="Times New Roman" w:cs="Times New Roman"/>
                <w:color w:val="000000" w:themeColor="text1"/>
                <w:kern w:val="2"/>
                <w:sz w:val="22"/>
              </w:rPr>
            </w:pPr>
            <w:r w:rsidRPr="00590778">
              <w:rPr>
                <w:rFonts w:ascii="Times New Roman" w:hAnsi="Times New Roman" w:cs="Times New Roman"/>
                <w:color w:val="000000" w:themeColor="text1"/>
                <w:kern w:val="2"/>
                <w:sz w:val="22"/>
              </w:rPr>
              <w:t>0.036</w:t>
            </w:r>
          </w:p>
        </w:tc>
      </w:tr>
    </w:tbl>
    <w:p w14:paraId="618C45EA" w14:textId="77777777" w:rsidR="00021BEC" w:rsidRPr="00590778" w:rsidRDefault="00021BEC" w:rsidP="006B60E6">
      <w:pPr>
        <w:spacing w:before="163" w:after="163" w:line="300" w:lineRule="auto"/>
        <w:jc w:val="both"/>
        <w:rPr>
          <w:rFonts w:ascii="Times New Roman" w:hAnsi="Times New Roman" w:cs="Times New Roman"/>
          <w:color w:val="000000" w:themeColor="text1"/>
          <w:shd w:val="clear" w:color="auto" w:fill="FFFFFF"/>
        </w:rPr>
      </w:pPr>
      <w:r w:rsidRPr="00590778">
        <w:rPr>
          <w:rFonts w:ascii="Times New Roman" w:hAnsi="Times New Roman" w:cs="Times New Roman"/>
          <w:color w:val="000000" w:themeColor="text1"/>
          <w:shd w:val="clear" w:color="auto" w:fill="FFFFFF"/>
        </w:rPr>
        <w:t>Model 1: Univariate Cox risk regression model.</w:t>
      </w:r>
    </w:p>
    <w:p w14:paraId="5D631459" w14:textId="51DC21EF" w:rsidR="00021BEC" w:rsidRPr="00590778" w:rsidRDefault="00021BEC" w:rsidP="006B60E6">
      <w:pPr>
        <w:spacing w:before="163" w:after="163" w:line="300" w:lineRule="auto"/>
        <w:jc w:val="both"/>
        <w:rPr>
          <w:rFonts w:ascii="Times New Roman" w:hAnsi="Times New Roman" w:cs="Times New Roman"/>
          <w:color w:val="000000" w:themeColor="text1"/>
          <w:shd w:val="clear" w:color="auto" w:fill="FFFFFF"/>
        </w:rPr>
      </w:pPr>
      <w:r w:rsidRPr="00590778">
        <w:rPr>
          <w:rFonts w:ascii="Times New Roman" w:hAnsi="Times New Roman" w:cs="Times New Roman"/>
          <w:color w:val="000000" w:themeColor="text1"/>
          <w:shd w:val="clear" w:color="auto" w:fill="FFFFFF"/>
        </w:rPr>
        <w:t xml:space="preserve">Model 2: Multivariate Cox risk regression model with covariates: age, sex, history of diabetes mellitus, hypertension, cancer, </w:t>
      </w:r>
      <w:r w:rsidR="000C0262" w:rsidRPr="00590778">
        <w:rPr>
          <w:rFonts w:ascii="Times New Roman" w:hAnsi="Times New Roman" w:cs="Times New Roman"/>
          <w:color w:val="000000" w:themeColor="text1"/>
          <w:shd w:val="clear" w:color="auto" w:fill="FFFFFF"/>
        </w:rPr>
        <w:t xml:space="preserve">and </w:t>
      </w:r>
      <w:r w:rsidRPr="00590778">
        <w:rPr>
          <w:rFonts w:ascii="Times New Roman" w:hAnsi="Times New Roman" w:cs="Times New Roman"/>
          <w:color w:val="000000" w:themeColor="text1"/>
          <w:shd w:val="clear" w:color="auto" w:fill="FFFFFF"/>
        </w:rPr>
        <w:t xml:space="preserve">stroke, baseline </w:t>
      </w:r>
      <w:r w:rsidR="009A5E08" w:rsidRPr="00590778">
        <w:rPr>
          <w:rFonts w:ascii="Times New Roman" w:hAnsi="Times New Roman" w:cs="Times New Roman"/>
          <w:color w:val="000000" w:themeColor="text1"/>
          <w:shd w:val="clear" w:color="auto" w:fill="FFFFFF"/>
        </w:rPr>
        <w:t>eGFR</w:t>
      </w:r>
      <w:r w:rsidRPr="00590778">
        <w:rPr>
          <w:rFonts w:ascii="Times New Roman" w:hAnsi="Times New Roman" w:cs="Times New Roman"/>
          <w:color w:val="000000" w:themeColor="text1"/>
          <w:shd w:val="clear" w:color="auto" w:fill="FFFFFF"/>
        </w:rPr>
        <w:t xml:space="preserve">, baseline serum albumin. </w:t>
      </w:r>
    </w:p>
    <w:p w14:paraId="3D1086AE" w14:textId="79DB61AB" w:rsidR="00021BEC" w:rsidRPr="00590778" w:rsidRDefault="009A5E08" w:rsidP="006B60E6">
      <w:pPr>
        <w:spacing w:before="163" w:after="163" w:line="300" w:lineRule="auto"/>
        <w:jc w:val="both"/>
        <w:rPr>
          <w:rFonts w:ascii="Times New Roman" w:hAnsi="Times New Roman" w:cs="Times New Roman"/>
          <w:color w:val="000000" w:themeColor="text1"/>
          <w:shd w:val="clear" w:color="auto" w:fill="FFFFFF"/>
        </w:rPr>
      </w:pPr>
      <w:r w:rsidRPr="00590778">
        <w:rPr>
          <w:rFonts w:ascii="Times New Roman" w:hAnsi="Times New Roman" w:cs="Times New Roman"/>
          <w:color w:val="000000" w:themeColor="text1"/>
          <w:shd w:val="clear" w:color="auto" w:fill="FFFFFF"/>
        </w:rPr>
        <w:t>eGFR</w:t>
      </w:r>
      <w:r w:rsidR="00021BEC" w:rsidRPr="00590778">
        <w:rPr>
          <w:rFonts w:ascii="Times New Roman" w:hAnsi="Times New Roman" w:cs="Times New Roman"/>
          <w:color w:val="000000" w:themeColor="text1"/>
          <w:shd w:val="clear" w:color="auto" w:fill="FFFFFF"/>
        </w:rPr>
        <w:t xml:space="preserve">: </w:t>
      </w:r>
      <w:r w:rsidRPr="00590778">
        <w:rPr>
          <w:rFonts w:ascii="Times New Roman" w:hAnsi="Times New Roman" w:cs="Times New Roman"/>
          <w:color w:val="000000" w:themeColor="text1"/>
          <w:shd w:val="clear" w:color="auto" w:fill="FFFFFF"/>
        </w:rPr>
        <w:t xml:space="preserve">estimated </w:t>
      </w:r>
      <w:r w:rsidR="00021BEC" w:rsidRPr="00590778">
        <w:rPr>
          <w:rFonts w:ascii="Times New Roman" w:hAnsi="Times New Roman" w:cs="Times New Roman"/>
          <w:color w:val="000000" w:themeColor="text1"/>
          <w:shd w:val="clear" w:color="auto" w:fill="FFFFFF"/>
        </w:rPr>
        <w:t>glomerular filtration rate (estimated by the CKD-EPI formula based on creatinine and cystatin C), ACR: urine albumin-to-creatinine ratio.</w:t>
      </w:r>
    </w:p>
    <w:p w14:paraId="3E0B8DB7" w14:textId="77777777" w:rsidR="00021BEC" w:rsidRPr="00590778" w:rsidRDefault="00021BEC" w:rsidP="006B60E6">
      <w:pPr>
        <w:spacing w:before="163" w:after="163" w:line="300" w:lineRule="auto"/>
        <w:jc w:val="both"/>
        <w:rPr>
          <w:rFonts w:ascii="Times New Roman" w:hAnsi="Times New Roman" w:cs="Times New Roman"/>
          <w:color w:val="000000" w:themeColor="text1"/>
          <w:shd w:val="clear" w:color="auto" w:fill="FFFFFF"/>
        </w:rPr>
      </w:pPr>
      <w:r w:rsidRPr="00590778">
        <w:rPr>
          <w:rFonts w:ascii="Times New Roman" w:hAnsi="Times New Roman" w:cs="Times New Roman"/>
          <w:i/>
          <w:iCs/>
          <w:color w:val="000000" w:themeColor="text1"/>
          <w:shd w:val="clear" w:color="auto" w:fill="FFFFFF"/>
        </w:rPr>
        <w:t>P</w:t>
      </w:r>
      <w:r w:rsidRPr="00590778">
        <w:rPr>
          <w:rFonts w:ascii="Times New Roman" w:hAnsi="Times New Roman" w:cs="Times New Roman"/>
          <w:color w:val="000000" w:themeColor="text1"/>
          <w:shd w:val="clear" w:color="auto" w:fill="FFFFFF"/>
        </w:rPr>
        <w:t xml:space="preserve">-values &lt; 0.05 were considered statistically significant in Model 1 and Model 2. </w:t>
      </w:r>
    </w:p>
    <w:p w14:paraId="6C5836E6" w14:textId="61B03716" w:rsidR="00B05231" w:rsidRPr="00590778" w:rsidRDefault="00B05231" w:rsidP="006B60E6">
      <w:pPr>
        <w:spacing w:beforeLines="50" w:before="163" w:afterLines="50" w:after="163" w:line="300" w:lineRule="auto"/>
        <w:jc w:val="both"/>
        <w:rPr>
          <w:rFonts w:ascii="Times New Roman" w:hAnsi="Times New Roman" w:cs="Times New Roman"/>
          <w:color w:val="000000" w:themeColor="text1"/>
          <w:kern w:val="2"/>
          <w:szCs w:val="27"/>
        </w:rPr>
      </w:pPr>
      <w:r w:rsidRPr="00590778">
        <w:rPr>
          <w:rFonts w:ascii="Times New Roman" w:hAnsi="Times New Roman" w:cs="Times New Roman"/>
          <w:color w:val="000000" w:themeColor="text1"/>
          <w:kern w:val="2"/>
          <w:szCs w:val="27"/>
        </w:rPr>
        <w:br w:type="page"/>
      </w:r>
    </w:p>
    <w:p w14:paraId="403E42B3" w14:textId="77777777" w:rsidR="00021BEC" w:rsidRPr="00590778" w:rsidRDefault="00021BEC" w:rsidP="006B60E6">
      <w:pPr>
        <w:spacing w:before="163" w:after="163" w:line="300" w:lineRule="auto"/>
        <w:jc w:val="both"/>
        <w:rPr>
          <w:rFonts w:ascii="Times New Roman" w:hAnsi="Times New Roman" w:cs="Times New Roman"/>
          <w:b/>
          <w:bCs/>
          <w:color w:val="000000" w:themeColor="text1"/>
        </w:rPr>
        <w:sectPr w:rsidR="00021BEC" w:rsidRPr="00590778" w:rsidSect="004568FA">
          <w:headerReference w:type="even" r:id="rId8"/>
          <w:headerReference w:type="default" r:id="rId9"/>
          <w:footerReference w:type="even" r:id="rId10"/>
          <w:footerReference w:type="default" r:id="rId11"/>
          <w:headerReference w:type="first" r:id="rId12"/>
          <w:footerReference w:type="first" r:id="rId13"/>
          <w:type w:val="continuous"/>
          <w:pgSz w:w="11906" w:h="16838"/>
          <w:pgMar w:top="720" w:right="720" w:bottom="720" w:left="720" w:header="851" w:footer="992" w:gutter="0"/>
          <w:lnNumType w:countBy="1" w:restart="continuous"/>
          <w:cols w:space="425"/>
          <w:docGrid w:type="lines" w:linePitch="326"/>
        </w:sectPr>
      </w:pPr>
    </w:p>
    <w:p w14:paraId="6D46DA86" w14:textId="40B50639" w:rsidR="00896822" w:rsidRPr="00590778" w:rsidRDefault="00896822" w:rsidP="00896822">
      <w:pPr>
        <w:spacing w:beforeLines="50" w:before="163" w:afterLines="50" w:after="163" w:line="360" w:lineRule="auto"/>
        <w:jc w:val="both"/>
        <w:rPr>
          <w:rFonts w:ascii="Times New Roman" w:hAnsi="Times New Roman" w:cs="Times New Roman"/>
          <w:color w:val="000000" w:themeColor="text1"/>
        </w:rPr>
      </w:pPr>
      <w:r w:rsidRPr="00590778">
        <w:rPr>
          <w:rFonts w:ascii="Times New Roman" w:hAnsi="Times New Roman" w:cs="Times New Roman"/>
          <w:b/>
          <w:bCs/>
          <w:color w:val="000000" w:themeColor="text1"/>
        </w:rPr>
        <w:lastRenderedPageBreak/>
        <w:t xml:space="preserve">Supplementary Table S3. </w:t>
      </w:r>
      <w:r w:rsidR="005B79CE" w:rsidRPr="00590778">
        <w:rPr>
          <w:rFonts w:ascii="Times New Roman" w:hAnsi="Times New Roman" w:cs="Times New Roman"/>
          <w:color w:val="000000" w:themeColor="text1"/>
        </w:rPr>
        <w:t>Sample size (n) per eGFR-by-ACR stratum within each cohort</w:t>
      </w:r>
    </w:p>
    <w:tbl>
      <w:tblPr>
        <w:tblW w:w="8647" w:type="dxa"/>
        <w:tblCellMar>
          <w:left w:w="0" w:type="dxa"/>
          <w:right w:w="0" w:type="dxa"/>
        </w:tblCellMar>
        <w:tblLook w:val="0600" w:firstRow="0" w:lastRow="0" w:firstColumn="0" w:lastColumn="0" w:noHBand="1" w:noVBand="1"/>
      </w:tblPr>
      <w:tblGrid>
        <w:gridCol w:w="1729"/>
        <w:gridCol w:w="432"/>
        <w:gridCol w:w="1297"/>
        <w:gridCol w:w="865"/>
        <w:gridCol w:w="865"/>
        <w:gridCol w:w="1729"/>
        <w:gridCol w:w="1730"/>
      </w:tblGrid>
      <w:tr w:rsidR="004568FA" w:rsidRPr="00590778" w14:paraId="5400CE46" w14:textId="77777777" w:rsidTr="00897CE7">
        <w:trPr>
          <w:trHeight w:hRule="exact" w:val="567"/>
        </w:trPr>
        <w:tc>
          <w:tcPr>
            <w:tcW w:w="2161" w:type="dxa"/>
            <w:gridSpan w:val="2"/>
            <w:tcBorders>
              <w:top w:val="single" w:sz="8" w:space="0" w:color="000000"/>
              <w:left w:val="nil"/>
              <w:bottom w:val="nil"/>
              <w:right w:val="nil"/>
            </w:tcBorders>
            <w:tcMar>
              <w:top w:w="15" w:type="dxa"/>
              <w:left w:w="15" w:type="dxa"/>
              <w:bottom w:w="0" w:type="dxa"/>
              <w:right w:w="15" w:type="dxa"/>
            </w:tcMar>
            <w:vAlign w:val="center"/>
            <w:hideMark/>
          </w:tcPr>
          <w:p w14:paraId="723CB31D" w14:textId="3C973282" w:rsidR="00D8375E" w:rsidRPr="00590778" w:rsidRDefault="00D8375E" w:rsidP="00897CE7">
            <w:pPr>
              <w:spacing w:beforeLines="50" w:before="163" w:afterLines="50" w:after="163"/>
              <w:jc w:val="center"/>
              <w:rPr>
                <w:rFonts w:ascii="Times New Roman" w:hAnsi="Times New Roman" w:cs="Times New Roman"/>
                <w:color w:val="000000" w:themeColor="text1"/>
              </w:rPr>
            </w:pPr>
          </w:p>
        </w:tc>
        <w:tc>
          <w:tcPr>
            <w:tcW w:w="6486" w:type="dxa"/>
            <w:gridSpan w:val="5"/>
            <w:tcBorders>
              <w:top w:val="single" w:sz="8" w:space="0" w:color="000000"/>
              <w:left w:val="nil"/>
              <w:bottom w:val="nil"/>
              <w:right w:val="nil"/>
            </w:tcBorders>
            <w:vAlign w:val="center"/>
          </w:tcPr>
          <w:p w14:paraId="643157C3" w14:textId="0F33F31A" w:rsidR="00D8375E" w:rsidRPr="00590778" w:rsidRDefault="00D8375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GFR (ml/min/1.73 m</w:t>
            </w:r>
            <w:r w:rsidRPr="00590778">
              <w:rPr>
                <w:rFonts w:ascii="Times New Roman" w:hAnsi="Times New Roman" w:cs="Times New Roman"/>
                <w:color w:val="000000" w:themeColor="text1"/>
                <w:vertAlign w:val="superscript"/>
              </w:rPr>
              <w:t>2</w:t>
            </w:r>
            <w:r w:rsidRPr="00590778">
              <w:rPr>
                <w:rFonts w:ascii="Times New Roman" w:hAnsi="Times New Roman" w:cs="Times New Roman"/>
                <w:color w:val="000000" w:themeColor="text1"/>
              </w:rPr>
              <w:t>)</w:t>
            </w:r>
          </w:p>
        </w:tc>
      </w:tr>
      <w:tr w:rsidR="004568FA" w:rsidRPr="00590778" w14:paraId="070D05F5" w14:textId="77777777" w:rsidTr="00897CE7">
        <w:trPr>
          <w:trHeight w:hRule="exact" w:val="567"/>
        </w:trPr>
        <w:tc>
          <w:tcPr>
            <w:tcW w:w="1729" w:type="dxa"/>
            <w:tcBorders>
              <w:top w:val="nil"/>
              <w:left w:val="nil"/>
              <w:bottom w:val="single" w:sz="8" w:space="0" w:color="000000"/>
              <w:right w:val="nil"/>
            </w:tcBorders>
            <w:tcMar>
              <w:top w:w="15" w:type="dxa"/>
              <w:left w:w="15" w:type="dxa"/>
              <w:bottom w:w="0" w:type="dxa"/>
              <w:right w:w="15" w:type="dxa"/>
            </w:tcMar>
            <w:vAlign w:val="center"/>
            <w:hideMark/>
          </w:tcPr>
          <w:p w14:paraId="3DF625A0" w14:textId="77777777" w:rsidR="00EC416F" w:rsidRPr="00590778" w:rsidRDefault="00EC416F"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ACR (mg/g)</w:t>
            </w:r>
          </w:p>
        </w:tc>
        <w:tc>
          <w:tcPr>
            <w:tcW w:w="1729" w:type="dxa"/>
            <w:gridSpan w:val="2"/>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270E4EEE" w14:textId="1D045272" w:rsidR="00EC416F" w:rsidRPr="00590778" w:rsidRDefault="00EC416F"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 90</w:t>
            </w:r>
          </w:p>
        </w:tc>
        <w:tc>
          <w:tcPr>
            <w:tcW w:w="1730" w:type="dxa"/>
            <w:gridSpan w:val="2"/>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6AF6D833" w14:textId="77777777" w:rsidR="00EC416F" w:rsidRPr="00590778" w:rsidRDefault="00EC416F"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75 - 90</w:t>
            </w:r>
          </w:p>
        </w:tc>
        <w:tc>
          <w:tcPr>
            <w:tcW w:w="1729"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1AD11145" w14:textId="77777777" w:rsidR="00EC416F" w:rsidRPr="00590778" w:rsidRDefault="00EC416F"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60 - 75</w:t>
            </w:r>
          </w:p>
        </w:tc>
        <w:tc>
          <w:tcPr>
            <w:tcW w:w="1730"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61903764" w14:textId="77777777" w:rsidR="00EC416F" w:rsidRPr="00590778" w:rsidRDefault="00EC416F"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&lt; 60</w:t>
            </w:r>
          </w:p>
        </w:tc>
      </w:tr>
      <w:tr w:rsidR="004568FA" w:rsidRPr="00590778" w14:paraId="7F0BC54F" w14:textId="77777777" w:rsidTr="00897CE7">
        <w:trPr>
          <w:trHeight w:hRule="exact" w:val="567"/>
        </w:trPr>
        <w:tc>
          <w:tcPr>
            <w:tcW w:w="4323" w:type="dxa"/>
            <w:gridSpan w:val="4"/>
            <w:tcBorders>
              <w:top w:val="single" w:sz="8" w:space="0" w:color="000000"/>
              <w:left w:val="nil"/>
              <w:bottom w:val="nil"/>
              <w:right w:val="nil"/>
            </w:tcBorders>
            <w:tcMar>
              <w:top w:w="15" w:type="dxa"/>
              <w:left w:w="15" w:type="dxa"/>
              <w:bottom w:w="0" w:type="dxa"/>
              <w:right w:w="15" w:type="dxa"/>
            </w:tcMar>
            <w:vAlign w:val="center"/>
            <w:hideMark/>
          </w:tcPr>
          <w:p w14:paraId="3439F43B" w14:textId="77777777" w:rsidR="00EC416F" w:rsidRPr="00590778" w:rsidRDefault="00EC416F" w:rsidP="00897CE7">
            <w:pPr>
              <w:spacing w:beforeLines="50" w:before="163" w:afterLines="50" w:after="163"/>
              <w:jc w:val="center"/>
              <w:rPr>
                <w:rFonts w:ascii="Times New Roman" w:hAnsi="Times New Roman" w:cs="Times New Roman"/>
                <w:color w:val="000000" w:themeColor="text1"/>
              </w:rPr>
            </w:pPr>
          </w:p>
        </w:tc>
        <w:tc>
          <w:tcPr>
            <w:tcW w:w="4324" w:type="dxa"/>
            <w:gridSpan w:val="3"/>
            <w:tcBorders>
              <w:top w:val="single" w:sz="8" w:space="0" w:color="000000"/>
              <w:left w:val="nil"/>
              <w:bottom w:val="nil"/>
              <w:right w:val="nil"/>
            </w:tcBorders>
            <w:tcMar>
              <w:top w:w="15" w:type="dxa"/>
              <w:left w:w="15" w:type="dxa"/>
              <w:bottom w:w="0" w:type="dxa"/>
              <w:right w:w="15" w:type="dxa"/>
            </w:tcMar>
            <w:vAlign w:val="center"/>
            <w:hideMark/>
          </w:tcPr>
          <w:p w14:paraId="2E5B48FC" w14:textId="411FB49E" w:rsidR="00EC416F" w:rsidRPr="00590778" w:rsidRDefault="00F23253"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Healthy cohort</w:t>
            </w:r>
          </w:p>
        </w:tc>
      </w:tr>
      <w:tr w:rsidR="004568FA" w:rsidRPr="00590778" w14:paraId="0CCBF466" w14:textId="77777777" w:rsidTr="00897CE7">
        <w:trPr>
          <w:trHeight w:hRule="exact" w:val="567"/>
        </w:trPr>
        <w:tc>
          <w:tcPr>
            <w:tcW w:w="1729" w:type="dxa"/>
            <w:tcBorders>
              <w:top w:val="nil"/>
              <w:left w:val="nil"/>
              <w:bottom w:val="nil"/>
              <w:right w:val="nil"/>
            </w:tcBorders>
            <w:tcMar>
              <w:top w:w="15" w:type="dxa"/>
              <w:left w:w="15" w:type="dxa"/>
              <w:bottom w:w="0" w:type="dxa"/>
              <w:right w:w="15" w:type="dxa"/>
            </w:tcMar>
            <w:vAlign w:val="center"/>
            <w:hideMark/>
          </w:tcPr>
          <w:p w14:paraId="019D58C5" w14:textId="77777777" w:rsidR="00EC416F" w:rsidRPr="00590778" w:rsidRDefault="00EC416F"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&lt; 30</w:t>
            </w:r>
          </w:p>
        </w:tc>
        <w:tc>
          <w:tcPr>
            <w:tcW w:w="1729" w:type="dxa"/>
            <w:gridSpan w:val="2"/>
            <w:tcBorders>
              <w:top w:val="nil"/>
              <w:left w:val="nil"/>
              <w:bottom w:val="nil"/>
              <w:right w:val="nil"/>
            </w:tcBorders>
            <w:tcMar>
              <w:top w:w="15" w:type="dxa"/>
              <w:left w:w="15" w:type="dxa"/>
              <w:bottom w:w="0" w:type="dxa"/>
              <w:right w:w="15" w:type="dxa"/>
            </w:tcMar>
            <w:vAlign w:val="center"/>
            <w:hideMark/>
          </w:tcPr>
          <w:p w14:paraId="0C6334CB" w14:textId="4E446091" w:rsidR="00EC416F" w:rsidRPr="00590778" w:rsidRDefault="004F37D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78</w:t>
            </w:r>
          </w:p>
        </w:tc>
        <w:tc>
          <w:tcPr>
            <w:tcW w:w="1730" w:type="dxa"/>
            <w:gridSpan w:val="2"/>
            <w:tcBorders>
              <w:top w:val="nil"/>
              <w:left w:val="nil"/>
              <w:bottom w:val="nil"/>
              <w:right w:val="nil"/>
            </w:tcBorders>
            <w:tcMar>
              <w:top w:w="15" w:type="dxa"/>
              <w:left w:w="15" w:type="dxa"/>
              <w:bottom w:w="0" w:type="dxa"/>
              <w:right w:w="15" w:type="dxa"/>
            </w:tcMar>
            <w:vAlign w:val="center"/>
            <w:hideMark/>
          </w:tcPr>
          <w:p w14:paraId="54ECFE34" w14:textId="12360CAB" w:rsidR="00EC416F" w:rsidRPr="00590778" w:rsidRDefault="004F37D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207</w:t>
            </w:r>
          </w:p>
        </w:tc>
        <w:tc>
          <w:tcPr>
            <w:tcW w:w="1729" w:type="dxa"/>
            <w:tcBorders>
              <w:top w:val="nil"/>
              <w:left w:val="nil"/>
              <w:bottom w:val="nil"/>
              <w:right w:val="nil"/>
            </w:tcBorders>
            <w:tcMar>
              <w:top w:w="15" w:type="dxa"/>
              <w:left w:w="15" w:type="dxa"/>
              <w:bottom w:w="0" w:type="dxa"/>
              <w:right w:w="15" w:type="dxa"/>
            </w:tcMar>
            <w:vAlign w:val="center"/>
            <w:hideMark/>
          </w:tcPr>
          <w:p w14:paraId="22E0E78C" w14:textId="6887D8DB" w:rsidR="00EC416F" w:rsidRPr="00590778" w:rsidRDefault="004F37D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176</w:t>
            </w:r>
          </w:p>
        </w:tc>
        <w:tc>
          <w:tcPr>
            <w:tcW w:w="1730" w:type="dxa"/>
            <w:tcBorders>
              <w:top w:val="nil"/>
              <w:left w:val="nil"/>
              <w:bottom w:val="nil"/>
              <w:right w:val="nil"/>
            </w:tcBorders>
            <w:tcMar>
              <w:top w:w="15" w:type="dxa"/>
              <w:left w:w="15" w:type="dxa"/>
              <w:bottom w:w="0" w:type="dxa"/>
              <w:right w:w="15" w:type="dxa"/>
            </w:tcMar>
            <w:vAlign w:val="center"/>
            <w:hideMark/>
          </w:tcPr>
          <w:p w14:paraId="291FAF24" w14:textId="45CDAE26" w:rsidR="00EC416F" w:rsidRPr="00590778" w:rsidRDefault="004F37D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25</w:t>
            </w:r>
          </w:p>
        </w:tc>
      </w:tr>
      <w:tr w:rsidR="004568FA" w:rsidRPr="00590778" w14:paraId="3BDA67CA" w14:textId="77777777" w:rsidTr="00897CE7">
        <w:trPr>
          <w:trHeight w:hRule="exact" w:val="567"/>
        </w:trPr>
        <w:tc>
          <w:tcPr>
            <w:tcW w:w="4323" w:type="dxa"/>
            <w:gridSpan w:val="4"/>
            <w:tcBorders>
              <w:top w:val="nil"/>
              <w:left w:val="nil"/>
              <w:bottom w:val="nil"/>
              <w:right w:val="nil"/>
            </w:tcBorders>
            <w:tcMar>
              <w:top w:w="15" w:type="dxa"/>
              <w:left w:w="15" w:type="dxa"/>
              <w:bottom w:w="0" w:type="dxa"/>
              <w:right w:w="15" w:type="dxa"/>
            </w:tcMar>
            <w:vAlign w:val="center"/>
            <w:hideMark/>
          </w:tcPr>
          <w:p w14:paraId="5EC9FAC0" w14:textId="77777777" w:rsidR="00EC416F" w:rsidRPr="00590778" w:rsidRDefault="00EC416F" w:rsidP="00897CE7">
            <w:pPr>
              <w:spacing w:beforeLines="50" w:before="163" w:afterLines="50" w:after="163"/>
              <w:jc w:val="center"/>
              <w:rPr>
                <w:rFonts w:ascii="Times New Roman" w:hAnsi="Times New Roman" w:cs="Times New Roman"/>
                <w:color w:val="000000" w:themeColor="text1"/>
              </w:rPr>
            </w:pPr>
          </w:p>
        </w:tc>
        <w:tc>
          <w:tcPr>
            <w:tcW w:w="4324" w:type="dxa"/>
            <w:gridSpan w:val="3"/>
            <w:tcBorders>
              <w:top w:val="nil"/>
              <w:left w:val="nil"/>
              <w:bottom w:val="nil"/>
              <w:right w:val="nil"/>
            </w:tcBorders>
            <w:tcMar>
              <w:top w:w="15" w:type="dxa"/>
              <w:left w:w="15" w:type="dxa"/>
              <w:bottom w:w="0" w:type="dxa"/>
              <w:right w:w="15" w:type="dxa"/>
            </w:tcMar>
            <w:vAlign w:val="center"/>
            <w:hideMark/>
          </w:tcPr>
          <w:p w14:paraId="05A591E3" w14:textId="6E10150E" w:rsidR="00EC416F" w:rsidRPr="00590778" w:rsidRDefault="00F23253"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Comorbidity cohort</w:t>
            </w:r>
          </w:p>
        </w:tc>
      </w:tr>
      <w:tr w:rsidR="004568FA" w:rsidRPr="00590778" w14:paraId="2883AA75" w14:textId="77777777" w:rsidTr="00897CE7">
        <w:trPr>
          <w:trHeight w:hRule="exact" w:val="567"/>
        </w:trPr>
        <w:tc>
          <w:tcPr>
            <w:tcW w:w="1729" w:type="dxa"/>
            <w:tcBorders>
              <w:top w:val="nil"/>
              <w:left w:val="nil"/>
              <w:bottom w:val="nil"/>
              <w:right w:val="nil"/>
            </w:tcBorders>
            <w:tcMar>
              <w:top w:w="15" w:type="dxa"/>
              <w:left w:w="15" w:type="dxa"/>
              <w:bottom w:w="0" w:type="dxa"/>
              <w:right w:w="15" w:type="dxa"/>
            </w:tcMar>
            <w:vAlign w:val="center"/>
            <w:hideMark/>
          </w:tcPr>
          <w:p w14:paraId="44CC7E4F" w14:textId="77777777" w:rsidR="00EC416F" w:rsidRPr="00590778" w:rsidRDefault="00EC416F"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&lt; 30</w:t>
            </w:r>
          </w:p>
        </w:tc>
        <w:tc>
          <w:tcPr>
            <w:tcW w:w="1729" w:type="dxa"/>
            <w:gridSpan w:val="2"/>
            <w:tcBorders>
              <w:top w:val="nil"/>
              <w:left w:val="nil"/>
              <w:bottom w:val="nil"/>
              <w:right w:val="nil"/>
            </w:tcBorders>
            <w:tcMar>
              <w:top w:w="15" w:type="dxa"/>
              <w:left w:w="15" w:type="dxa"/>
              <w:bottom w:w="0" w:type="dxa"/>
              <w:right w:w="15" w:type="dxa"/>
            </w:tcMar>
            <w:vAlign w:val="center"/>
            <w:hideMark/>
          </w:tcPr>
          <w:p w14:paraId="741672F0" w14:textId="2C2D7724" w:rsidR="00EC416F" w:rsidRPr="00590778" w:rsidRDefault="004F37D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57</w:t>
            </w:r>
          </w:p>
        </w:tc>
        <w:tc>
          <w:tcPr>
            <w:tcW w:w="1730" w:type="dxa"/>
            <w:gridSpan w:val="2"/>
            <w:tcBorders>
              <w:top w:val="nil"/>
              <w:left w:val="nil"/>
              <w:bottom w:val="nil"/>
              <w:right w:val="nil"/>
            </w:tcBorders>
            <w:tcMar>
              <w:top w:w="15" w:type="dxa"/>
              <w:left w:w="15" w:type="dxa"/>
              <w:bottom w:w="0" w:type="dxa"/>
              <w:right w:w="15" w:type="dxa"/>
            </w:tcMar>
            <w:vAlign w:val="center"/>
            <w:hideMark/>
          </w:tcPr>
          <w:p w14:paraId="1C446404" w14:textId="5A7E01AD" w:rsidR="00EC416F" w:rsidRPr="00590778" w:rsidRDefault="004F37D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174</w:t>
            </w:r>
          </w:p>
        </w:tc>
        <w:tc>
          <w:tcPr>
            <w:tcW w:w="1729" w:type="dxa"/>
            <w:tcBorders>
              <w:top w:val="nil"/>
              <w:left w:val="nil"/>
              <w:bottom w:val="nil"/>
              <w:right w:val="nil"/>
            </w:tcBorders>
            <w:tcMar>
              <w:top w:w="15" w:type="dxa"/>
              <w:left w:w="15" w:type="dxa"/>
              <w:bottom w:w="0" w:type="dxa"/>
              <w:right w:w="15" w:type="dxa"/>
            </w:tcMar>
            <w:vAlign w:val="center"/>
            <w:hideMark/>
          </w:tcPr>
          <w:p w14:paraId="06BDA67A" w14:textId="6923508F" w:rsidR="00EC416F" w:rsidRPr="00590778" w:rsidRDefault="004F37D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204</w:t>
            </w:r>
          </w:p>
        </w:tc>
        <w:tc>
          <w:tcPr>
            <w:tcW w:w="1730" w:type="dxa"/>
            <w:tcBorders>
              <w:top w:val="nil"/>
              <w:left w:val="nil"/>
              <w:bottom w:val="nil"/>
              <w:right w:val="nil"/>
            </w:tcBorders>
            <w:tcMar>
              <w:top w:w="15" w:type="dxa"/>
              <w:left w:w="15" w:type="dxa"/>
              <w:bottom w:w="0" w:type="dxa"/>
              <w:right w:w="15" w:type="dxa"/>
            </w:tcMar>
            <w:vAlign w:val="center"/>
            <w:hideMark/>
          </w:tcPr>
          <w:p w14:paraId="34A85290" w14:textId="3F86FE39" w:rsidR="00EC416F" w:rsidRPr="00590778" w:rsidRDefault="004F37D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65</w:t>
            </w:r>
          </w:p>
        </w:tc>
      </w:tr>
      <w:tr w:rsidR="004568FA" w:rsidRPr="00590778" w14:paraId="67FCF6EB" w14:textId="77777777" w:rsidTr="00897CE7">
        <w:trPr>
          <w:trHeight w:hRule="exact" w:val="567"/>
        </w:trPr>
        <w:tc>
          <w:tcPr>
            <w:tcW w:w="1729" w:type="dxa"/>
            <w:tcBorders>
              <w:top w:val="nil"/>
              <w:left w:val="nil"/>
              <w:bottom w:val="nil"/>
              <w:right w:val="nil"/>
            </w:tcBorders>
            <w:tcMar>
              <w:top w:w="15" w:type="dxa"/>
              <w:left w:w="15" w:type="dxa"/>
              <w:bottom w:w="0" w:type="dxa"/>
              <w:right w:w="15" w:type="dxa"/>
            </w:tcMar>
            <w:vAlign w:val="center"/>
            <w:hideMark/>
          </w:tcPr>
          <w:p w14:paraId="5DD47F40" w14:textId="0C390620" w:rsidR="00EC416F" w:rsidRPr="00590778" w:rsidRDefault="00EC416F"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 30</w:t>
            </w:r>
          </w:p>
        </w:tc>
        <w:tc>
          <w:tcPr>
            <w:tcW w:w="1729" w:type="dxa"/>
            <w:gridSpan w:val="2"/>
            <w:tcBorders>
              <w:top w:val="nil"/>
              <w:left w:val="nil"/>
              <w:bottom w:val="nil"/>
              <w:right w:val="nil"/>
            </w:tcBorders>
            <w:tcMar>
              <w:top w:w="15" w:type="dxa"/>
              <w:left w:w="15" w:type="dxa"/>
              <w:bottom w:w="0" w:type="dxa"/>
              <w:right w:w="15" w:type="dxa"/>
            </w:tcMar>
            <w:vAlign w:val="center"/>
            <w:hideMark/>
          </w:tcPr>
          <w:p w14:paraId="3C22B44F" w14:textId="76FBACF7" w:rsidR="00EC416F" w:rsidRPr="00590778" w:rsidRDefault="004F37D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14</w:t>
            </w:r>
          </w:p>
        </w:tc>
        <w:tc>
          <w:tcPr>
            <w:tcW w:w="1730" w:type="dxa"/>
            <w:gridSpan w:val="2"/>
            <w:tcBorders>
              <w:top w:val="nil"/>
              <w:left w:val="nil"/>
              <w:bottom w:val="nil"/>
              <w:right w:val="nil"/>
            </w:tcBorders>
            <w:tcMar>
              <w:top w:w="15" w:type="dxa"/>
              <w:left w:w="15" w:type="dxa"/>
              <w:bottom w:w="0" w:type="dxa"/>
              <w:right w:w="15" w:type="dxa"/>
            </w:tcMar>
            <w:vAlign w:val="center"/>
            <w:hideMark/>
          </w:tcPr>
          <w:p w14:paraId="1A6C106B" w14:textId="1431F3C4" w:rsidR="00EC416F" w:rsidRPr="00590778" w:rsidRDefault="004F37D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59</w:t>
            </w:r>
          </w:p>
        </w:tc>
        <w:tc>
          <w:tcPr>
            <w:tcW w:w="1729" w:type="dxa"/>
            <w:tcBorders>
              <w:top w:val="nil"/>
              <w:left w:val="nil"/>
              <w:bottom w:val="nil"/>
              <w:right w:val="nil"/>
            </w:tcBorders>
            <w:tcMar>
              <w:top w:w="15" w:type="dxa"/>
              <w:left w:w="15" w:type="dxa"/>
              <w:bottom w:w="0" w:type="dxa"/>
              <w:right w:w="15" w:type="dxa"/>
            </w:tcMar>
            <w:vAlign w:val="center"/>
            <w:hideMark/>
          </w:tcPr>
          <w:p w14:paraId="3EBEAAEB" w14:textId="704BE7E5" w:rsidR="00EC416F" w:rsidRPr="00590778" w:rsidRDefault="004F37D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63</w:t>
            </w:r>
          </w:p>
        </w:tc>
        <w:tc>
          <w:tcPr>
            <w:tcW w:w="1730" w:type="dxa"/>
            <w:tcBorders>
              <w:top w:val="nil"/>
              <w:left w:val="nil"/>
              <w:bottom w:val="nil"/>
              <w:right w:val="nil"/>
            </w:tcBorders>
            <w:tcMar>
              <w:top w:w="15" w:type="dxa"/>
              <w:left w:w="15" w:type="dxa"/>
              <w:bottom w:w="0" w:type="dxa"/>
              <w:right w:w="15" w:type="dxa"/>
            </w:tcMar>
            <w:vAlign w:val="center"/>
            <w:hideMark/>
          </w:tcPr>
          <w:p w14:paraId="33AFCF3D" w14:textId="1EA95EB3" w:rsidR="00EC416F" w:rsidRPr="00590778" w:rsidRDefault="004F37D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25</w:t>
            </w:r>
          </w:p>
        </w:tc>
      </w:tr>
      <w:tr w:rsidR="004568FA" w:rsidRPr="00590778" w14:paraId="434DE13A" w14:textId="77777777" w:rsidTr="00897CE7">
        <w:trPr>
          <w:trHeight w:hRule="exact" w:val="567"/>
        </w:trPr>
        <w:tc>
          <w:tcPr>
            <w:tcW w:w="4323" w:type="dxa"/>
            <w:gridSpan w:val="4"/>
            <w:tcBorders>
              <w:top w:val="nil"/>
              <w:left w:val="nil"/>
              <w:bottom w:val="nil"/>
              <w:right w:val="nil"/>
            </w:tcBorders>
            <w:tcMar>
              <w:top w:w="15" w:type="dxa"/>
              <w:left w:w="15" w:type="dxa"/>
              <w:bottom w:w="0" w:type="dxa"/>
              <w:right w:w="15" w:type="dxa"/>
            </w:tcMar>
            <w:vAlign w:val="center"/>
            <w:hideMark/>
          </w:tcPr>
          <w:p w14:paraId="08865412" w14:textId="77777777" w:rsidR="00EC416F" w:rsidRPr="00590778" w:rsidRDefault="00EC416F" w:rsidP="00897CE7">
            <w:pPr>
              <w:spacing w:beforeLines="50" w:before="163" w:afterLines="50" w:after="163"/>
              <w:jc w:val="center"/>
              <w:rPr>
                <w:rFonts w:ascii="Times New Roman" w:hAnsi="Times New Roman" w:cs="Times New Roman"/>
                <w:color w:val="000000" w:themeColor="text1"/>
              </w:rPr>
            </w:pPr>
          </w:p>
        </w:tc>
        <w:tc>
          <w:tcPr>
            <w:tcW w:w="4324" w:type="dxa"/>
            <w:gridSpan w:val="3"/>
            <w:tcBorders>
              <w:top w:val="nil"/>
              <w:left w:val="nil"/>
              <w:bottom w:val="nil"/>
              <w:right w:val="nil"/>
            </w:tcBorders>
            <w:tcMar>
              <w:top w:w="15" w:type="dxa"/>
              <w:left w:w="15" w:type="dxa"/>
              <w:bottom w:w="0" w:type="dxa"/>
              <w:right w:w="15" w:type="dxa"/>
            </w:tcMar>
            <w:vAlign w:val="center"/>
            <w:hideMark/>
          </w:tcPr>
          <w:p w14:paraId="2453F0E9" w14:textId="64A766AB" w:rsidR="00EC416F" w:rsidRPr="00590778" w:rsidRDefault="00F23253"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CKD cohort</w:t>
            </w:r>
          </w:p>
        </w:tc>
      </w:tr>
      <w:tr w:rsidR="004568FA" w:rsidRPr="00590778" w14:paraId="7EC14DD8" w14:textId="77777777" w:rsidTr="00897CE7">
        <w:trPr>
          <w:trHeight w:hRule="exact" w:val="567"/>
        </w:trPr>
        <w:tc>
          <w:tcPr>
            <w:tcW w:w="1729" w:type="dxa"/>
            <w:tcBorders>
              <w:top w:val="nil"/>
              <w:left w:val="nil"/>
              <w:bottom w:val="nil"/>
              <w:right w:val="nil"/>
            </w:tcBorders>
            <w:tcMar>
              <w:top w:w="15" w:type="dxa"/>
              <w:left w:w="15" w:type="dxa"/>
              <w:bottom w:w="0" w:type="dxa"/>
              <w:right w:w="15" w:type="dxa"/>
            </w:tcMar>
            <w:vAlign w:val="center"/>
            <w:hideMark/>
          </w:tcPr>
          <w:p w14:paraId="1DC64BF5" w14:textId="77777777" w:rsidR="00EC416F" w:rsidRPr="00590778" w:rsidRDefault="00EC416F"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&lt; 30</w:t>
            </w:r>
          </w:p>
        </w:tc>
        <w:tc>
          <w:tcPr>
            <w:tcW w:w="1729" w:type="dxa"/>
            <w:gridSpan w:val="2"/>
            <w:tcBorders>
              <w:top w:val="nil"/>
              <w:left w:val="nil"/>
              <w:bottom w:val="nil"/>
              <w:right w:val="nil"/>
            </w:tcBorders>
            <w:tcMar>
              <w:top w:w="15" w:type="dxa"/>
              <w:left w:w="15" w:type="dxa"/>
              <w:bottom w:w="0" w:type="dxa"/>
              <w:right w:w="15" w:type="dxa"/>
            </w:tcMar>
            <w:vAlign w:val="center"/>
            <w:hideMark/>
          </w:tcPr>
          <w:p w14:paraId="5B5CC055" w14:textId="3217F8AE" w:rsidR="00EC416F" w:rsidRPr="00590778" w:rsidRDefault="004F37D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3</w:t>
            </w:r>
          </w:p>
        </w:tc>
        <w:tc>
          <w:tcPr>
            <w:tcW w:w="1730" w:type="dxa"/>
            <w:gridSpan w:val="2"/>
            <w:tcBorders>
              <w:top w:val="nil"/>
              <w:left w:val="nil"/>
              <w:bottom w:val="nil"/>
              <w:right w:val="nil"/>
            </w:tcBorders>
            <w:tcMar>
              <w:top w:w="15" w:type="dxa"/>
              <w:left w:w="15" w:type="dxa"/>
              <w:bottom w:w="0" w:type="dxa"/>
              <w:right w:w="15" w:type="dxa"/>
            </w:tcMar>
            <w:vAlign w:val="center"/>
            <w:hideMark/>
          </w:tcPr>
          <w:p w14:paraId="104B5DEA" w14:textId="31F8B936" w:rsidR="00EC416F" w:rsidRPr="00590778" w:rsidRDefault="004F37D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13</w:t>
            </w:r>
          </w:p>
        </w:tc>
        <w:tc>
          <w:tcPr>
            <w:tcW w:w="1729" w:type="dxa"/>
            <w:tcBorders>
              <w:top w:val="nil"/>
              <w:left w:val="nil"/>
              <w:bottom w:val="nil"/>
              <w:right w:val="nil"/>
            </w:tcBorders>
            <w:tcMar>
              <w:top w:w="15" w:type="dxa"/>
              <w:left w:w="15" w:type="dxa"/>
              <w:bottom w:w="0" w:type="dxa"/>
              <w:right w:w="15" w:type="dxa"/>
            </w:tcMar>
            <w:vAlign w:val="center"/>
            <w:hideMark/>
          </w:tcPr>
          <w:p w14:paraId="365E961A" w14:textId="713C1C84" w:rsidR="00EC416F" w:rsidRPr="00590778" w:rsidRDefault="004F37D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22</w:t>
            </w:r>
          </w:p>
        </w:tc>
        <w:tc>
          <w:tcPr>
            <w:tcW w:w="1730" w:type="dxa"/>
            <w:tcBorders>
              <w:top w:val="nil"/>
              <w:left w:val="nil"/>
              <w:bottom w:val="nil"/>
              <w:right w:val="nil"/>
            </w:tcBorders>
            <w:tcMar>
              <w:top w:w="15" w:type="dxa"/>
              <w:left w:w="15" w:type="dxa"/>
              <w:bottom w:w="0" w:type="dxa"/>
              <w:right w:w="15" w:type="dxa"/>
            </w:tcMar>
            <w:vAlign w:val="center"/>
            <w:hideMark/>
          </w:tcPr>
          <w:p w14:paraId="65B130D8" w14:textId="7FFF29E4" w:rsidR="00EC416F" w:rsidRPr="00590778" w:rsidRDefault="004F37D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61</w:t>
            </w:r>
          </w:p>
        </w:tc>
      </w:tr>
      <w:tr w:rsidR="004568FA" w:rsidRPr="00590778" w14:paraId="0CB99A2A" w14:textId="77777777" w:rsidTr="00897CE7">
        <w:trPr>
          <w:trHeight w:hRule="exact" w:val="567"/>
        </w:trPr>
        <w:tc>
          <w:tcPr>
            <w:tcW w:w="1729" w:type="dxa"/>
            <w:tcBorders>
              <w:top w:val="nil"/>
              <w:left w:val="nil"/>
              <w:bottom w:val="single" w:sz="8" w:space="0" w:color="000000"/>
              <w:right w:val="nil"/>
            </w:tcBorders>
            <w:tcMar>
              <w:top w:w="15" w:type="dxa"/>
              <w:left w:w="15" w:type="dxa"/>
              <w:bottom w:w="0" w:type="dxa"/>
              <w:right w:w="15" w:type="dxa"/>
            </w:tcMar>
            <w:vAlign w:val="center"/>
            <w:hideMark/>
          </w:tcPr>
          <w:p w14:paraId="2D0AE657" w14:textId="3F23200C" w:rsidR="00EC416F" w:rsidRPr="00590778" w:rsidRDefault="00EC416F"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 30</w:t>
            </w:r>
          </w:p>
        </w:tc>
        <w:tc>
          <w:tcPr>
            <w:tcW w:w="1729" w:type="dxa"/>
            <w:gridSpan w:val="2"/>
            <w:tcBorders>
              <w:top w:val="nil"/>
              <w:left w:val="nil"/>
              <w:bottom w:val="single" w:sz="8" w:space="0" w:color="000000"/>
              <w:right w:val="nil"/>
            </w:tcBorders>
            <w:tcMar>
              <w:top w:w="15" w:type="dxa"/>
              <w:left w:w="15" w:type="dxa"/>
              <w:bottom w:w="0" w:type="dxa"/>
              <w:right w:w="15" w:type="dxa"/>
            </w:tcMar>
            <w:vAlign w:val="center"/>
            <w:hideMark/>
          </w:tcPr>
          <w:p w14:paraId="1633745F" w14:textId="311BD40E" w:rsidR="00EC416F" w:rsidRPr="00590778" w:rsidRDefault="004F37D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29</w:t>
            </w:r>
          </w:p>
        </w:tc>
        <w:tc>
          <w:tcPr>
            <w:tcW w:w="1730" w:type="dxa"/>
            <w:gridSpan w:val="2"/>
            <w:tcBorders>
              <w:top w:val="nil"/>
              <w:left w:val="nil"/>
              <w:bottom w:val="single" w:sz="8" w:space="0" w:color="000000"/>
              <w:right w:val="nil"/>
            </w:tcBorders>
            <w:tcMar>
              <w:top w:w="15" w:type="dxa"/>
              <w:left w:w="15" w:type="dxa"/>
              <w:bottom w:w="0" w:type="dxa"/>
              <w:right w:w="15" w:type="dxa"/>
            </w:tcMar>
            <w:vAlign w:val="center"/>
            <w:hideMark/>
          </w:tcPr>
          <w:p w14:paraId="4F040F0B" w14:textId="1E78CC65" w:rsidR="00EC416F" w:rsidRPr="00590778" w:rsidRDefault="004F37D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56</w:t>
            </w:r>
          </w:p>
        </w:tc>
        <w:tc>
          <w:tcPr>
            <w:tcW w:w="1729" w:type="dxa"/>
            <w:tcBorders>
              <w:top w:val="nil"/>
              <w:left w:val="nil"/>
              <w:bottom w:val="single" w:sz="8" w:space="0" w:color="000000"/>
              <w:right w:val="nil"/>
            </w:tcBorders>
            <w:tcMar>
              <w:top w:w="15" w:type="dxa"/>
              <w:left w:w="15" w:type="dxa"/>
              <w:bottom w:w="0" w:type="dxa"/>
              <w:right w:w="15" w:type="dxa"/>
            </w:tcMar>
            <w:vAlign w:val="center"/>
            <w:hideMark/>
          </w:tcPr>
          <w:p w14:paraId="69C1EB1E" w14:textId="76888FEB" w:rsidR="00EC416F" w:rsidRPr="00590778" w:rsidRDefault="004F37D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69</w:t>
            </w:r>
          </w:p>
        </w:tc>
        <w:tc>
          <w:tcPr>
            <w:tcW w:w="1730" w:type="dxa"/>
            <w:tcBorders>
              <w:top w:val="nil"/>
              <w:left w:val="nil"/>
              <w:bottom w:val="single" w:sz="8" w:space="0" w:color="000000"/>
              <w:right w:val="nil"/>
            </w:tcBorders>
            <w:tcMar>
              <w:top w:w="15" w:type="dxa"/>
              <w:left w:w="15" w:type="dxa"/>
              <w:bottom w:w="0" w:type="dxa"/>
              <w:right w:w="15" w:type="dxa"/>
            </w:tcMar>
            <w:vAlign w:val="center"/>
            <w:hideMark/>
          </w:tcPr>
          <w:p w14:paraId="4F65BABC" w14:textId="3D6A5AD1" w:rsidR="00EC416F" w:rsidRPr="00590778" w:rsidRDefault="004F37DE" w:rsidP="00897CE7">
            <w:pPr>
              <w:spacing w:beforeLines="50" w:before="163" w:afterLines="50" w:after="163"/>
              <w:jc w:val="center"/>
              <w:rPr>
                <w:rFonts w:ascii="Times New Roman" w:hAnsi="Times New Roman" w:cs="Times New Roman"/>
                <w:color w:val="000000" w:themeColor="text1"/>
              </w:rPr>
            </w:pPr>
            <w:r w:rsidRPr="00590778">
              <w:rPr>
                <w:rFonts w:ascii="Times New Roman" w:hAnsi="Times New Roman" w:cs="Times New Roman"/>
                <w:color w:val="000000" w:themeColor="text1"/>
              </w:rPr>
              <w:t>139</w:t>
            </w:r>
          </w:p>
        </w:tc>
      </w:tr>
    </w:tbl>
    <w:p w14:paraId="467322FB" w14:textId="3DE0AFDE" w:rsidR="0056633C" w:rsidRPr="00590778" w:rsidRDefault="00416BC1" w:rsidP="00896822">
      <w:pPr>
        <w:spacing w:beforeLines="50" w:before="163" w:afterLines="50" w:after="163" w:line="360" w:lineRule="auto"/>
        <w:jc w:val="both"/>
        <w:rPr>
          <w:rFonts w:ascii="Times New Roman" w:hAnsi="Times New Roman" w:cs="Times New Roman"/>
          <w:color w:val="000000" w:themeColor="text1"/>
        </w:rPr>
      </w:pPr>
      <w:r w:rsidRPr="00590778">
        <w:rPr>
          <w:rFonts w:ascii="Times New Roman" w:hAnsi="Times New Roman" w:cs="Times New Roman"/>
          <w:color w:val="000000" w:themeColor="text1"/>
        </w:rPr>
        <w:t>Cells with n&lt;10 were suppressed in heatmaps (blank). Counts correspond to the analytic samples used for adjusted incidence estimation.</w:t>
      </w:r>
    </w:p>
    <w:p w14:paraId="441072B7" w14:textId="77777777" w:rsidR="00896822" w:rsidRPr="00590778" w:rsidRDefault="00896822">
      <w:pPr>
        <w:spacing w:beforeLines="50" w:before="163" w:afterLines="50" w:after="163" w:line="360" w:lineRule="auto"/>
        <w:jc w:val="both"/>
        <w:rPr>
          <w:rFonts w:ascii="Times New Roman" w:hAnsi="Times New Roman" w:cs="Times New Roman"/>
          <w:b/>
          <w:bCs/>
          <w:color w:val="000000" w:themeColor="text1"/>
        </w:rPr>
      </w:pPr>
      <w:r w:rsidRPr="00590778">
        <w:rPr>
          <w:rFonts w:ascii="Times New Roman" w:hAnsi="Times New Roman" w:cs="Times New Roman"/>
          <w:b/>
          <w:bCs/>
          <w:color w:val="000000" w:themeColor="text1"/>
        </w:rPr>
        <w:br w:type="page"/>
      </w:r>
    </w:p>
    <w:p w14:paraId="66A1E7C0" w14:textId="4838908B" w:rsidR="0032134D" w:rsidRPr="00590778" w:rsidRDefault="006B304E" w:rsidP="006B60E6">
      <w:pPr>
        <w:spacing w:beforeLines="50" w:before="163" w:afterLines="50" w:after="163" w:line="300" w:lineRule="auto"/>
        <w:jc w:val="both"/>
        <w:rPr>
          <w:rFonts w:ascii="Times New Roman" w:hAnsi="Times New Roman" w:cs="Times New Roman"/>
          <w:b/>
          <w:bCs/>
          <w:color w:val="000000" w:themeColor="text1"/>
          <w:shd w:val="clear" w:color="auto" w:fill="FFFFFF"/>
        </w:rPr>
      </w:pPr>
      <w:r w:rsidRPr="00590778">
        <w:rPr>
          <w:rFonts w:ascii="Times New Roman" w:hAnsi="Times New Roman" w:cs="Times New Roman"/>
          <w:b/>
          <w:bCs/>
          <w:color w:val="000000" w:themeColor="text1"/>
        </w:rPr>
        <w:lastRenderedPageBreak/>
        <w:t xml:space="preserve">Supplementary Table </w:t>
      </w:r>
      <w:r w:rsidR="005A0CB3" w:rsidRPr="00590778">
        <w:rPr>
          <w:rFonts w:ascii="Times New Roman" w:hAnsi="Times New Roman" w:cs="Times New Roman"/>
          <w:b/>
          <w:bCs/>
          <w:color w:val="000000" w:themeColor="text1"/>
        </w:rPr>
        <w:t>S</w:t>
      </w:r>
      <w:r w:rsidR="00896822" w:rsidRPr="00590778">
        <w:rPr>
          <w:rFonts w:ascii="Times New Roman" w:hAnsi="Times New Roman" w:cs="Times New Roman"/>
          <w:b/>
          <w:bCs/>
          <w:color w:val="000000" w:themeColor="text1"/>
        </w:rPr>
        <w:t>4</w:t>
      </w:r>
      <w:r w:rsidRPr="00590778">
        <w:rPr>
          <w:rFonts w:ascii="Times New Roman" w:hAnsi="Times New Roman" w:cs="Times New Roman"/>
          <w:b/>
          <w:bCs/>
          <w:color w:val="000000" w:themeColor="text1"/>
        </w:rPr>
        <w:t>.</w:t>
      </w:r>
      <w:r w:rsidR="0032134D" w:rsidRPr="00590778">
        <w:rPr>
          <w:rFonts w:ascii="Times New Roman" w:hAnsi="Times New Roman" w:cs="Times New Roman"/>
          <w:b/>
          <w:bCs/>
          <w:color w:val="000000" w:themeColor="text1"/>
          <w:shd w:val="clear" w:color="auto" w:fill="FFFFFF"/>
        </w:rPr>
        <w:t xml:space="preserve"> </w:t>
      </w:r>
      <w:r w:rsidR="00813617" w:rsidRPr="00590778">
        <w:rPr>
          <w:rFonts w:ascii="Times New Roman" w:hAnsi="Times New Roman" w:cs="Times New Roman"/>
          <w:color w:val="000000" w:themeColor="text1"/>
          <w:shd w:val="clear" w:color="auto" w:fill="FFFFFF"/>
        </w:rPr>
        <w:t>Differential performance of eGFR and ACR categories: feature importance and odds ratios by cohort</w:t>
      </w:r>
    </w:p>
    <w:tbl>
      <w:tblPr>
        <w:tblW w:w="5000" w:type="pct"/>
        <w:tblCellMar>
          <w:left w:w="0" w:type="dxa"/>
          <w:right w:w="0" w:type="dxa"/>
        </w:tblCellMar>
        <w:tblLook w:val="0600" w:firstRow="0" w:lastRow="0" w:firstColumn="0" w:lastColumn="0" w:noHBand="1" w:noVBand="1"/>
      </w:tblPr>
      <w:tblGrid>
        <w:gridCol w:w="813"/>
        <w:gridCol w:w="819"/>
        <w:gridCol w:w="1235"/>
        <w:gridCol w:w="493"/>
        <w:gridCol w:w="816"/>
        <w:gridCol w:w="890"/>
        <w:gridCol w:w="37"/>
        <w:gridCol w:w="813"/>
        <w:gridCol w:w="816"/>
        <w:gridCol w:w="1235"/>
        <w:gridCol w:w="708"/>
        <w:gridCol w:w="816"/>
        <w:gridCol w:w="890"/>
        <w:gridCol w:w="37"/>
        <w:gridCol w:w="816"/>
        <w:gridCol w:w="816"/>
        <w:gridCol w:w="1235"/>
        <w:gridCol w:w="493"/>
        <w:gridCol w:w="819"/>
        <w:gridCol w:w="801"/>
      </w:tblGrid>
      <w:tr w:rsidR="004568FA" w:rsidRPr="00590778" w14:paraId="229666A0" w14:textId="77777777" w:rsidTr="00897CE7">
        <w:trPr>
          <w:trHeight w:hRule="exact" w:val="567"/>
        </w:trPr>
        <w:tc>
          <w:tcPr>
            <w:tcW w:w="264" w:type="pct"/>
            <w:tcBorders>
              <w:top w:val="single" w:sz="4" w:space="0" w:color="auto"/>
            </w:tcBorders>
            <w:vAlign w:val="center"/>
          </w:tcPr>
          <w:p w14:paraId="756433BA" w14:textId="77777777" w:rsidR="007C637A" w:rsidRPr="00590778" w:rsidRDefault="007C637A" w:rsidP="007C637A">
            <w:pPr>
              <w:spacing w:line="300" w:lineRule="auto"/>
              <w:jc w:val="center"/>
              <w:rPr>
                <w:rFonts w:ascii="Times New Roman" w:hAnsi="Times New Roman" w:cs="Times New Roman"/>
                <w:b/>
                <w:bCs/>
                <w:color w:val="000000" w:themeColor="text1"/>
              </w:rPr>
            </w:pPr>
          </w:p>
        </w:tc>
        <w:tc>
          <w:tcPr>
            <w:tcW w:w="1381" w:type="pct"/>
            <w:gridSpan w:val="5"/>
            <w:tcBorders>
              <w:top w:val="single" w:sz="4" w:space="0" w:color="auto"/>
              <w:left w:val="nil"/>
              <w:bottom w:val="single" w:sz="8" w:space="0" w:color="000000"/>
              <w:right w:val="nil"/>
            </w:tcBorders>
            <w:tcMar>
              <w:top w:w="15" w:type="dxa"/>
              <w:left w:w="15" w:type="dxa"/>
              <w:bottom w:w="0" w:type="dxa"/>
              <w:right w:w="15" w:type="dxa"/>
            </w:tcMar>
            <w:vAlign w:val="center"/>
            <w:hideMark/>
          </w:tcPr>
          <w:p w14:paraId="6C448F88" w14:textId="138BCDD6" w:rsidR="007C637A" w:rsidRPr="00590778" w:rsidRDefault="007C637A" w:rsidP="007C637A">
            <w:pPr>
              <w:spacing w:line="300" w:lineRule="auto"/>
              <w:jc w:val="center"/>
              <w:rPr>
                <w:rFonts w:ascii="Times New Roman" w:hAnsi="Times New Roman" w:cs="Times New Roman"/>
                <w:b/>
                <w:bCs/>
                <w:color w:val="000000" w:themeColor="text1"/>
              </w:rPr>
            </w:pPr>
            <w:r w:rsidRPr="00590778">
              <w:rPr>
                <w:rFonts w:ascii="Times New Roman" w:hAnsi="Times New Roman" w:cs="Times New Roman"/>
                <w:b/>
                <w:bCs/>
                <w:color w:val="000000" w:themeColor="text1"/>
              </w:rPr>
              <w:t>Healthy cohort</w:t>
            </w:r>
          </w:p>
        </w:tc>
        <w:tc>
          <w:tcPr>
            <w:tcW w:w="12" w:type="pct"/>
            <w:tcBorders>
              <w:top w:val="single" w:sz="4" w:space="0" w:color="auto"/>
              <w:left w:val="nil"/>
              <w:bottom w:val="nil"/>
              <w:right w:val="nil"/>
            </w:tcBorders>
            <w:tcMar>
              <w:top w:w="15" w:type="dxa"/>
              <w:left w:w="15" w:type="dxa"/>
              <w:bottom w:w="0" w:type="dxa"/>
              <w:right w:w="15" w:type="dxa"/>
            </w:tcMar>
            <w:vAlign w:val="center"/>
            <w:hideMark/>
          </w:tcPr>
          <w:p w14:paraId="1D434BFF" w14:textId="77777777" w:rsidR="007C637A" w:rsidRPr="00590778" w:rsidRDefault="007C637A" w:rsidP="007C637A">
            <w:pPr>
              <w:spacing w:line="300" w:lineRule="auto"/>
              <w:jc w:val="center"/>
              <w:rPr>
                <w:rFonts w:ascii="Times New Roman" w:hAnsi="Times New Roman" w:cs="Times New Roman"/>
                <w:b/>
                <w:bCs/>
                <w:color w:val="000000" w:themeColor="text1"/>
              </w:rPr>
            </w:pPr>
          </w:p>
        </w:tc>
        <w:tc>
          <w:tcPr>
            <w:tcW w:w="264" w:type="pct"/>
            <w:tcBorders>
              <w:top w:val="single" w:sz="4" w:space="0" w:color="auto"/>
            </w:tcBorders>
            <w:vAlign w:val="center"/>
          </w:tcPr>
          <w:p w14:paraId="2FD5DFBF" w14:textId="77777777" w:rsidR="007C637A" w:rsidRPr="00590778" w:rsidRDefault="007C637A" w:rsidP="007C637A">
            <w:pPr>
              <w:spacing w:line="300" w:lineRule="auto"/>
              <w:jc w:val="center"/>
              <w:rPr>
                <w:rFonts w:ascii="Times New Roman" w:hAnsi="Times New Roman" w:cs="Times New Roman"/>
                <w:b/>
                <w:bCs/>
                <w:color w:val="000000" w:themeColor="text1"/>
              </w:rPr>
            </w:pPr>
          </w:p>
        </w:tc>
        <w:tc>
          <w:tcPr>
            <w:tcW w:w="1450" w:type="pct"/>
            <w:gridSpan w:val="5"/>
            <w:tcBorders>
              <w:top w:val="single" w:sz="4" w:space="0" w:color="auto"/>
              <w:left w:val="nil"/>
              <w:bottom w:val="single" w:sz="8" w:space="0" w:color="000000"/>
              <w:right w:val="nil"/>
            </w:tcBorders>
            <w:tcMar>
              <w:top w:w="15" w:type="dxa"/>
              <w:left w:w="15" w:type="dxa"/>
              <w:bottom w:w="0" w:type="dxa"/>
              <w:right w:w="15" w:type="dxa"/>
            </w:tcMar>
            <w:vAlign w:val="center"/>
            <w:hideMark/>
          </w:tcPr>
          <w:p w14:paraId="39C72538" w14:textId="26373AC2" w:rsidR="007C637A" w:rsidRPr="00590778" w:rsidRDefault="007C637A" w:rsidP="007C637A">
            <w:pPr>
              <w:spacing w:line="300" w:lineRule="auto"/>
              <w:jc w:val="center"/>
              <w:rPr>
                <w:rFonts w:ascii="Times New Roman" w:hAnsi="Times New Roman" w:cs="Times New Roman"/>
                <w:b/>
                <w:bCs/>
                <w:color w:val="000000" w:themeColor="text1"/>
              </w:rPr>
            </w:pPr>
            <w:r w:rsidRPr="00590778">
              <w:rPr>
                <w:rFonts w:ascii="Times New Roman" w:hAnsi="Times New Roman" w:cs="Times New Roman"/>
                <w:b/>
                <w:bCs/>
                <w:color w:val="000000" w:themeColor="text1"/>
              </w:rPr>
              <w:t>Comorbidity cohort</w:t>
            </w:r>
          </w:p>
        </w:tc>
        <w:tc>
          <w:tcPr>
            <w:tcW w:w="12" w:type="pct"/>
            <w:tcBorders>
              <w:top w:val="single" w:sz="4" w:space="0" w:color="auto"/>
              <w:left w:val="nil"/>
              <w:bottom w:val="nil"/>
              <w:right w:val="nil"/>
            </w:tcBorders>
            <w:tcMar>
              <w:top w:w="15" w:type="dxa"/>
              <w:left w:w="15" w:type="dxa"/>
              <w:bottom w:w="0" w:type="dxa"/>
              <w:right w:w="15" w:type="dxa"/>
            </w:tcMar>
            <w:vAlign w:val="center"/>
            <w:hideMark/>
          </w:tcPr>
          <w:p w14:paraId="27EB95EF" w14:textId="77777777" w:rsidR="007C637A" w:rsidRPr="00590778" w:rsidRDefault="007C637A" w:rsidP="007C637A">
            <w:pPr>
              <w:spacing w:line="300" w:lineRule="auto"/>
              <w:jc w:val="center"/>
              <w:rPr>
                <w:rFonts w:ascii="Times New Roman" w:hAnsi="Times New Roman" w:cs="Times New Roman"/>
                <w:b/>
                <w:bCs/>
                <w:color w:val="000000" w:themeColor="text1"/>
              </w:rPr>
            </w:pPr>
          </w:p>
        </w:tc>
        <w:tc>
          <w:tcPr>
            <w:tcW w:w="265" w:type="pct"/>
            <w:tcBorders>
              <w:top w:val="single" w:sz="4" w:space="0" w:color="auto"/>
            </w:tcBorders>
            <w:vAlign w:val="center"/>
          </w:tcPr>
          <w:p w14:paraId="46AAE2BD" w14:textId="77777777" w:rsidR="007C637A" w:rsidRPr="00590778" w:rsidRDefault="007C637A" w:rsidP="007C637A">
            <w:pPr>
              <w:spacing w:line="300" w:lineRule="auto"/>
              <w:jc w:val="center"/>
              <w:rPr>
                <w:rFonts w:ascii="Times New Roman" w:hAnsi="Times New Roman" w:cs="Times New Roman"/>
                <w:b/>
                <w:bCs/>
                <w:color w:val="000000" w:themeColor="text1"/>
              </w:rPr>
            </w:pPr>
          </w:p>
        </w:tc>
        <w:tc>
          <w:tcPr>
            <w:tcW w:w="1353" w:type="pct"/>
            <w:gridSpan w:val="5"/>
            <w:tcBorders>
              <w:top w:val="single" w:sz="4" w:space="0" w:color="auto"/>
              <w:left w:val="nil"/>
              <w:bottom w:val="single" w:sz="8" w:space="0" w:color="000000"/>
              <w:right w:val="nil"/>
            </w:tcBorders>
            <w:tcMar>
              <w:top w:w="15" w:type="dxa"/>
              <w:left w:w="15" w:type="dxa"/>
              <w:bottom w:w="0" w:type="dxa"/>
              <w:right w:w="15" w:type="dxa"/>
            </w:tcMar>
            <w:vAlign w:val="center"/>
            <w:hideMark/>
          </w:tcPr>
          <w:p w14:paraId="13E3BB55" w14:textId="729B30C5" w:rsidR="007C637A" w:rsidRPr="00590778" w:rsidRDefault="007C637A" w:rsidP="007C637A">
            <w:pPr>
              <w:spacing w:line="300" w:lineRule="auto"/>
              <w:jc w:val="center"/>
              <w:rPr>
                <w:rFonts w:ascii="Times New Roman" w:hAnsi="Times New Roman" w:cs="Times New Roman"/>
                <w:b/>
                <w:bCs/>
                <w:color w:val="000000" w:themeColor="text1"/>
              </w:rPr>
            </w:pPr>
            <w:r w:rsidRPr="00590778">
              <w:rPr>
                <w:rFonts w:ascii="Times New Roman" w:hAnsi="Times New Roman" w:cs="Times New Roman"/>
                <w:b/>
                <w:bCs/>
                <w:color w:val="000000" w:themeColor="text1"/>
              </w:rPr>
              <w:t>CKD cohort</w:t>
            </w:r>
          </w:p>
        </w:tc>
      </w:tr>
      <w:tr w:rsidR="004568FA" w:rsidRPr="00590778" w14:paraId="7F00A97E" w14:textId="77777777" w:rsidTr="007C637A">
        <w:trPr>
          <w:trHeight w:hRule="exact" w:val="567"/>
        </w:trPr>
        <w:tc>
          <w:tcPr>
            <w:tcW w:w="530" w:type="pct"/>
            <w:gridSpan w:val="2"/>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7EEBCB2F" w14:textId="77777777" w:rsidR="007C637A" w:rsidRPr="00590778" w:rsidRDefault="007C637A" w:rsidP="007C637A">
            <w:pPr>
              <w:spacing w:line="300" w:lineRule="auto"/>
              <w:jc w:val="center"/>
              <w:rPr>
                <w:rFonts w:ascii="Times New Roman" w:hAnsi="Times New Roman" w:cs="Times New Roman"/>
                <w:b/>
                <w:bCs/>
                <w:color w:val="000000" w:themeColor="text1"/>
              </w:rPr>
            </w:pPr>
            <w:r w:rsidRPr="00590778">
              <w:rPr>
                <w:rFonts w:ascii="Times New Roman" w:hAnsi="Times New Roman" w:cs="Times New Roman"/>
                <w:b/>
                <w:bCs/>
                <w:color w:val="000000" w:themeColor="text1"/>
              </w:rPr>
              <w:t>Feature</w:t>
            </w:r>
          </w:p>
        </w:tc>
        <w:tc>
          <w:tcPr>
            <w:tcW w:w="401" w:type="pct"/>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36DEB9B8" w14:textId="77777777" w:rsidR="007C637A" w:rsidRPr="00590778" w:rsidRDefault="007C637A" w:rsidP="007C637A">
            <w:pPr>
              <w:spacing w:line="300" w:lineRule="auto"/>
              <w:jc w:val="center"/>
              <w:rPr>
                <w:rFonts w:ascii="Times New Roman" w:hAnsi="Times New Roman" w:cs="Times New Roman"/>
                <w:b/>
                <w:bCs/>
                <w:color w:val="000000" w:themeColor="text1"/>
              </w:rPr>
            </w:pPr>
            <w:r w:rsidRPr="00590778">
              <w:rPr>
                <w:rFonts w:ascii="Times New Roman" w:hAnsi="Times New Roman" w:cs="Times New Roman"/>
                <w:b/>
                <w:bCs/>
                <w:color w:val="000000" w:themeColor="text1"/>
              </w:rPr>
              <w:t>Importance</w:t>
            </w:r>
          </w:p>
        </w:tc>
        <w:tc>
          <w:tcPr>
            <w:tcW w:w="160" w:type="pct"/>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1987940C" w14:textId="77777777" w:rsidR="007C637A" w:rsidRPr="00590778" w:rsidRDefault="007C637A" w:rsidP="007C637A">
            <w:pPr>
              <w:spacing w:line="300" w:lineRule="auto"/>
              <w:jc w:val="center"/>
              <w:rPr>
                <w:rFonts w:ascii="Times New Roman" w:hAnsi="Times New Roman" w:cs="Times New Roman"/>
                <w:b/>
                <w:bCs/>
                <w:color w:val="000000" w:themeColor="text1"/>
              </w:rPr>
            </w:pPr>
            <w:r w:rsidRPr="00590778">
              <w:rPr>
                <w:rFonts w:ascii="Times New Roman" w:hAnsi="Times New Roman" w:cs="Times New Roman"/>
                <w:b/>
                <w:bCs/>
                <w:color w:val="000000" w:themeColor="text1"/>
              </w:rPr>
              <w:t>OR</w:t>
            </w:r>
          </w:p>
        </w:tc>
        <w:tc>
          <w:tcPr>
            <w:tcW w:w="265" w:type="pct"/>
            <w:tcBorders>
              <w:bottom w:val="single" w:sz="4" w:space="0" w:color="auto"/>
            </w:tcBorders>
            <w:vAlign w:val="center"/>
          </w:tcPr>
          <w:p w14:paraId="38BED627" w14:textId="313A2C29" w:rsidR="007C637A" w:rsidRPr="00590778" w:rsidRDefault="00F70BAD" w:rsidP="007C637A">
            <w:pPr>
              <w:spacing w:line="300" w:lineRule="auto"/>
              <w:jc w:val="center"/>
              <w:rPr>
                <w:rFonts w:ascii="Times New Roman" w:hAnsi="Times New Roman" w:cs="Times New Roman"/>
                <w:b/>
                <w:bCs/>
                <w:i/>
                <w:iCs/>
                <w:color w:val="000000" w:themeColor="text1"/>
              </w:rPr>
            </w:pPr>
            <w:r w:rsidRPr="00590778">
              <w:rPr>
                <w:rFonts w:ascii="Times New Roman" w:hAnsi="Times New Roman" w:cs="Times New Roman"/>
                <w:b/>
                <w:bCs/>
                <w:i/>
                <w:iCs/>
                <w:color w:val="000000" w:themeColor="text1"/>
              </w:rPr>
              <w:t>P</w:t>
            </w:r>
            <w:r w:rsidR="007C637A" w:rsidRPr="00590778">
              <w:rPr>
                <w:rFonts w:ascii="Times New Roman" w:hAnsi="Times New Roman" w:cs="Times New Roman"/>
                <w:b/>
                <w:bCs/>
                <w:i/>
                <w:iCs/>
                <w:color w:val="000000" w:themeColor="text1"/>
              </w:rPr>
              <w:t xml:space="preserve"> value</w:t>
            </w:r>
          </w:p>
        </w:tc>
        <w:tc>
          <w:tcPr>
            <w:tcW w:w="289" w:type="pct"/>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01475FCA" w14:textId="5F3E9FC1" w:rsidR="007C637A" w:rsidRPr="00590778" w:rsidRDefault="007C637A" w:rsidP="007C637A">
            <w:pPr>
              <w:spacing w:line="300" w:lineRule="auto"/>
              <w:jc w:val="center"/>
              <w:rPr>
                <w:rFonts w:ascii="Times New Roman" w:hAnsi="Times New Roman" w:cs="Times New Roman"/>
                <w:b/>
                <w:bCs/>
                <w:color w:val="000000" w:themeColor="text1"/>
              </w:rPr>
            </w:pPr>
            <w:r w:rsidRPr="00590778">
              <w:rPr>
                <w:rFonts w:ascii="Times New Roman" w:hAnsi="Times New Roman" w:cs="Times New Roman"/>
                <w:b/>
                <w:bCs/>
                <w:i/>
                <w:iCs/>
                <w:color w:val="000000" w:themeColor="text1"/>
              </w:rPr>
              <w:t>q value</w:t>
            </w:r>
          </w:p>
        </w:tc>
        <w:tc>
          <w:tcPr>
            <w:tcW w:w="12" w:type="pct"/>
            <w:tcBorders>
              <w:top w:val="nil"/>
              <w:left w:val="nil"/>
              <w:bottom w:val="single" w:sz="8" w:space="0" w:color="000000"/>
              <w:right w:val="nil"/>
            </w:tcBorders>
            <w:tcMar>
              <w:top w:w="15" w:type="dxa"/>
              <w:left w:w="15" w:type="dxa"/>
              <w:bottom w:w="0" w:type="dxa"/>
              <w:right w:w="15" w:type="dxa"/>
            </w:tcMar>
            <w:vAlign w:val="center"/>
            <w:hideMark/>
          </w:tcPr>
          <w:p w14:paraId="2A326A2D" w14:textId="77777777" w:rsidR="007C637A" w:rsidRPr="00590778" w:rsidRDefault="007C637A" w:rsidP="007C637A">
            <w:pPr>
              <w:spacing w:line="300" w:lineRule="auto"/>
              <w:jc w:val="center"/>
              <w:rPr>
                <w:rFonts w:ascii="Times New Roman" w:hAnsi="Times New Roman" w:cs="Times New Roman"/>
                <w:b/>
                <w:bCs/>
                <w:color w:val="000000" w:themeColor="text1"/>
              </w:rPr>
            </w:pPr>
          </w:p>
        </w:tc>
        <w:tc>
          <w:tcPr>
            <w:tcW w:w="529" w:type="pct"/>
            <w:gridSpan w:val="2"/>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6B20171D" w14:textId="77777777" w:rsidR="007C637A" w:rsidRPr="00590778" w:rsidRDefault="007C637A" w:rsidP="007C637A">
            <w:pPr>
              <w:spacing w:line="300" w:lineRule="auto"/>
              <w:jc w:val="center"/>
              <w:rPr>
                <w:rFonts w:ascii="Times New Roman" w:hAnsi="Times New Roman" w:cs="Times New Roman"/>
                <w:b/>
                <w:bCs/>
                <w:color w:val="000000" w:themeColor="text1"/>
              </w:rPr>
            </w:pPr>
            <w:r w:rsidRPr="00590778">
              <w:rPr>
                <w:rFonts w:ascii="Times New Roman" w:hAnsi="Times New Roman" w:cs="Times New Roman"/>
                <w:b/>
                <w:bCs/>
                <w:color w:val="000000" w:themeColor="text1"/>
              </w:rPr>
              <w:t>Feature</w:t>
            </w:r>
          </w:p>
        </w:tc>
        <w:tc>
          <w:tcPr>
            <w:tcW w:w="401" w:type="pct"/>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4923A5EA" w14:textId="77777777" w:rsidR="007C637A" w:rsidRPr="00590778" w:rsidRDefault="007C637A" w:rsidP="007C637A">
            <w:pPr>
              <w:spacing w:line="300" w:lineRule="auto"/>
              <w:jc w:val="center"/>
              <w:rPr>
                <w:rFonts w:ascii="Times New Roman" w:hAnsi="Times New Roman" w:cs="Times New Roman"/>
                <w:b/>
                <w:bCs/>
                <w:color w:val="000000" w:themeColor="text1"/>
              </w:rPr>
            </w:pPr>
            <w:r w:rsidRPr="00590778">
              <w:rPr>
                <w:rFonts w:ascii="Times New Roman" w:hAnsi="Times New Roman" w:cs="Times New Roman"/>
                <w:b/>
                <w:bCs/>
                <w:color w:val="000000" w:themeColor="text1"/>
              </w:rPr>
              <w:t>Importance</w:t>
            </w:r>
          </w:p>
        </w:tc>
        <w:tc>
          <w:tcPr>
            <w:tcW w:w="230" w:type="pct"/>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77A0D327" w14:textId="77777777" w:rsidR="007C637A" w:rsidRPr="00590778" w:rsidRDefault="007C637A" w:rsidP="007C637A">
            <w:pPr>
              <w:spacing w:line="300" w:lineRule="auto"/>
              <w:jc w:val="center"/>
              <w:rPr>
                <w:rFonts w:ascii="Times New Roman" w:hAnsi="Times New Roman" w:cs="Times New Roman"/>
                <w:b/>
                <w:bCs/>
                <w:color w:val="000000" w:themeColor="text1"/>
              </w:rPr>
            </w:pPr>
            <w:r w:rsidRPr="00590778">
              <w:rPr>
                <w:rFonts w:ascii="Times New Roman" w:hAnsi="Times New Roman" w:cs="Times New Roman"/>
                <w:b/>
                <w:bCs/>
                <w:color w:val="000000" w:themeColor="text1"/>
              </w:rPr>
              <w:t>OR</w:t>
            </w:r>
          </w:p>
        </w:tc>
        <w:tc>
          <w:tcPr>
            <w:tcW w:w="265" w:type="pct"/>
            <w:vAlign w:val="center"/>
          </w:tcPr>
          <w:p w14:paraId="74D14414" w14:textId="66D6115F" w:rsidR="007C637A" w:rsidRPr="00590778" w:rsidRDefault="00F70BAD" w:rsidP="007C637A">
            <w:pPr>
              <w:spacing w:line="300" w:lineRule="auto"/>
              <w:jc w:val="center"/>
              <w:rPr>
                <w:rFonts w:ascii="Times New Roman" w:hAnsi="Times New Roman" w:cs="Times New Roman"/>
                <w:b/>
                <w:bCs/>
                <w:i/>
                <w:iCs/>
                <w:color w:val="000000" w:themeColor="text1"/>
              </w:rPr>
            </w:pPr>
            <w:r w:rsidRPr="00590778">
              <w:rPr>
                <w:rFonts w:ascii="Times New Roman" w:hAnsi="Times New Roman" w:cs="Times New Roman"/>
                <w:b/>
                <w:bCs/>
                <w:i/>
                <w:iCs/>
                <w:color w:val="000000" w:themeColor="text1"/>
              </w:rPr>
              <w:t>P</w:t>
            </w:r>
            <w:r w:rsidR="007C637A" w:rsidRPr="00590778">
              <w:rPr>
                <w:rFonts w:ascii="Times New Roman" w:hAnsi="Times New Roman" w:cs="Times New Roman"/>
                <w:b/>
                <w:bCs/>
                <w:i/>
                <w:iCs/>
                <w:color w:val="000000" w:themeColor="text1"/>
              </w:rPr>
              <w:t xml:space="preserve"> value</w:t>
            </w:r>
          </w:p>
        </w:tc>
        <w:tc>
          <w:tcPr>
            <w:tcW w:w="289" w:type="pct"/>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6FD17481" w14:textId="53A22DDC" w:rsidR="007C637A" w:rsidRPr="00590778" w:rsidRDefault="007C637A" w:rsidP="007C637A">
            <w:pPr>
              <w:spacing w:line="300" w:lineRule="auto"/>
              <w:jc w:val="center"/>
              <w:rPr>
                <w:rFonts w:ascii="Times New Roman" w:hAnsi="Times New Roman" w:cs="Times New Roman"/>
                <w:b/>
                <w:bCs/>
                <w:color w:val="000000" w:themeColor="text1"/>
              </w:rPr>
            </w:pPr>
            <w:r w:rsidRPr="00590778">
              <w:rPr>
                <w:rFonts w:ascii="Times New Roman" w:hAnsi="Times New Roman" w:cs="Times New Roman"/>
                <w:b/>
                <w:bCs/>
                <w:i/>
                <w:iCs/>
                <w:color w:val="000000" w:themeColor="text1"/>
              </w:rPr>
              <w:t>q value</w:t>
            </w:r>
          </w:p>
        </w:tc>
        <w:tc>
          <w:tcPr>
            <w:tcW w:w="12" w:type="pct"/>
            <w:tcBorders>
              <w:top w:val="nil"/>
              <w:left w:val="nil"/>
              <w:bottom w:val="single" w:sz="8" w:space="0" w:color="000000"/>
              <w:right w:val="nil"/>
            </w:tcBorders>
            <w:tcMar>
              <w:top w:w="15" w:type="dxa"/>
              <w:left w:w="15" w:type="dxa"/>
              <w:bottom w:w="0" w:type="dxa"/>
              <w:right w:w="15" w:type="dxa"/>
            </w:tcMar>
            <w:vAlign w:val="center"/>
            <w:hideMark/>
          </w:tcPr>
          <w:p w14:paraId="516F63EF" w14:textId="77777777" w:rsidR="007C637A" w:rsidRPr="00590778" w:rsidRDefault="007C637A" w:rsidP="007C637A">
            <w:pPr>
              <w:spacing w:line="300" w:lineRule="auto"/>
              <w:jc w:val="center"/>
              <w:rPr>
                <w:rFonts w:ascii="Times New Roman" w:hAnsi="Times New Roman" w:cs="Times New Roman"/>
                <w:b/>
                <w:bCs/>
                <w:color w:val="000000" w:themeColor="text1"/>
              </w:rPr>
            </w:pPr>
          </w:p>
        </w:tc>
        <w:tc>
          <w:tcPr>
            <w:tcW w:w="530" w:type="pct"/>
            <w:gridSpan w:val="2"/>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3959B765" w14:textId="77777777" w:rsidR="007C637A" w:rsidRPr="00590778" w:rsidRDefault="007C637A" w:rsidP="007C637A">
            <w:pPr>
              <w:spacing w:line="300" w:lineRule="auto"/>
              <w:jc w:val="center"/>
              <w:rPr>
                <w:rFonts w:ascii="Times New Roman" w:hAnsi="Times New Roman" w:cs="Times New Roman"/>
                <w:b/>
                <w:bCs/>
                <w:color w:val="000000" w:themeColor="text1"/>
              </w:rPr>
            </w:pPr>
            <w:r w:rsidRPr="00590778">
              <w:rPr>
                <w:rFonts w:ascii="Times New Roman" w:hAnsi="Times New Roman" w:cs="Times New Roman"/>
                <w:b/>
                <w:bCs/>
                <w:color w:val="000000" w:themeColor="text1"/>
              </w:rPr>
              <w:t>Feature</w:t>
            </w:r>
          </w:p>
        </w:tc>
        <w:tc>
          <w:tcPr>
            <w:tcW w:w="401" w:type="pct"/>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41DD62ED" w14:textId="77777777" w:rsidR="007C637A" w:rsidRPr="00590778" w:rsidRDefault="007C637A" w:rsidP="007C637A">
            <w:pPr>
              <w:spacing w:line="300" w:lineRule="auto"/>
              <w:jc w:val="center"/>
              <w:rPr>
                <w:rFonts w:ascii="Times New Roman" w:hAnsi="Times New Roman" w:cs="Times New Roman"/>
                <w:b/>
                <w:bCs/>
                <w:color w:val="000000" w:themeColor="text1"/>
              </w:rPr>
            </w:pPr>
            <w:r w:rsidRPr="00590778">
              <w:rPr>
                <w:rFonts w:ascii="Times New Roman" w:hAnsi="Times New Roman" w:cs="Times New Roman"/>
                <w:b/>
                <w:bCs/>
                <w:color w:val="000000" w:themeColor="text1"/>
              </w:rPr>
              <w:t>Importance</w:t>
            </w:r>
          </w:p>
        </w:tc>
        <w:tc>
          <w:tcPr>
            <w:tcW w:w="160" w:type="pct"/>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6528F1A4" w14:textId="77777777" w:rsidR="007C637A" w:rsidRPr="00590778" w:rsidRDefault="007C637A" w:rsidP="007C637A">
            <w:pPr>
              <w:spacing w:line="300" w:lineRule="auto"/>
              <w:jc w:val="center"/>
              <w:rPr>
                <w:rFonts w:ascii="Times New Roman" w:hAnsi="Times New Roman" w:cs="Times New Roman"/>
                <w:b/>
                <w:bCs/>
                <w:color w:val="000000" w:themeColor="text1"/>
              </w:rPr>
            </w:pPr>
            <w:r w:rsidRPr="00590778">
              <w:rPr>
                <w:rFonts w:ascii="Times New Roman" w:hAnsi="Times New Roman" w:cs="Times New Roman"/>
                <w:b/>
                <w:bCs/>
                <w:color w:val="000000" w:themeColor="text1"/>
              </w:rPr>
              <w:t>OR</w:t>
            </w:r>
          </w:p>
        </w:tc>
        <w:tc>
          <w:tcPr>
            <w:tcW w:w="266" w:type="pct"/>
            <w:tcBorders>
              <w:bottom w:val="single" w:sz="4" w:space="0" w:color="auto"/>
            </w:tcBorders>
            <w:vAlign w:val="center"/>
          </w:tcPr>
          <w:p w14:paraId="56A2C531" w14:textId="680D568E" w:rsidR="007C637A" w:rsidRPr="00590778" w:rsidRDefault="00F70BAD" w:rsidP="007C637A">
            <w:pPr>
              <w:spacing w:line="300" w:lineRule="auto"/>
              <w:jc w:val="center"/>
              <w:rPr>
                <w:rFonts w:ascii="Times New Roman" w:hAnsi="Times New Roman" w:cs="Times New Roman"/>
                <w:b/>
                <w:bCs/>
                <w:i/>
                <w:iCs/>
                <w:color w:val="000000" w:themeColor="text1"/>
              </w:rPr>
            </w:pPr>
            <w:r w:rsidRPr="00590778">
              <w:rPr>
                <w:rFonts w:ascii="Times New Roman" w:hAnsi="Times New Roman" w:cs="Times New Roman"/>
                <w:b/>
                <w:bCs/>
                <w:i/>
                <w:iCs/>
                <w:color w:val="000000" w:themeColor="text1"/>
              </w:rPr>
              <w:t>P</w:t>
            </w:r>
            <w:r w:rsidR="007C637A" w:rsidRPr="00590778">
              <w:rPr>
                <w:rFonts w:ascii="Times New Roman" w:hAnsi="Times New Roman" w:cs="Times New Roman"/>
                <w:b/>
                <w:bCs/>
                <w:i/>
                <w:iCs/>
                <w:color w:val="000000" w:themeColor="text1"/>
              </w:rPr>
              <w:t xml:space="preserve"> value</w:t>
            </w:r>
          </w:p>
        </w:tc>
        <w:tc>
          <w:tcPr>
            <w:tcW w:w="261" w:type="pct"/>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6ECB0EB8" w14:textId="426E8070" w:rsidR="007C637A" w:rsidRPr="00590778" w:rsidRDefault="007C637A" w:rsidP="007C637A">
            <w:pPr>
              <w:spacing w:line="300" w:lineRule="auto"/>
              <w:jc w:val="center"/>
              <w:rPr>
                <w:rFonts w:ascii="Times New Roman" w:hAnsi="Times New Roman" w:cs="Times New Roman"/>
                <w:b/>
                <w:bCs/>
                <w:color w:val="000000" w:themeColor="text1"/>
              </w:rPr>
            </w:pPr>
            <w:r w:rsidRPr="00590778">
              <w:rPr>
                <w:rFonts w:ascii="Times New Roman" w:hAnsi="Times New Roman" w:cs="Times New Roman"/>
                <w:b/>
                <w:bCs/>
                <w:i/>
                <w:iCs/>
                <w:color w:val="000000" w:themeColor="text1"/>
              </w:rPr>
              <w:t>q value</w:t>
            </w:r>
          </w:p>
        </w:tc>
      </w:tr>
      <w:tr w:rsidR="004568FA" w:rsidRPr="00590778" w14:paraId="524BABC2" w14:textId="77777777" w:rsidTr="00897CE7">
        <w:trPr>
          <w:trHeight w:hRule="exact" w:val="567"/>
        </w:trPr>
        <w:tc>
          <w:tcPr>
            <w:tcW w:w="530" w:type="pct"/>
            <w:gridSpan w:val="2"/>
            <w:tcBorders>
              <w:top w:val="single" w:sz="4" w:space="0" w:color="auto"/>
              <w:left w:val="nil"/>
              <w:bottom w:val="nil"/>
              <w:right w:val="nil"/>
            </w:tcBorders>
            <w:tcMar>
              <w:top w:w="15" w:type="dxa"/>
              <w:left w:w="15" w:type="dxa"/>
              <w:bottom w:w="0" w:type="dxa"/>
              <w:right w:w="15" w:type="dxa"/>
            </w:tcMar>
            <w:vAlign w:val="center"/>
            <w:hideMark/>
          </w:tcPr>
          <w:p w14:paraId="57734254" w14:textId="730CF84D"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eGFR &lt; 60</w:t>
            </w:r>
          </w:p>
        </w:tc>
        <w:tc>
          <w:tcPr>
            <w:tcW w:w="401" w:type="pct"/>
            <w:tcBorders>
              <w:top w:val="single" w:sz="4" w:space="0" w:color="auto"/>
              <w:left w:val="nil"/>
              <w:bottom w:val="nil"/>
              <w:right w:val="nil"/>
            </w:tcBorders>
            <w:tcMar>
              <w:top w:w="15" w:type="dxa"/>
              <w:left w:w="15" w:type="dxa"/>
              <w:bottom w:w="0" w:type="dxa"/>
              <w:right w:w="15" w:type="dxa"/>
            </w:tcMar>
            <w:vAlign w:val="center"/>
            <w:hideMark/>
          </w:tcPr>
          <w:p w14:paraId="7BC47E95" w14:textId="7A6C2943"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0.03</w:t>
            </w:r>
          </w:p>
        </w:tc>
        <w:tc>
          <w:tcPr>
            <w:tcW w:w="160" w:type="pct"/>
            <w:tcBorders>
              <w:top w:val="single" w:sz="4" w:space="0" w:color="auto"/>
              <w:left w:val="nil"/>
              <w:bottom w:val="nil"/>
              <w:right w:val="nil"/>
            </w:tcBorders>
            <w:tcMar>
              <w:top w:w="15" w:type="dxa"/>
              <w:left w:w="15" w:type="dxa"/>
              <w:bottom w:w="0" w:type="dxa"/>
              <w:right w:w="15" w:type="dxa"/>
            </w:tcMar>
            <w:vAlign w:val="center"/>
            <w:hideMark/>
          </w:tcPr>
          <w:p w14:paraId="3C3913D0" w14:textId="2277E893"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6.15</w:t>
            </w:r>
          </w:p>
        </w:tc>
        <w:tc>
          <w:tcPr>
            <w:tcW w:w="265" w:type="pct"/>
            <w:tcBorders>
              <w:top w:val="single" w:sz="4" w:space="0" w:color="auto"/>
            </w:tcBorders>
            <w:vAlign w:val="center"/>
          </w:tcPr>
          <w:p w14:paraId="4F3DDAC2" w14:textId="65A8D49B"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0.00</w:t>
            </w:r>
          </w:p>
        </w:tc>
        <w:tc>
          <w:tcPr>
            <w:tcW w:w="289" w:type="pct"/>
            <w:tcBorders>
              <w:top w:val="single" w:sz="4" w:space="0" w:color="auto"/>
              <w:left w:val="nil"/>
              <w:bottom w:val="nil"/>
              <w:right w:val="nil"/>
            </w:tcBorders>
            <w:tcMar>
              <w:top w:w="15" w:type="dxa"/>
              <w:left w:w="15" w:type="dxa"/>
              <w:bottom w:w="0" w:type="dxa"/>
              <w:right w:w="15" w:type="dxa"/>
            </w:tcMar>
            <w:vAlign w:val="center"/>
            <w:hideMark/>
          </w:tcPr>
          <w:p w14:paraId="74B9EBCD" w14:textId="24422B4C"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0.02</w:t>
            </w:r>
          </w:p>
        </w:tc>
        <w:tc>
          <w:tcPr>
            <w:tcW w:w="12" w:type="pct"/>
            <w:tcBorders>
              <w:top w:val="single" w:sz="4" w:space="0" w:color="auto"/>
              <w:left w:val="nil"/>
              <w:bottom w:val="nil"/>
              <w:right w:val="nil"/>
            </w:tcBorders>
            <w:tcMar>
              <w:top w:w="15" w:type="dxa"/>
              <w:left w:w="15" w:type="dxa"/>
              <w:bottom w:w="0" w:type="dxa"/>
              <w:right w:w="15" w:type="dxa"/>
            </w:tcMar>
            <w:vAlign w:val="center"/>
            <w:hideMark/>
          </w:tcPr>
          <w:p w14:paraId="1B97FE21" w14:textId="77777777" w:rsidR="007C637A" w:rsidRPr="00590778" w:rsidRDefault="007C637A" w:rsidP="007C637A">
            <w:pPr>
              <w:spacing w:line="300" w:lineRule="auto"/>
              <w:jc w:val="center"/>
              <w:rPr>
                <w:rFonts w:ascii="Times New Roman" w:hAnsi="Times New Roman" w:cs="Times New Roman"/>
                <w:color w:val="000000" w:themeColor="text1"/>
              </w:rPr>
            </w:pPr>
          </w:p>
        </w:tc>
        <w:tc>
          <w:tcPr>
            <w:tcW w:w="529" w:type="pct"/>
            <w:gridSpan w:val="2"/>
            <w:tcBorders>
              <w:top w:val="single" w:sz="4" w:space="0" w:color="auto"/>
              <w:left w:val="nil"/>
              <w:bottom w:val="nil"/>
              <w:right w:val="nil"/>
            </w:tcBorders>
            <w:tcMar>
              <w:top w:w="15" w:type="dxa"/>
              <w:left w:w="15" w:type="dxa"/>
              <w:bottom w:w="0" w:type="dxa"/>
              <w:right w:w="15" w:type="dxa"/>
            </w:tcMar>
            <w:vAlign w:val="center"/>
            <w:hideMark/>
          </w:tcPr>
          <w:p w14:paraId="30FCE59F" w14:textId="74CAF9B1"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eGFR &lt; 60</w:t>
            </w:r>
          </w:p>
        </w:tc>
        <w:tc>
          <w:tcPr>
            <w:tcW w:w="401" w:type="pct"/>
            <w:tcBorders>
              <w:top w:val="single" w:sz="4" w:space="0" w:color="auto"/>
              <w:left w:val="nil"/>
              <w:bottom w:val="nil"/>
              <w:right w:val="nil"/>
            </w:tcBorders>
            <w:tcMar>
              <w:top w:w="15" w:type="dxa"/>
              <w:left w:w="15" w:type="dxa"/>
              <w:bottom w:w="0" w:type="dxa"/>
              <w:right w:w="15" w:type="dxa"/>
            </w:tcMar>
            <w:vAlign w:val="center"/>
            <w:hideMark/>
          </w:tcPr>
          <w:p w14:paraId="7101CFFD" w14:textId="51F9C82E"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0.03</w:t>
            </w:r>
          </w:p>
        </w:tc>
        <w:tc>
          <w:tcPr>
            <w:tcW w:w="230" w:type="pct"/>
            <w:tcBorders>
              <w:top w:val="single" w:sz="4" w:space="0" w:color="auto"/>
              <w:left w:val="nil"/>
              <w:bottom w:val="nil"/>
              <w:right w:val="nil"/>
            </w:tcBorders>
            <w:tcMar>
              <w:top w:w="15" w:type="dxa"/>
              <w:left w:w="15" w:type="dxa"/>
              <w:bottom w:w="0" w:type="dxa"/>
              <w:right w:w="15" w:type="dxa"/>
            </w:tcMar>
            <w:vAlign w:val="center"/>
            <w:hideMark/>
          </w:tcPr>
          <w:p w14:paraId="6D9504D5" w14:textId="76815E74"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2.18</w:t>
            </w:r>
          </w:p>
        </w:tc>
        <w:tc>
          <w:tcPr>
            <w:tcW w:w="265" w:type="pct"/>
            <w:tcBorders>
              <w:top w:val="single" w:sz="4" w:space="0" w:color="auto"/>
            </w:tcBorders>
            <w:vAlign w:val="center"/>
          </w:tcPr>
          <w:p w14:paraId="41A44747" w14:textId="09EBC3D5"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0.04</w:t>
            </w:r>
          </w:p>
        </w:tc>
        <w:tc>
          <w:tcPr>
            <w:tcW w:w="289" w:type="pct"/>
            <w:tcBorders>
              <w:top w:val="single" w:sz="4" w:space="0" w:color="auto"/>
              <w:left w:val="nil"/>
              <w:bottom w:val="nil"/>
              <w:right w:val="nil"/>
            </w:tcBorders>
            <w:tcMar>
              <w:top w:w="15" w:type="dxa"/>
              <w:left w:w="15" w:type="dxa"/>
              <w:bottom w:w="0" w:type="dxa"/>
              <w:right w:w="15" w:type="dxa"/>
            </w:tcMar>
            <w:vAlign w:val="center"/>
            <w:hideMark/>
          </w:tcPr>
          <w:p w14:paraId="08E75D30" w14:textId="1983B796"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0.04</w:t>
            </w:r>
          </w:p>
        </w:tc>
        <w:tc>
          <w:tcPr>
            <w:tcW w:w="12" w:type="pct"/>
            <w:tcBorders>
              <w:top w:val="single" w:sz="4" w:space="0" w:color="auto"/>
              <w:left w:val="nil"/>
              <w:bottom w:val="nil"/>
              <w:right w:val="nil"/>
            </w:tcBorders>
            <w:tcMar>
              <w:top w:w="15" w:type="dxa"/>
              <w:left w:w="15" w:type="dxa"/>
              <w:bottom w:w="0" w:type="dxa"/>
              <w:right w:w="15" w:type="dxa"/>
            </w:tcMar>
            <w:vAlign w:val="center"/>
            <w:hideMark/>
          </w:tcPr>
          <w:p w14:paraId="2EEEAD04" w14:textId="77777777" w:rsidR="007C637A" w:rsidRPr="00590778" w:rsidRDefault="007C637A" w:rsidP="007C637A">
            <w:pPr>
              <w:spacing w:line="300" w:lineRule="auto"/>
              <w:jc w:val="center"/>
              <w:rPr>
                <w:rFonts w:ascii="Times New Roman" w:hAnsi="Times New Roman" w:cs="Times New Roman"/>
                <w:color w:val="000000" w:themeColor="text1"/>
              </w:rPr>
            </w:pPr>
          </w:p>
        </w:tc>
        <w:tc>
          <w:tcPr>
            <w:tcW w:w="530" w:type="pct"/>
            <w:gridSpan w:val="2"/>
            <w:tcBorders>
              <w:top w:val="single" w:sz="4" w:space="0" w:color="auto"/>
              <w:left w:val="nil"/>
              <w:bottom w:val="nil"/>
              <w:right w:val="nil"/>
            </w:tcBorders>
            <w:tcMar>
              <w:top w:w="15" w:type="dxa"/>
              <w:left w:w="15" w:type="dxa"/>
              <w:bottom w:w="0" w:type="dxa"/>
              <w:right w:w="15" w:type="dxa"/>
            </w:tcMar>
            <w:vAlign w:val="center"/>
            <w:hideMark/>
          </w:tcPr>
          <w:p w14:paraId="15703D3C" w14:textId="034901E7"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eGFR &lt; 60</w:t>
            </w:r>
          </w:p>
        </w:tc>
        <w:tc>
          <w:tcPr>
            <w:tcW w:w="401" w:type="pct"/>
            <w:tcBorders>
              <w:top w:val="single" w:sz="4" w:space="0" w:color="auto"/>
              <w:left w:val="nil"/>
              <w:bottom w:val="nil"/>
              <w:right w:val="nil"/>
            </w:tcBorders>
            <w:tcMar>
              <w:top w:w="15" w:type="dxa"/>
              <w:left w:w="15" w:type="dxa"/>
              <w:bottom w:w="0" w:type="dxa"/>
              <w:right w:w="15" w:type="dxa"/>
            </w:tcMar>
            <w:vAlign w:val="center"/>
            <w:hideMark/>
          </w:tcPr>
          <w:p w14:paraId="0DE9E4EA" w14:textId="28A27E64"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0.04</w:t>
            </w:r>
          </w:p>
        </w:tc>
        <w:tc>
          <w:tcPr>
            <w:tcW w:w="160" w:type="pct"/>
            <w:tcBorders>
              <w:top w:val="single" w:sz="4" w:space="0" w:color="auto"/>
              <w:left w:val="nil"/>
              <w:bottom w:val="nil"/>
              <w:right w:val="nil"/>
            </w:tcBorders>
            <w:tcMar>
              <w:top w:w="15" w:type="dxa"/>
              <w:left w:w="15" w:type="dxa"/>
              <w:bottom w:w="0" w:type="dxa"/>
              <w:right w:w="15" w:type="dxa"/>
            </w:tcMar>
            <w:vAlign w:val="center"/>
            <w:hideMark/>
          </w:tcPr>
          <w:p w14:paraId="60FFAEBC" w14:textId="7CD78E74"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4.35</w:t>
            </w:r>
          </w:p>
        </w:tc>
        <w:tc>
          <w:tcPr>
            <w:tcW w:w="266" w:type="pct"/>
            <w:tcBorders>
              <w:top w:val="single" w:sz="4" w:space="0" w:color="auto"/>
            </w:tcBorders>
            <w:vAlign w:val="center"/>
          </w:tcPr>
          <w:p w14:paraId="1D9FD803" w14:textId="23A9DC9D"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0.00</w:t>
            </w:r>
          </w:p>
        </w:tc>
        <w:tc>
          <w:tcPr>
            <w:tcW w:w="261" w:type="pct"/>
            <w:tcBorders>
              <w:top w:val="single" w:sz="8" w:space="0" w:color="000000"/>
              <w:left w:val="nil"/>
              <w:bottom w:val="nil"/>
              <w:right w:val="nil"/>
            </w:tcBorders>
            <w:tcMar>
              <w:top w:w="15" w:type="dxa"/>
              <w:left w:w="15" w:type="dxa"/>
              <w:bottom w:w="0" w:type="dxa"/>
              <w:right w:w="15" w:type="dxa"/>
            </w:tcMar>
            <w:vAlign w:val="center"/>
            <w:hideMark/>
          </w:tcPr>
          <w:p w14:paraId="4BDF584F" w14:textId="6D26B913"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0.00</w:t>
            </w:r>
          </w:p>
        </w:tc>
      </w:tr>
      <w:tr w:rsidR="004568FA" w:rsidRPr="00590778" w14:paraId="23159C05" w14:textId="77777777" w:rsidTr="00897CE7">
        <w:trPr>
          <w:trHeight w:hRule="exact" w:val="567"/>
        </w:trPr>
        <w:tc>
          <w:tcPr>
            <w:tcW w:w="530" w:type="pct"/>
            <w:gridSpan w:val="2"/>
            <w:tcBorders>
              <w:top w:val="nil"/>
              <w:left w:val="nil"/>
              <w:bottom w:val="nil"/>
              <w:right w:val="nil"/>
            </w:tcBorders>
            <w:tcMar>
              <w:top w:w="15" w:type="dxa"/>
              <w:left w:w="15" w:type="dxa"/>
              <w:bottom w:w="0" w:type="dxa"/>
              <w:right w:w="15" w:type="dxa"/>
            </w:tcMar>
            <w:vAlign w:val="center"/>
            <w:hideMark/>
          </w:tcPr>
          <w:p w14:paraId="3C09223F" w14:textId="05C960A8"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60 ≤ eGFR &lt; 75</w:t>
            </w:r>
          </w:p>
        </w:tc>
        <w:tc>
          <w:tcPr>
            <w:tcW w:w="401" w:type="pct"/>
            <w:tcBorders>
              <w:top w:val="nil"/>
              <w:left w:val="nil"/>
              <w:bottom w:val="nil"/>
              <w:right w:val="nil"/>
            </w:tcBorders>
            <w:tcMar>
              <w:top w:w="15" w:type="dxa"/>
              <w:left w:w="15" w:type="dxa"/>
              <w:bottom w:w="0" w:type="dxa"/>
              <w:right w:w="15" w:type="dxa"/>
            </w:tcMar>
            <w:vAlign w:val="center"/>
            <w:hideMark/>
          </w:tcPr>
          <w:p w14:paraId="45738C86" w14:textId="102937B9"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0.02</w:t>
            </w:r>
          </w:p>
        </w:tc>
        <w:tc>
          <w:tcPr>
            <w:tcW w:w="160" w:type="pct"/>
            <w:tcBorders>
              <w:top w:val="nil"/>
              <w:left w:val="nil"/>
              <w:bottom w:val="nil"/>
              <w:right w:val="nil"/>
            </w:tcBorders>
            <w:tcMar>
              <w:top w:w="15" w:type="dxa"/>
              <w:left w:w="15" w:type="dxa"/>
              <w:bottom w:w="0" w:type="dxa"/>
              <w:right w:w="15" w:type="dxa"/>
            </w:tcMar>
            <w:vAlign w:val="center"/>
            <w:hideMark/>
          </w:tcPr>
          <w:p w14:paraId="7CE2CF03" w14:textId="184B6B48"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1.99</w:t>
            </w:r>
          </w:p>
        </w:tc>
        <w:tc>
          <w:tcPr>
            <w:tcW w:w="265" w:type="pct"/>
            <w:vAlign w:val="center"/>
          </w:tcPr>
          <w:p w14:paraId="38E98617" w14:textId="18F136DF"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0.12</w:t>
            </w:r>
          </w:p>
        </w:tc>
        <w:tc>
          <w:tcPr>
            <w:tcW w:w="289" w:type="pct"/>
            <w:tcBorders>
              <w:top w:val="nil"/>
              <w:left w:val="nil"/>
              <w:bottom w:val="nil"/>
              <w:right w:val="nil"/>
            </w:tcBorders>
            <w:tcMar>
              <w:top w:w="15" w:type="dxa"/>
              <w:left w:w="15" w:type="dxa"/>
              <w:bottom w:w="0" w:type="dxa"/>
              <w:right w:w="15" w:type="dxa"/>
            </w:tcMar>
            <w:vAlign w:val="center"/>
            <w:hideMark/>
          </w:tcPr>
          <w:p w14:paraId="242C9A3B" w14:textId="019707F7"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0.16</w:t>
            </w:r>
          </w:p>
        </w:tc>
        <w:tc>
          <w:tcPr>
            <w:tcW w:w="12" w:type="pct"/>
            <w:tcBorders>
              <w:top w:val="nil"/>
              <w:left w:val="nil"/>
              <w:bottom w:val="nil"/>
              <w:right w:val="nil"/>
            </w:tcBorders>
            <w:tcMar>
              <w:top w:w="15" w:type="dxa"/>
              <w:left w:w="15" w:type="dxa"/>
              <w:bottom w:w="0" w:type="dxa"/>
              <w:right w:w="15" w:type="dxa"/>
            </w:tcMar>
            <w:vAlign w:val="center"/>
            <w:hideMark/>
          </w:tcPr>
          <w:p w14:paraId="5E2591BD" w14:textId="77777777" w:rsidR="007C637A" w:rsidRPr="00590778" w:rsidRDefault="007C637A" w:rsidP="007C637A">
            <w:pPr>
              <w:spacing w:line="300" w:lineRule="auto"/>
              <w:jc w:val="center"/>
              <w:rPr>
                <w:rFonts w:ascii="Times New Roman" w:hAnsi="Times New Roman" w:cs="Times New Roman"/>
                <w:color w:val="000000" w:themeColor="text1"/>
              </w:rPr>
            </w:pPr>
          </w:p>
        </w:tc>
        <w:tc>
          <w:tcPr>
            <w:tcW w:w="529" w:type="pct"/>
            <w:gridSpan w:val="2"/>
            <w:tcBorders>
              <w:top w:val="nil"/>
              <w:left w:val="nil"/>
              <w:bottom w:val="nil"/>
              <w:right w:val="nil"/>
            </w:tcBorders>
            <w:tcMar>
              <w:top w:w="15" w:type="dxa"/>
              <w:left w:w="15" w:type="dxa"/>
              <w:bottom w:w="0" w:type="dxa"/>
              <w:right w:w="15" w:type="dxa"/>
            </w:tcMar>
            <w:vAlign w:val="center"/>
            <w:hideMark/>
          </w:tcPr>
          <w:p w14:paraId="6254E45D" w14:textId="2A41D93C"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ACR &lt; 30</w:t>
            </w:r>
          </w:p>
        </w:tc>
        <w:tc>
          <w:tcPr>
            <w:tcW w:w="401" w:type="pct"/>
            <w:tcBorders>
              <w:top w:val="nil"/>
              <w:left w:val="nil"/>
              <w:bottom w:val="nil"/>
              <w:right w:val="nil"/>
            </w:tcBorders>
            <w:tcMar>
              <w:top w:w="15" w:type="dxa"/>
              <w:left w:w="15" w:type="dxa"/>
              <w:bottom w:w="0" w:type="dxa"/>
              <w:right w:w="15" w:type="dxa"/>
            </w:tcMar>
            <w:vAlign w:val="center"/>
            <w:hideMark/>
          </w:tcPr>
          <w:p w14:paraId="6DC9A26B" w14:textId="085A0308"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0.03</w:t>
            </w:r>
          </w:p>
        </w:tc>
        <w:tc>
          <w:tcPr>
            <w:tcW w:w="230" w:type="pct"/>
            <w:tcBorders>
              <w:top w:val="nil"/>
              <w:left w:val="nil"/>
              <w:bottom w:val="nil"/>
              <w:right w:val="nil"/>
            </w:tcBorders>
            <w:tcMar>
              <w:top w:w="15" w:type="dxa"/>
              <w:left w:w="15" w:type="dxa"/>
              <w:bottom w:w="0" w:type="dxa"/>
              <w:right w:w="15" w:type="dxa"/>
            </w:tcMar>
            <w:vAlign w:val="center"/>
            <w:hideMark/>
          </w:tcPr>
          <w:p w14:paraId="6B68CC85" w14:textId="003303C1"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0.40</w:t>
            </w:r>
          </w:p>
        </w:tc>
        <w:tc>
          <w:tcPr>
            <w:tcW w:w="265" w:type="pct"/>
            <w:vAlign w:val="center"/>
          </w:tcPr>
          <w:p w14:paraId="395D6F23" w14:textId="34C46585"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0.00</w:t>
            </w:r>
          </w:p>
        </w:tc>
        <w:tc>
          <w:tcPr>
            <w:tcW w:w="289" w:type="pct"/>
            <w:tcBorders>
              <w:top w:val="nil"/>
              <w:left w:val="nil"/>
              <w:bottom w:val="nil"/>
              <w:right w:val="nil"/>
            </w:tcBorders>
            <w:tcMar>
              <w:top w:w="15" w:type="dxa"/>
              <w:left w:w="15" w:type="dxa"/>
              <w:bottom w:w="0" w:type="dxa"/>
              <w:right w:w="15" w:type="dxa"/>
            </w:tcMar>
            <w:vAlign w:val="center"/>
            <w:hideMark/>
          </w:tcPr>
          <w:p w14:paraId="2E7AE881" w14:textId="1A193E2A"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0.00</w:t>
            </w:r>
          </w:p>
        </w:tc>
        <w:tc>
          <w:tcPr>
            <w:tcW w:w="12" w:type="pct"/>
            <w:tcBorders>
              <w:top w:val="nil"/>
              <w:left w:val="nil"/>
              <w:bottom w:val="nil"/>
              <w:right w:val="nil"/>
            </w:tcBorders>
            <w:tcMar>
              <w:top w:w="15" w:type="dxa"/>
              <w:left w:w="15" w:type="dxa"/>
              <w:bottom w:w="0" w:type="dxa"/>
              <w:right w:w="15" w:type="dxa"/>
            </w:tcMar>
            <w:vAlign w:val="center"/>
            <w:hideMark/>
          </w:tcPr>
          <w:p w14:paraId="3C365CC7" w14:textId="77777777" w:rsidR="007C637A" w:rsidRPr="00590778" w:rsidRDefault="007C637A" w:rsidP="007C637A">
            <w:pPr>
              <w:spacing w:line="300" w:lineRule="auto"/>
              <w:jc w:val="center"/>
              <w:rPr>
                <w:rFonts w:ascii="Times New Roman" w:hAnsi="Times New Roman" w:cs="Times New Roman"/>
                <w:color w:val="000000" w:themeColor="text1"/>
              </w:rPr>
            </w:pPr>
          </w:p>
        </w:tc>
        <w:tc>
          <w:tcPr>
            <w:tcW w:w="530" w:type="pct"/>
            <w:gridSpan w:val="2"/>
            <w:tcBorders>
              <w:top w:val="nil"/>
              <w:left w:val="nil"/>
              <w:bottom w:val="nil"/>
              <w:right w:val="nil"/>
            </w:tcBorders>
            <w:tcMar>
              <w:top w:w="15" w:type="dxa"/>
              <w:left w:w="15" w:type="dxa"/>
              <w:bottom w:w="0" w:type="dxa"/>
              <w:right w:w="15" w:type="dxa"/>
            </w:tcMar>
            <w:vAlign w:val="center"/>
            <w:hideMark/>
          </w:tcPr>
          <w:p w14:paraId="0C9215D0" w14:textId="7ACE660A"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ACR ≥ 30</w:t>
            </w:r>
          </w:p>
        </w:tc>
        <w:tc>
          <w:tcPr>
            <w:tcW w:w="401" w:type="pct"/>
            <w:tcBorders>
              <w:top w:val="nil"/>
              <w:left w:val="nil"/>
              <w:bottom w:val="nil"/>
              <w:right w:val="nil"/>
            </w:tcBorders>
            <w:tcMar>
              <w:top w:w="15" w:type="dxa"/>
              <w:left w:w="15" w:type="dxa"/>
              <w:bottom w:w="0" w:type="dxa"/>
              <w:right w:w="15" w:type="dxa"/>
            </w:tcMar>
            <w:vAlign w:val="center"/>
            <w:hideMark/>
          </w:tcPr>
          <w:p w14:paraId="5B5B8608" w14:textId="366E0187"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0.02</w:t>
            </w:r>
          </w:p>
        </w:tc>
        <w:tc>
          <w:tcPr>
            <w:tcW w:w="160" w:type="pct"/>
            <w:tcBorders>
              <w:top w:val="nil"/>
              <w:left w:val="nil"/>
              <w:bottom w:val="nil"/>
              <w:right w:val="nil"/>
            </w:tcBorders>
            <w:tcMar>
              <w:top w:w="15" w:type="dxa"/>
              <w:left w:w="15" w:type="dxa"/>
              <w:bottom w:w="0" w:type="dxa"/>
              <w:right w:w="15" w:type="dxa"/>
            </w:tcMar>
            <w:vAlign w:val="center"/>
            <w:hideMark/>
          </w:tcPr>
          <w:p w14:paraId="6131C6F5" w14:textId="353D6E23"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3.27</w:t>
            </w:r>
          </w:p>
        </w:tc>
        <w:tc>
          <w:tcPr>
            <w:tcW w:w="266" w:type="pct"/>
            <w:vAlign w:val="center"/>
          </w:tcPr>
          <w:p w14:paraId="4F5DB428" w14:textId="4681448F"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0.00</w:t>
            </w:r>
          </w:p>
        </w:tc>
        <w:tc>
          <w:tcPr>
            <w:tcW w:w="261" w:type="pct"/>
            <w:tcBorders>
              <w:top w:val="nil"/>
              <w:left w:val="nil"/>
              <w:bottom w:val="nil"/>
              <w:right w:val="nil"/>
            </w:tcBorders>
            <w:tcMar>
              <w:top w:w="15" w:type="dxa"/>
              <w:left w:w="15" w:type="dxa"/>
              <w:bottom w:w="0" w:type="dxa"/>
              <w:right w:w="15" w:type="dxa"/>
            </w:tcMar>
            <w:vAlign w:val="center"/>
            <w:hideMark/>
          </w:tcPr>
          <w:p w14:paraId="4DAA8DFA" w14:textId="557283E9"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0.01</w:t>
            </w:r>
          </w:p>
        </w:tc>
      </w:tr>
      <w:tr w:rsidR="004568FA" w:rsidRPr="00590778" w14:paraId="306812EA" w14:textId="77777777" w:rsidTr="00897CE7">
        <w:trPr>
          <w:trHeight w:hRule="exact" w:val="567"/>
        </w:trPr>
        <w:tc>
          <w:tcPr>
            <w:tcW w:w="530" w:type="pct"/>
            <w:gridSpan w:val="2"/>
            <w:tcBorders>
              <w:top w:val="nil"/>
              <w:left w:val="nil"/>
              <w:bottom w:val="nil"/>
              <w:right w:val="nil"/>
            </w:tcBorders>
            <w:tcMar>
              <w:top w:w="15" w:type="dxa"/>
              <w:left w:w="15" w:type="dxa"/>
              <w:bottom w:w="0" w:type="dxa"/>
              <w:right w:w="15" w:type="dxa"/>
            </w:tcMar>
            <w:vAlign w:val="center"/>
            <w:hideMark/>
          </w:tcPr>
          <w:p w14:paraId="0F0F2A63" w14:textId="6CE5BAFE"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75 ≤ eGFR &lt; 90</w:t>
            </w:r>
          </w:p>
        </w:tc>
        <w:tc>
          <w:tcPr>
            <w:tcW w:w="401" w:type="pct"/>
            <w:tcBorders>
              <w:top w:val="nil"/>
              <w:left w:val="nil"/>
              <w:bottom w:val="nil"/>
              <w:right w:val="nil"/>
            </w:tcBorders>
            <w:tcMar>
              <w:top w:w="15" w:type="dxa"/>
              <w:left w:w="15" w:type="dxa"/>
              <w:bottom w:w="0" w:type="dxa"/>
              <w:right w:w="15" w:type="dxa"/>
            </w:tcMar>
            <w:vAlign w:val="center"/>
            <w:hideMark/>
          </w:tcPr>
          <w:p w14:paraId="53D9BEC7" w14:textId="580422C9"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0.02</w:t>
            </w:r>
          </w:p>
        </w:tc>
        <w:tc>
          <w:tcPr>
            <w:tcW w:w="160" w:type="pct"/>
            <w:tcBorders>
              <w:top w:val="nil"/>
              <w:left w:val="nil"/>
              <w:bottom w:val="nil"/>
              <w:right w:val="nil"/>
            </w:tcBorders>
            <w:tcMar>
              <w:top w:w="15" w:type="dxa"/>
              <w:left w:w="15" w:type="dxa"/>
              <w:bottom w:w="0" w:type="dxa"/>
              <w:right w:w="15" w:type="dxa"/>
            </w:tcMar>
            <w:vAlign w:val="center"/>
            <w:hideMark/>
          </w:tcPr>
          <w:p w14:paraId="6378B594" w14:textId="31B75AE1"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0.27</w:t>
            </w:r>
          </w:p>
        </w:tc>
        <w:tc>
          <w:tcPr>
            <w:tcW w:w="265" w:type="pct"/>
            <w:vAlign w:val="center"/>
          </w:tcPr>
          <w:p w14:paraId="6D3F79F2" w14:textId="78D2C673"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0.02</w:t>
            </w:r>
          </w:p>
        </w:tc>
        <w:tc>
          <w:tcPr>
            <w:tcW w:w="289" w:type="pct"/>
            <w:tcBorders>
              <w:top w:val="nil"/>
              <w:left w:val="nil"/>
              <w:bottom w:val="nil"/>
              <w:right w:val="nil"/>
            </w:tcBorders>
            <w:tcMar>
              <w:top w:w="15" w:type="dxa"/>
              <w:left w:w="15" w:type="dxa"/>
              <w:bottom w:w="0" w:type="dxa"/>
              <w:right w:w="15" w:type="dxa"/>
            </w:tcMar>
            <w:vAlign w:val="center"/>
            <w:hideMark/>
          </w:tcPr>
          <w:p w14:paraId="28DACE13" w14:textId="253B5EE5"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0.03</w:t>
            </w:r>
          </w:p>
        </w:tc>
        <w:tc>
          <w:tcPr>
            <w:tcW w:w="12" w:type="pct"/>
            <w:tcBorders>
              <w:top w:val="nil"/>
              <w:left w:val="nil"/>
              <w:bottom w:val="nil"/>
              <w:right w:val="nil"/>
            </w:tcBorders>
            <w:tcMar>
              <w:top w:w="15" w:type="dxa"/>
              <w:left w:w="15" w:type="dxa"/>
              <w:bottom w:w="0" w:type="dxa"/>
              <w:right w:w="15" w:type="dxa"/>
            </w:tcMar>
            <w:vAlign w:val="center"/>
            <w:hideMark/>
          </w:tcPr>
          <w:p w14:paraId="6D208A8A" w14:textId="77777777" w:rsidR="007C637A" w:rsidRPr="00590778" w:rsidRDefault="007C637A" w:rsidP="007C637A">
            <w:pPr>
              <w:spacing w:line="300" w:lineRule="auto"/>
              <w:jc w:val="center"/>
              <w:rPr>
                <w:rFonts w:ascii="Times New Roman" w:hAnsi="Times New Roman" w:cs="Times New Roman"/>
                <w:color w:val="000000" w:themeColor="text1"/>
              </w:rPr>
            </w:pPr>
          </w:p>
        </w:tc>
        <w:tc>
          <w:tcPr>
            <w:tcW w:w="529" w:type="pct"/>
            <w:gridSpan w:val="2"/>
            <w:tcBorders>
              <w:top w:val="nil"/>
              <w:left w:val="nil"/>
              <w:bottom w:val="nil"/>
              <w:right w:val="nil"/>
            </w:tcBorders>
            <w:tcMar>
              <w:top w:w="15" w:type="dxa"/>
              <w:left w:w="15" w:type="dxa"/>
              <w:bottom w:w="0" w:type="dxa"/>
              <w:right w:w="15" w:type="dxa"/>
            </w:tcMar>
            <w:vAlign w:val="center"/>
            <w:hideMark/>
          </w:tcPr>
          <w:p w14:paraId="146FAF98" w14:textId="5D2C9155"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60 ≤ eGFR &lt; 75</w:t>
            </w:r>
          </w:p>
        </w:tc>
        <w:tc>
          <w:tcPr>
            <w:tcW w:w="401" w:type="pct"/>
            <w:tcBorders>
              <w:top w:val="nil"/>
              <w:left w:val="nil"/>
              <w:bottom w:val="nil"/>
              <w:right w:val="nil"/>
            </w:tcBorders>
            <w:tcMar>
              <w:top w:w="15" w:type="dxa"/>
              <w:left w:w="15" w:type="dxa"/>
              <w:bottom w:w="0" w:type="dxa"/>
              <w:right w:w="15" w:type="dxa"/>
            </w:tcMar>
            <w:vAlign w:val="center"/>
            <w:hideMark/>
          </w:tcPr>
          <w:p w14:paraId="1BB01D6F" w14:textId="6C8349E8"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0.02</w:t>
            </w:r>
          </w:p>
        </w:tc>
        <w:tc>
          <w:tcPr>
            <w:tcW w:w="230" w:type="pct"/>
            <w:tcBorders>
              <w:top w:val="nil"/>
              <w:left w:val="nil"/>
              <w:bottom w:val="nil"/>
              <w:right w:val="nil"/>
            </w:tcBorders>
            <w:tcMar>
              <w:top w:w="15" w:type="dxa"/>
              <w:left w:w="15" w:type="dxa"/>
              <w:bottom w:w="0" w:type="dxa"/>
              <w:right w:w="15" w:type="dxa"/>
            </w:tcMar>
            <w:vAlign w:val="center"/>
            <w:hideMark/>
          </w:tcPr>
          <w:p w14:paraId="4E65DC2D" w14:textId="03B73F99"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2.30</w:t>
            </w:r>
          </w:p>
        </w:tc>
        <w:tc>
          <w:tcPr>
            <w:tcW w:w="265" w:type="pct"/>
            <w:vAlign w:val="center"/>
          </w:tcPr>
          <w:p w14:paraId="774ECFD9" w14:textId="6D77806C"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0.00</w:t>
            </w:r>
          </w:p>
        </w:tc>
        <w:tc>
          <w:tcPr>
            <w:tcW w:w="289" w:type="pct"/>
            <w:tcBorders>
              <w:top w:val="nil"/>
              <w:left w:val="nil"/>
              <w:bottom w:val="nil"/>
              <w:right w:val="nil"/>
            </w:tcBorders>
            <w:tcMar>
              <w:top w:w="15" w:type="dxa"/>
              <w:left w:w="15" w:type="dxa"/>
              <w:bottom w:w="0" w:type="dxa"/>
              <w:right w:w="15" w:type="dxa"/>
            </w:tcMar>
            <w:vAlign w:val="center"/>
            <w:hideMark/>
          </w:tcPr>
          <w:p w14:paraId="34BC94AC" w14:textId="71B43FDF"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0.01</w:t>
            </w:r>
          </w:p>
        </w:tc>
        <w:tc>
          <w:tcPr>
            <w:tcW w:w="12" w:type="pct"/>
            <w:tcBorders>
              <w:top w:val="nil"/>
              <w:left w:val="nil"/>
              <w:bottom w:val="nil"/>
              <w:right w:val="nil"/>
            </w:tcBorders>
            <w:tcMar>
              <w:top w:w="15" w:type="dxa"/>
              <w:left w:w="15" w:type="dxa"/>
              <w:bottom w:w="0" w:type="dxa"/>
              <w:right w:w="15" w:type="dxa"/>
            </w:tcMar>
            <w:vAlign w:val="center"/>
            <w:hideMark/>
          </w:tcPr>
          <w:p w14:paraId="41A05AA8" w14:textId="77777777" w:rsidR="007C637A" w:rsidRPr="00590778" w:rsidRDefault="007C637A" w:rsidP="007C637A">
            <w:pPr>
              <w:spacing w:line="300" w:lineRule="auto"/>
              <w:jc w:val="center"/>
              <w:rPr>
                <w:rFonts w:ascii="Times New Roman" w:hAnsi="Times New Roman" w:cs="Times New Roman"/>
                <w:color w:val="000000" w:themeColor="text1"/>
              </w:rPr>
            </w:pPr>
          </w:p>
        </w:tc>
        <w:tc>
          <w:tcPr>
            <w:tcW w:w="530" w:type="pct"/>
            <w:gridSpan w:val="2"/>
            <w:tcBorders>
              <w:top w:val="nil"/>
              <w:left w:val="nil"/>
              <w:bottom w:val="nil"/>
              <w:right w:val="nil"/>
            </w:tcBorders>
            <w:tcMar>
              <w:top w:w="15" w:type="dxa"/>
              <w:left w:w="15" w:type="dxa"/>
              <w:bottom w:w="0" w:type="dxa"/>
              <w:right w:w="15" w:type="dxa"/>
            </w:tcMar>
            <w:vAlign w:val="center"/>
            <w:hideMark/>
          </w:tcPr>
          <w:p w14:paraId="3FC2C682" w14:textId="292CFEB8"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ACR &lt; 30</w:t>
            </w:r>
          </w:p>
        </w:tc>
        <w:tc>
          <w:tcPr>
            <w:tcW w:w="401" w:type="pct"/>
            <w:tcBorders>
              <w:top w:val="nil"/>
              <w:left w:val="nil"/>
              <w:bottom w:val="nil"/>
              <w:right w:val="nil"/>
            </w:tcBorders>
            <w:tcMar>
              <w:top w:w="15" w:type="dxa"/>
              <w:left w:w="15" w:type="dxa"/>
              <w:bottom w:w="0" w:type="dxa"/>
              <w:right w:w="15" w:type="dxa"/>
            </w:tcMar>
            <w:vAlign w:val="center"/>
            <w:hideMark/>
          </w:tcPr>
          <w:p w14:paraId="2E463D26" w14:textId="75361189"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0.02</w:t>
            </w:r>
          </w:p>
        </w:tc>
        <w:tc>
          <w:tcPr>
            <w:tcW w:w="160" w:type="pct"/>
            <w:tcBorders>
              <w:top w:val="nil"/>
              <w:left w:val="nil"/>
              <w:bottom w:val="nil"/>
              <w:right w:val="nil"/>
            </w:tcBorders>
            <w:tcMar>
              <w:top w:w="15" w:type="dxa"/>
              <w:left w:w="15" w:type="dxa"/>
              <w:bottom w:w="0" w:type="dxa"/>
              <w:right w:w="15" w:type="dxa"/>
            </w:tcMar>
            <w:vAlign w:val="center"/>
            <w:hideMark/>
          </w:tcPr>
          <w:p w14:paraId="57A49F10" w14:textId="364B9A26"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0.31</w:t>
            </w:r>
          </w:p>
        </w:tc>
        <w:tc>
          <w:tcPr>
            <w:tcW w:w="266" w:type="pct"/>
            <w:vAlign w:val="center"/>
          </w:tcPr>
          <w:p w14:paraId="0A4E3999" w14:textId="682FED66"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0.00</w:t>
            </w:r>
          </w:p>
        </w:tc>
        <w:tc>
          <w:tcPr>
            <w:tcW w:w="261" w:type="pct"/>
            <w:tcBorders>
              <w:top w:val="nil"/>
              <w:left w:val="nil"/>
              <w:bottom w:val="nil"/>
              <w:right w:val="nil"/>
            </w:tcBorders>
            <w:tcMar>
              <w:top w:w="15" w:type="dxa"/>
              <w:left w:w="15" w:type="dxa"/>
              <w:bottom w:w="0" w:type="dxa"/>
              <w:right w:w="15" w:type="dxa"/>
            </w:tcMar>
            <w:vAlign w:val="center"/>
            <w:hideMark/>
          </w:tcPr>
          <w:p w14:paraId="617714DB" w14:textId="2B032F32"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0.01</w:t>
            </w:r>
          </w:p>
        </w:tc>
      </w:tr>
      <w:tr w:rsidR="004568FA" w:rsidRPr="00590778" w14:paraId="601CA95A" w14:textId="77777777" w:rsidTr="00897CE7">
        <w:trPr>
          <w:trHeight w:hRule="exact" w:val="567"/>
        </w:trPr>
        <w:tc>
          <w:tcPr>
            <w:tcW w:w="530" w:type="pct"/>
            <w:gridSpan w:val="2"/>
            <w:tcBorders>
              <w:top w:val="nil"/>
              <w:left w:val="nil"/>
              <w:bottom w:val="nil"/>
              <w:right w:val="nil"/>
            </w:tcBorders>
            <w:tcMar>
              <w:top w:w="15" w:type="dxa"/>
              <w:left w:w="15" w:type="dxa"/>
              <w:bottom w:w="0" w:type="dxa"/>
              <w:right w:w="15" w:type="dxa"/>
            </w:tcMar>
            <w:vAlign w:val="center"/>
            <w:hideMark/>
          </w:tcPr>
          <w:p w14:paraId="23AA706E" w14:textId="6FFF6809"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eGFR ≥ 90</w:t>
            </w:r>
          </w:p>
        </w:tc>
        <w:tc>
          <w:tcPr>
            <w:tcW w:w="401" w:type="pct"/>
            <w:tcBorders>
              <w:top w:val="nil"/>
              <w:left w:val="nil"/>
              <w:bottom w:val="nil"/>
              <w:right w:val="nil"/>
            </w:tcBorders>
            <w:tcMar>
              <w:top w:w="15" w:type="dxa"/>
              <w:left w:w="15" w:type="dxa"/>
              <w:bottom w:w="0" w:type="dxa"/>
              <w:right w:w="15" w:type="dxa"/>
            </w:tcMar>
            <w:vAlign w:val="center"/>
            <w:hideMark/>
          </w:tcPr>
          <w:p w14:paraId="5CA7E222" w14:textId="08334465"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0.01</w:t>
            </w:r>
          </w:p>
        </w:tc>
        <w:tc>
          <w:tcPr>
            <w:tcW w:w="160" w:type="pct"/>
            <w:tcBorders>
              <w:top w:val="nil"/>
              <w:left w:val="nil"/>
              <w:bottom w:val="nil"/>
              <w:right w:val="nil"/>
            </w:tcBorders>
            <w:tcMar>
              <w:top w:w="15" w:type="dxa"/>
              <w:left w:w="15" w:type="dxa"/>
              <w:bottom w:w="0" w:type="dxa"/>
              <w:right w:w="15" w:type="dxa"/>
            </w:tcMar>
            <w:vAlign w:val="center"/>
            <w:hideMark/>
          </w:tcPr>
          <w:p w14:paraId="2F9B18B4" w14:textId="31D38DC4"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0.48</w:t>
            </w:r>
          </w:p>
        </w:tc>
        <w:tc>
          <w:tcPr>
            <w:tcW w:w="265" w:type="pct"/>
            <w:vAlign w:val="center"/>
          </w:tcPr>
          <w:p w14:paraId="32FE2AE4" w14:textId="491427E2"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0.56</w:t>
            </w:r>
          </w:p>
        </w:tc>
        <w:tc>
          <w:tcPr>
            <w:tcW w:w="289" w:type="pct"/>
            <w:tcBorders>
              <w:top w:val="nil"/>
              <w:left w:val="nil"/>
              <w:bottom w:val="nil"/>
              <w:right w:val="nil"/>
            </w:tcBorders>
            <w:tcMar>
              <w:top w:w="15" w:type="dxa"/>
              <w:left w:w="15" w:type="dxa"/>
              <w:bottom w:w="0" w:type="dxa"/>
              <w:right w:w="15" w:type="dxa"/>
            </w:tcMar>
            <w:vAlign w:val="center"/>
            <w:hideMark/>
          </w:tcPr>
          <w:p w14:paraId="6C0F8FDF" w14:textId="34365B45"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0.56</w:t>
            </w:r>
          </w:p>
        </w:tc>
        <w:tc>
          <w:tcPr>
            <w:tcW w:w="12" w:type="pct"/>
            <w:tcBorders>
              <w:top w:val="nil"/>
              <w:left w:val="nil"/>
              <w:bottom w:val="nil"/>
              <w:right w:val="nil"/>
            </w:tcBorders>
            <w:tcMar>
              <w:top w:w="15" w:type="dxa"/>
              <w:left w:w="15" w:type="dxa"/>
              <w:bottom w:w="0" w:type="dxa"/>
              <w:right w:w="15" w:type="dxa"/>
            </w:tcMar>
            <w:vAlign w:val="center"/>
            <w:hideMark/>
          </w:tcPr>
          <w:p w14:paraId="2C0F6017" w14:textId="77777777" w:rsidR="007C637A" w:rsidRPr="00590778" w:rsidRDefault="007C637A" w:rsidP="007C637A">
            <w:pPr>
              <w:spacing w:line="300" w:lineRule="auto"/>
              <w:jc w:val="center"/>
              <w:rPr>
                <w:rFonts w:ascii="Times New Roman" w:hAnsi="Times New Roman" w:cs="Times New Roman"/>
                <w:color w:val="000000" w:themeColor="text1"/>
              </w:rPr>
            </w:pPr>
          </w:p>
        </w:tc>
        <w:tc>
          <w:tcPr>
            <w:tcW w:w="529" w:type="pct"/>
            <w:gridSpan w:val="2"/>
            <w:tcBorders>
              <w:top w:val="nil"/>
              <w:left w:val="nil"/>
              <w:bottom w:val="nil"/>
              <w:right w:val="nil"/>
            </w:tcBorders>
            <w:tcMar>
              <w:top w:w="15" w:type="dxa"/>
              <w:left w:w="15" w:type="dxa"/>
              <w:bottom w:w="0" w:type="dxa"/>
              <w:right w:w="15" w:type="dxa"/>
            </w:tcMar>
            <w:vAlign w:val="center"/>
            <w:hideMark/>
          </w:tcPr>
          <w:p w14:paraId="64E6126B" w14:textId="7EFC0D6A"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ACR ≥ 30</w:t>
            </w:r>
          </w:p>
        </w:tc>
        <w:tc>
          <w:tcPr>
            <w:tcW w:w="401" w:type="pct"/>
            <w:tcBorders>
              <w:top w:val="nil"/>
              <w:left w:val="nil"/>
              <w:bottom w:val="nil"/>
              <w:right w:val="nil"/>
            </w:tcBorders>
            <w:tcMar>
              <w:top w:w="15" w:type="dxa"/>
              <w:left w:w="15" w:type="dxa"/>
              <w:bottom w:w="0" w:type="dxa"/>
              <w:right w:w="15" w:type="dxa"/>
            </w:tcMar>
            <w:vAlign w:val="center"/>
            <w:hideMark/>
          </w:tcPr>
          <w:p w14:paraId="695D7852" w14:textId="3C36A263"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0.02</w:t>
            </w:r>
          </w:p>
        </w:tc>
        <w:tc>
          <w:tcPr>
            <w:tcW w:w="230" w:type="pct"/>
            <w:tcBorders>
              <w:top w:val="nil"/>
              <w:left w:val="nil"/>
              <w:bottom w:val="nil"/>
              <w:right w:val="nil"/>
            </w:tcBorders>
            <w:tcMar>
              <w:top w:w="15" w:type="dxa"/>
              <w:left w:w="15" w:type="dxa"/>
              <w:bottom w:w="0" w:type="dxa"/>
              <w:right w:w="15" w:type="dxa"/>
            </w:tcMar>
            <w:vAlign w:val="center"/>
            <w:hideMark/>
          </w:tcPr>
          <w:p w14:paraId="41DDDFBE" w14:textId="1700902D"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2.52</w:t>
            </w:r>
          </w:p>
        </w:tc>
        <w:tc>
          <w:tcPr>
            <w:tcW w:w="265" w:type="pct"/>
            <w:vAlign w:val="center"/>
          </w:tcPr>
          <w:p w14:paraId="0911A28F" w14:textId="1C8698A9"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0.00</w:t>
            </w:r>
          </w:p>
        </w:tc>
        <w:tc>
          <w:tcPr>
            <w:tcW w:w="289" w:type="pct"/>
            <w:tcBorders>
              <w:top w:val="nil"/>
              <w:left w:val="nil"/>
              <w:bottom w:val="nil"/>
              <w:right w:val="nil"/>
            </w:tcBorders>
            <w:tcMar>
              <w:top w:w="15" w:type="dxa"/>
              <w:left w:w="15" w:type="dxa"/>
              <w:bottom w:w="0" w:type="dxa"/>
              <w:right w:w="15" w:type="dxa"/>
            </w:tcMar>
            <w:vAlign w:val="center"/>
            <w:hideMark/>
          </w:tcPr>
          <w:p w14:paraId="77DD62D2" w14:textId="24583232"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0.00</w:t>
            </w:r>
          </w:p>
        </w:tc>
        <w:tc>
          <w:tcPr>
            <w:tcW w:w="12" w:type="pct"/>
            <w:tcBorders>
              <w:top w:val="nil"/>
              <w:left w:val="nil"/>
              <w:bottom w:val="nil"/>
              <w:right w:val="nil"/>
            </w:tcBorders>
            <w:tcMar>
              <w:top w:w="15" w:type="dxa"/>
              <w:left w:w="15" w:type="dxa"/>
              <w:bottom w:w="0" w:type="dxa"/>
              <w:right w:w="15" w:type="dxa"/>
            </w:tcMar>
            <w:vAlign w:val="center"/>
            <w:hideMark/>
          </w:tcPr>
          <w:p w14:paraId="03251A96" w14:textId="77777777" w:rsidR="007C637A" w:rsidRPr="00590778" w:rsidRDefault="007C637A" w:rsidP="007C637A">
            <w:pPr>
              <w:spacing w:line="300" w:lineRule="auto"/>
              <w:jc w:val="center"/>
              <w:rPr>
                <w:rFonts w:ascii="Times New Roman" w:hAnsi="Times New Roman" w:cs="Times New Roman"/>
                <w:color w:val="000000" w:themeColor="text1"/>
              </w:rPr>
            </w:pPr>
          </w:p>
        </w:tc>
        <w:tc>
          <w:tcPr>
            <w:tcW w:w="530" w:type="pct"/>
            <w:gridSpan w:val="2"/>
            <w:tcBorders>
              <w:top w:val="nil"/>
              <w:left w:val="nil"/>
              <w:bottom w:val="nil"/>
              <w:right w:val="nil"/>
            </w:tcBorders>
            <w:tcMar>
              <w:top w:w="15" w:type="dxa"/>
              <w:left w:w="15" w:type="dxa"/>
              <w:bottom w:w="0" w:type="dxa"/>
              <w:right w:w="15" w:type="dxa"/>
            </w:tcMar>
            <w:vAlign w:val="center"/>
            <w:hideMark/>
          </w:tcPr>
          <w:p w14:paraId="4179AF8E" w14:textId="0779CED9"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60 ≤ eGFR &lt; 75</w:t>
            </w:r>
          </w:p>
        </w:tc>
        <w:tc>
          <w:tcPr>
            <w:tcW w:w="401" w:type="pct"/>
            <w:tcBorders>
              <w:top w:val="nil"/>
              <w:left w:val="nil"/>
              <w:bottom w:val="nil"/>
              <w:right w:val="nil"/>
            </w:tcBorders>
            <w:tcMar>
              <w:top w:w="15" w:type="dxa"/>
              <w:left w:w="15" w:type="dxa"/>
              <w:bottom w:w="0" w:type="dxa"/>
              <w:right w:w="15" w:type="dxa"/>
            </w:tcMar>
            <w:vAlign w:val="center"/>
            <w:hideMark/>
          </w:tcPr>
          <w:p w14:paraId="7450A3DE" w14:textId="3F10FE53"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0.02</w:t>
            </w:r>
          </w:p>
        </w:tc>
        <w:tc>
          <w:tcPr>
            <w:tcW w:w="160" w:type="pct"/>
            <w:tcBorders>
              <w:top w:val="nil"/>
              <w:left w:val="nil"/>
              <w:bottom w:val="nil"/>
              <w:right w:val="nil"/>
            </w:tcBorders>
            <w:tcMar>
              <w:top w:w="15" w:type="dxa"/>
              <w:left w:w="15" w:type="dxa"/>
              <w:bottom w:w="0" w:type="dxa"/>
              <w:right w:w="15" w:type="dxa"/>
            </w:tcMar>
            <w:vAlign w:val="center"/>
            <w:hideMark/>
          </w:tcPr>
          <w:p w14:paraId="54AB5EDA" w14:textId="09F97DDD"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0.67</w:t>
            </w:r>
          </w:p>
        </w:tc>
        <w:tc>
          <w:tcPr>
            <w:tcW w:w="266" w:type="pct"/>
            <w:vAlign w:val="center"/>
          </w:tcPr>
          <w:p w14:paraId="1EED948E" w14:textId="11B35EE3"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0.31</w:t>
            </w:r>
          </w:p>
        </w:tc>
        <w:tc>
          <w:tcPr>
            <w:tcW w:w="261" w:type="pct"/>
            <w:tcBorders>
              <w:top w:val="nil"/>
              <w:left w:val="nil"/>
              <w:bottom w:val="nil"/>
              <w:right w:val="nil"/>
            </w:tcBorders>
            <w:tcMar>
              <w:top w:w="15" w:type="dxa"/>
              <w:left w:w="15" w:type="dxa"/>
              <w:bottom w:w="0" w:type="dxa"/>
              <w:right w:w="15" w:type="dxa"/>
            </w:tcMar>
            <w:vAlign w:val="center"/>
            <w:hideMark/>
          </w:tcPr>
          <w:p w14:paraId="4D62BDEA" w14:textId="668A709E"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0.31</w:t>
            </w:r>
          </w:p>
        </w:tc>
      </w:tr>
      <w:tr w:rsidR="004568FA" w:rsidRPr="00590778" w14:paraId="1F090785" w14:textId="77777777" w:rsidTr="00897CE7">
        <w:trPr>
          <w:trHeight w:hRule="exact" w:val="567"/>
        </w:trPr>
        <w:tc>
          <w:tcPr>
            <w:tcW w:w="530" w:type="pct"/>
            <w:gridSpan w:val="2"/>
            <w:tcBorders>
              <w:top w:val="nil"/>
              <w:left w:val="nil"/>
              <w:bottom w:val="nil"/>
              <w:right w:val="nil"/>
            </w:tcBorders>
            <w:tcMar>
              <w:top w:w="15" w:type="dxa"/>
              <w:left w:w="15" w:type="dxa"/>
              <w:bottom w:w="0" w:type="dxa"/>
              <w:right w:w="15" w:type="dxa"/>
            </w:tcMar>
            <w:vAlign w:val="center"/>
            <w:hideMark/>
          </w:tcPr>
          <w:p w14:paraId="4699B863" w14:textId="25C8288E"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ACR ≥ 30</w:t>
            </w:r>
          </w:p>
        </w:tc>
        <w:tc>
          <w:tcPr>
            <w:tcW w:w="401" w:type="pct"/>
            <w:tcBorders>
              <w:top w:val="nil"/>
              <w:left w:val="nil"/>
              <w:bottom w:val="nil"/>
              <w:right w:val="nil"/>
            </w:tcBorders>
            <w:tcMar>
              <w:top w:w="15" w:type="dxa"/>
              <w:left w:w="15" w:type="dxa"/>
              <w:bottom w:w="0" w:type="dxa"/>
              <w:right w:w="15" w:type="dxa"/>
            </w:tcMar>
            <w:vAlign w:val="center"/>
            <w:hideMark/>
          </w:tcPr>
          <w:p w14:paraId="12438DE0" w14:textId="4191FE2D"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kern w:val="24"/>
              </w:rPr>
              <w:t>—</w:t>
            </w:r>
          </w:p>
        </w:tc>
        <w:tc>
          <w:tcPr>
            <w:tcW w:w="160" w:type="pct"/>
            <w:tcBorders>
              <w:top w:val="nil"/>
              <w:left w:val="nil"/>
              <w:bottom w:val="nil"/>
              <w:right w:val="nil"/>
            </w:tcBorders>
            <w:tcMar>
              <w:top w:w="15" w:type="dxa"/>
              <w:left w:w="15" w:type="dxa"/>
              <w:bottom w:w="0" w:type="dxa"/>
              <w:right w:w="15" w:type="dxa"/>
            </w:tcMar>
            <w:vAlign w:val="center"/>
            <w:hideMark/>
          </w:tcPr>
          <w:p w14:paraId="44A69108" w14:textId="51B4F218"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kern w:val="24"/>
              </w:rPr>
              <w:t>—</w:t>
            </w:r>
          </w:p>
        </w:tc>
        <w:tc>
          <w:tcPr>
            <w:tcW w:w="265" w:type="pct"/>
            <w:vAlign w:val="center"/>
          </w:tcPr>
          <w:p w14:paraId="7B01F8AD" w14:textId="254AD78E" w:rsidR="007C637A" w:rsidRPr="00590778" w:rsidRDefault="007C637A" w:rsidP="007C637A">
            <w:pPr>
              <w:spacing w:line="300" w:lineRule="auto"/>
              <w:jc w:val="center"/>
              <w:rPr>
                <w:rFonts w:ascii="Times New Roman" w:hAnsi="Times New Roman" w:cs="Times New Roman"/>
                <w:color w:val="000000" w:themeColor="text1"/>
                <w:kern w:val="24"/>
              </w:rPr>
            </w:pPr>
            <w:r w:rsidRPr="00590778">
              <w:rPr>
                <w:rFonts w:ascii="Times New Roman" w:hAnsi="Times New Roman" w:cs="Times New Roman"/>
                <w:color w:val="000000" w:themeColor="text1"/>
                <w:kern w:val="24"/>
              </w:rPr>
              <w:t>—</w:t>
            </w:r>
          </w:p>
        </w:tc>
        <w:tc>
          <w:tcPr>
            <w:tcW w:w="289" w:type="pct"/>
            <w:tcBorders>
              <w:top w:val="nil"/>
              <w:left w:val="nil"/>
              <w:bottom w:val="nil"/>
              <w:right w:val="nil"/>
            </w:tcBorders>
            <w:tcMar>
              <w:top w:w="15" w:type="dxa"/>
              <w:left w:w="15" w:type="dxa"/>
              <w:bottom w:w="0" w:type="dxa"/>
              <w:right w:w="15" w:type="dxa"/>
            </w:tcMar>
            <w:vAlign w:val="center"/>
            <w:hideMark/>
          </w:tcPr>
          <w:p w14:paraId="4516C4C2" w14:textId="5BC04AC9"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kern w:val="24"/>
              </w:rPr>
              <w:t>—</w:t>
            </w:r>
          </w:p>
        </w:tc>
        <w:tc>
          <w:tcPr>
            <w:tcW w:w="12" w:type="pct"/>
            <w:tcBorders>
              <w:top w:val="nil"/>
              <w:left w:val="nil"/>
              <w:bottom w:val="nil"/>
              <w:right w:val="nil"/>
            </w:tcBorders>
            <w:tcMar>
              <w:top w:w="15" w:type="dxa"/>
              <w:left w:w="15" w:type="dxa"/>
              <w:bottom w:w="0" w:type="dxa"/>
              <w:right w:w="15" w:type="dxa"/>
            </w:tcMar>
            <w:vAlign w:val="center"/>
            <w:hideMark/>
          </w:tcPr>
          <w:p w14:paraId="1587330D" w14:textId="77777777" w:rsidR="007C637A" w:rsidRPr="00590778" w:rsidRDefault="007C637A" w:rsidP="007C637A">
            <w:pPr>
              <w:spacing w:line="300" w:lineRule="auto"/>
              <w:jc w:val="center"/>
              <w:rPr>
                <w:rFonts w:ascii="Times New Roman" w:hAnsi="Times New Roman" w:cs="Times New Roman"/>
                <w:color w:val="000000" w:themeColor="text1"/>
              </w:rPr>
            </w:pPr>
          </w:p>
        </w:tc>
        <w:tc>
          <w:tcPr>
            <w:tcW w:w="529" w:type="pct"/>
            <w:gridSpan w:val="2"/>
            <w:tcBorders>
              <w:top w:val="nil"/>
              <w:left w:val="nil"/>
              <w:bottom w:val="nil"/>
              <w:right w:val="nil"/>
            </w:tcBorders>
            <w:tcMar>
              <w:top w:w="15" w:type="dxa"/>
              <w:left w:w="15" w:type="dxa"/>
              <w:bottom w:w="0" w:type="dxa"/>
              <w:right w:w="15" w:type="dxa"/>
            </w:tcMar>
            <w:vAlign w:val="center"/>
            <w:hideMark/>
          </w:tcPr>
          <w:p w14:paraId="7EBE34C3" w14:textId="3C4C744C"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75 ≤ eGFR &lt; 90</w:t>
            </w:r>
          </w:p>
        </w:tc>
        <w:tc>
          <w:tcPr>
            <w:tcW w:w="401" w:type="pct"/>
            <w:tcBorders>
              <w:top w:val="nil"/>
              <w:left w:val="nil"/>
              <w:right w:val="nil"/>
            </w:tcBorders>
            <w:tcMar>
              <w:top w:w="15" w:type="dxa"/>
              <w:left w:w="15" w:type="dxa"/>
              <w:bottom w:w="0" w:type="dxa"/>
              <w:right w:w="15" w:type="dxa"/>
            </w:tcMar>
            <w:vAlign w:val="center"/>
            <w:hideMark/>
          </w:tcPr>
          <w:p w14:paraId="61FB2223" w14:textId="100707C4"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0.01</w:t>
            </w:r>
          </w:p>
        </w:tc>
        <w:tc>
          <w:tcPr>
            <w:tcW w:w="230" w:type="pct"/>
            <w:tcBorders>
              <w:top w:val="nil"/>
              <w:left w:val="nil"/>
              <w:right w:val="nil"/>
            </w:tcBorders>
            <w:tcMar>
              <w:top w:w="15" w:type="dxa"/>
              <w:left w:w="15" w:type="dxa"/>
              <w:bottom w:w="0" w:type="dxa"/>
              <w:right w:w="15" w:type="dxa"/>
            </w:tcMar>
            <w:vAlign w:val="center"/>
            <w:hideMark/>
          </w:tcPr>
          <w:p w14:paraId="7A5977F2" w14:textId="78C1AA7D"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0.34</w:t>
            </w:r>
          </w:p>
        </w:tc>
        <w:tc>
          <w:tcPr>
            <w:tcW w:w="265" w:type="pct"/>
            <w:vAlign w:val="center"/>
          </w:tcPr>
          <w:p w14:paraId="06EFCC63" w14:textId="729B54BF"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0.00</w:t>
            </w:r>
          </w:p>
        </w:tc>
        <w:tc>
          <w:tcPr>
            <w:tcW w:w="289" w:type="pct"/>
            <w:tcBorders>
              <w:top w:val="nil"/>
              <w:left w:val="nil"/>
              <w:right w:val="nil"/>
            </w:tcBorders>
            <w:tcMar>
              <w:top w:w="15" w:type="dxa"/>
              <w:left w:w="15" w:type="dxa"/>
              <w:bottom w:w="0" w:type="dxa"/>
              <w:right w:w="15" w:type="dxa"/>
            </w:tcMar>
            <w:vAlign w:val="center"/>
            <w:hideMark/>
          </w:tcPr>
          <w:p w14:paraId="555B79F2" w14:textId="680F5009"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0.00</w:t>
            </w:r>
          </w:p>
        </w:tc>
        <w:tc>
          <w:tcPr>
            <w:tcW w:w="12" w:type="pct"/>
            <w:tcBorders>
              <w:top w:val="nil"/>
              <w:left w:val="nil"/>
              <w:right w:val="nil"/>
            </w:tcBorders>
            <w:tcMar>
              <w:top w:w="15" w:type="dxa"/>
              <w:left w:w="15" w:type="dxa"/>
              <w:bottom w:w="0" w:type="dxa"/>
              <w:right w:w="15" w:type="dxa"/>
            </w:tcMar>
            <w:vAlign w:val="center"/>
            <w:hideMark/>
          </w:tcPr>
          <w:p w14:paraId="31621C7F" w14:textId="77777777" w:rsidR="007C637A" w:rsidRPr="00590778" w:rsidRDefault="007C637A" w:rsidP="007C637A">
            <w:pPr>
              <w:spacing w:line="300" w:lineRule="auto"/>
              <w:jc w:val="center"/>
              <w:rPr>
                <w:rFonts w:ascii="Times New Roman" w:hAnsi="Times New Roman" w:cs="Times New Roman"/>
                <w:color w:val="000000" w:themeColor="text1"/>
              </w:rPr>
            </w:pPr>
          </w:p>
        </w:tc>
        <w:tc>
          <w:tcPr>
            <w:tcW w:w="530" w:type="pct"/>
            <w:gridSpan w:val="2"/>
            <w:tcBorders>
              <w:top w:val="nil"/>
              <w:left w:val="nil"/>
              <w:right w:val="nil"/>
            </w:tcBorders>
            <w:tcMar>
              <w:top w:w="15" w:type="dxa"/>
              <w:left w:w="15" w:type="dxa"/>
              <w:bottom w:w="0" w:type="dxa"/>
              <w:right w:w="15" w:type="dxa"/>
            </w:tcMar>
            <w:vAlign w:val="center"/>
            <w:hideMark/>
          </w:tcPr>
          <w:p w14:paraId="1BEBF6FA" w14:textId="6AE6A41F"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75 ≤ eGFR &lt; 90</w:t>
            </w:r>
          </w:p>
        </w:tc>
        <w:tc>
          <w:tcPr>
            <w:tcW w:w="401" w:type="pct"/>
            <w:tcBorders>
              <w:top w:val="nil"/>
              <w:left w:val="nil"/>
              <w:right w:val="nil"/>
            </w:tcBorders>
            <w:tcMar>
              <w:top w:w="15" w:type="dxa"/>
              <w:left w:w="15" w:type="dxa"/>
              <w:bottom w:w="0" w:type="dxa"/>
              <w:right w:w="15" w:type="dxa"/>
            </w:tcMar>
            <w:vAlign w:val="center"/>
            <w:hideMark/>
          </w:tcPr>
          <w:p w14:paraId="466E8932" w14:textId="4B1D8BDE"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0.01</w:t>
            </w:r>
          </w:p>
        </w:tc>
        <w:tc>
          <w:tcPr>
            <w:tcW w:w="160" w:type="pct"/>
            <w:tcBorders>
              <w:top w:val="nil"/>
              <w:left w:val="nil"/>
              <w:right w:val="nil"/>
            </w:tcBorders>
            <w:tcMar>
              <w:top w:w="15" w:type="dxa"/>
              <w:left w:w="15" w:type="dxa"/>
              <w:bottom w:w="0" w:type="dxa"/>
              <w:right w:w="15" w:type="dxa"/>
            </w:tcMar>
            <w:vAlign w:val="center"/>
            <w:hideMark/>
          </w:tcPr>
          <w:p w14:paraId="19921BBB" w14:textId="478BB28B"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0.15</w:t>
            </w:r>
          </w:p>
        </w:tc>
        <w:tc>
          <w:tcPr>
            <w:tcW w:w="266" w:type="pct"/>
            <w:vAlign w:val="center"/>
          </w:tcPr>
          <w:p w14:paraId="1F567961" w14:textId="294BF578"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0.00</w:t>
            </w:r>
          </w:p>
        </w:tc>
        <w:tc>
          <w:tcPr>
            <w:tcW w:w="261" w:type="pct"/>
            <w:tcBorders>
              <w:top w:val="nil"/>
              <w:left w:val="nil"/>
              <w:right w:val="nil"/>
            </w:tcBorders>
            <w:tcMar>
              <w:top w:w="15" w:type="dxa"/>
              <w:left w:w="15" w:type="dxa"/>
              <w:bottom w:w="0" w:type="dxa"/>
              <w:right w:w="15" w:type="dxa"/>
            </w:tcMar>
            <w:vAlign w:val="center"/>
            <w:hideMark/>
          </w:tcPr>
          <w:p w14:paraId="153EA33D" w14:textId="2E7E6607"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0.00</w:t>
            </w:r>
          </w:p>
        </w:tc>
      </w:tr>
      <w:tr w:rsidR="004568FA" w:rsidRPr="00590778" w14:paraId="2126008F" w14:textId="77777777" w:rsidTr="00897CE7">
        <w:trPr>
          <w:trHeight w:hRule="exact" w:val="567"/>
        </w:trPr>
        <w:tc>
          <w:tcPr>
            <w:tcW w:w="530" w:type="pct"/>
            <w:gridSpan w:val="2"/>
            <w:tcBorders>
              <w:top w:val="nil"/>
              <w:left w:val="nil"/>
              <w:bottom w:val="single" w:sz="8" w:space="0" w:color="000000"/>
              <w:right w:val="nil"/>
            </w:tcBorders>
            <w:tcMar>
              <w:top w:w="15" w:type="dxa"/>
              <w:left w:w="15" w:type="dxa"/>
              <w:bottom w:w="0" w:type="dxa"/>
              <w:right w:w="15" w:type="dxa"/>
            </w:tcMar>
            <w:vAlign w:val="center"/>
            <w:hideMark/>
          </w:tcPr>
          <w:p w14:paraId="3872412C" w14:textId="4E4C7573"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ACR &lt; 30</w:t>
            </w:r>
          </w:p>
        </w:tc>
        <w:tc>
          <w:tcPr>
            <w:tcW w:w="401" w:type="pct"/>
            <w:tcBorders>
              <w:top w:val="nil"/>
              <w:left w:val="nil"/>
              <w:bottom w:val="single" w:sz="8" w:space="0" w:color="000000"/>
              <w:right w:val="nil"/>
            </w:tcBorders>
            <w:tcMar>
              <w:top w:w="15" w:type="dxa"/>
              <w:left w:w="15" w:type="dxa"/>
              <w:bottom w:w="0" w:type="dxa"/>
              <w:right w:w="15" w:type="dxa"/>
            </w:tcMar>
            <w:vAlign w:val="center"/>
            <w:hideMark/>
          </w:tcPr>
          <w:p w14:paraId="123B163F" w14:textId="1E1CBDCE"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kern w:val="24"/>
              </w:rPr>
              <w:t>—</w:t>
            </w:r>
          </w:p>
        </w:tc>
        <w:tc>
          <w:tcPr>
            <w:tcW w:w="160" w:type="pct"/>
            <w:tcBorders>
              <w:top w:val="nil"/>
              <w:left w:val="nil"/>
              <w:bottom w:val="single" w:sz="8" w:space="0" w:color="000000"/>
              <w:right w:val="nil"/>
            </w:tcBorders>
            <w:tcMar>
              <w:top w:w="15" w:type="dxa"/>
              <w:left w:w="15" w:type="dxa"/>
              <w:bottom w:w="0" w:type="dxa"/>
              <w:right w:w="15" w:type="dxa"/>
            </w:tcMar>
            <w:vAlign w:val="center"/>
            <w:hideMark/>
          </w:tcPr>
          <w:p w14:paraId="7FD11984" w14:textId="2E9B166A"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kern w:val="24"/>
              </w:rPr>
              <w:t>—</w:t>
            </w:r>
          </w:p>
        </w:tc>
        <w:tc>
          <w:tcPr>
            <w:tcW w:w="265" w:type="pct"/>
            <w:tcBorders>
              <w:bottom w:val="single" w:sz="4" w:space="0" w:color="auto"/>
            </w:tcBorders>
            <w:vAlign w:val="center"/>
          </w:tcPr>
          <w:p w14:paraId="507A7017" w14:textId="433C1CE1" w:rsidR="007C637A" w:rsidRPr="00590778" w:rsidRDefault="007C637A" w:rsidP="007C637A">
            <w:pPr>
              <w:spacing w:line="300" w:lineRule="auto"/>
              <w:jc w:val="center"/>
              <w:rPr>
                <w:rFonts w:ascii="Times New Roman" w:hAnsi="Times New Roman" w:cs="Times New Roman"/>
                <w:color w:val="000000" w:themeColor="text1"/>
                <w:kern w:val="24"/>
              </w:rPr>
            </w:pPr>
            <w:r w:rsidRPr="00590778">
              <w:rPr>
                <w:rFonts w:ascii="Times New Roman" w:hAnsi="Times New Roman" w:cs="Times New Roman"/>
                <w:color w:val="000000" w:themeColor="text1"/>
                <w:kern w:val="24"/>
              </w:rPr>
              <w:t>—</w:t>
            </w:r>
          </w:p>
        </w:tc>
        <w:tc>
          <w:tcPr>
            <w:tcW w:w="289" w:type="pct"/>
            <w:tcBorders>
              <w:top w:val="nil"/>
              <w:left w:val="nil"/>
              <w:bottom w:val="single" w:sz="8" w:space="0" w:color="000000"/>
              <w:right w:val="nil"/>
            </w:tcBorders>
            <w:tcMar>
              <w:top w:w="15" w:type="dxa"/>
              <w:left w:w="15" w:type="dxa"/>
              <w:bottom w:w="0" w:type="dxa"/>
              <w:right w:w="15" w:type="dxa"/>
            </w:tcMar>
            <w:vAlign w:val="center"/>
            <w:hideMark/>
          </w:tcPr>
          <w:p w14:paraId="13CCEAB8" w14:textId="15AE0820"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kern w:val="24"/>
              </w:rPr>
              <w:t>—</w:t>
            </w:r>
          </w:p>
        </w:tc>
        <w:tc>
          <w:tcPr>
            <w:tcW w:w="12" w:type="pct"/>
            <w:tcBorders>
              <w:top w:val="nil"/>
              <w:left w:val="nil"/>
              <w:bottom w:val="single" w:sz="8" w:space="0" w:color="000000"/>
              <w:right w:val="nil"/>
            </w:tcBorders>
            <w:tcMar>
              <w:top w:w="15" w:type="dxa"/>
              <w:left w:w="15" w:type="dxa"/>
              <w:bottom w:w="0" w:type="dxa"/>
              <w:right w:w="15" w:type="dxa"/>
            </w:tcMar>
            <w:vAlign w:val="center"/>
            <w:hideMark/>
          </w:tcPr>
          <w:p w14:paraId="375561CC" w14:textId="77777777" w:rsidR="007C637A" w:rsidRPr="00590778" w:rsidRDefault="007C637A" w:rsidP="007C637A">
            <w:pPr>
              <w:spacing w:line="300" w:lineRule="auto"/>
              <w:jc w:val="center"/>
              <w:rPr>
                <w:rFonts w:ascii="Times New Roman" w:hAnsi="Times New Roman" w:cs="Times New Roman"/>
                <w:color w:val="000000" w:themeColor="text1"/>
              </w:rPr>
            </w:pPr>
          </w:p>
        </w:tc>
        <w:tc>
          <w:tcPr>
            <w:tcW w:w="529" w:type="pct"/>
            <w:gridSpan w:val="2"/>
            <w:tcBorders>
              <w:top w:val="nil"/>
              <w:left w:val="nil"/>
              <w:bottom w:val="single" w:sz="8" w:space="0" w:color="000000"/>
              <w:right w:val="nil"/>
            </w:tcBorders>
            <w:tcMar>
              <w:top w:w="15" w:type="dxa"/>
              <w:left w:w="15" w:type="dxa"/>
              <w:bottom w:w="0" w:type="dxa"/>
              <w:right w:w="15" w:type="dxa"/>
            </w:tcMar>
            <w:vAlign w:val="center"/>
            <w:hideMark/>
          </w:tcPr>
          <w:p w14:paraId="6195977D" w14:textId="5F804326"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eGFR ≥ 90</w:t>
            </w:r>
          </w:p>
        </w:tc>
        <w:tc>
          <w:tcPr>
            <w:tcW w:w="401" w:type="pct"/>
            <w:tcBorders>
              <w:top w:val="nil"/>
              <w:left w:val="nil"/>
              <w:bottom w:val="single" w:sz="4" w:space="0" w:color="auto"/>
              <w:right w:val="nil"/>
            </w:tcBorders>
            <w:tcMar>
              <w:top w:w="15" w:type="dxa"/>
              <w:left w:w="15" w:type="dxa"/>
              <w:bottom w:w="0" w:type="dxa"/>
              <w:right w:w="15" w:type="dxa"/>
            </w:tcMar>
            <w:vAlign w:val="center"/>
            <w:hideMark/>
          </w:tcPr>
          <w:p w14:paraId="42E18215" w14:textId="1245B84C"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0.01</w:t>
            </w:r>
          </w:p>
        </w:tc>
        <w:tc>
          <w:tcPr>
            <w:tcW w:w="230" w:type="pct"/>
            <w:tcBorders>
              <w:top w:val="nil"/>
              <w:left w:val="nil"/>
              <w:bottom w:val="single" w:sz="4" w:space="0" w:color="auto"/>
              <w:right w:val="nil"/>
            </w:tcBorders>
            <w:tcMar>
              <w:top w:w="15" w:type="dxa"/>
              <w:left w:w="15" w:type="dxa"/>
              <w:bottom w:w="0" w:type="dxa"/>
              <w:right w:w="15" w:type="dxa"/>
            </w:tcMar>
            <w:vAlign w:val="center"/>
            <w:hideMark/>
          </w:tcPr>
          <w:p w14:paraId="60483A24" w14:textId="17BC0006"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0.00</w:t>
            </w:r>
          </w:p>
        </w:tc>
        <w:tc>
          <w:tcPr>
            <w:tcW w:w="265" w:type="pct"/>
            <w:tcBorders>
              <w:bottom w:val="single" w:sz="4" w:space="0" w:color="auto"/>
            </w:tcBorders>
            <w:vAlign w:val="center"/>
          </w:tcPr>
          <w:p w14:paraId="3C65BA0E" w14:textId="4C0F1CEC"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0.00</w:t>
            </w:r>
          </w:p>
        </w:tc>
        <w:tc>
          <w:tcPr>
            <w:tcW w:w="289" w:type="pct"/>
            <w:tcBorders>
              <w:top w:val="nil"/>
              <w:left w:val="nil"/>
              <w:bottom w:val="single" w:sz="4" w:space="0" w:color="auto"/>
              <w:right w:val="nil"/>
            </w:tcBorders>
            <w:tcMar>
              <w:top w:w="15" w:type="dxa"/>
              <w:left w:w="15" w:type="dxa"/>
              <w:bottom w:w="0" w:type="dxa"/>
              <w:right w:w="15" w:type="dxa"/>
            </w:tcMar>
            <w:vAlign w:val="center"/>
            <w:hideMark/>
          </w:tcPr>
          <w:p w14:paraId="4DEB611A" w14:textId="421CDE94"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0.00</w:t>
            </w:r>
          </w:p>
        </w:tc>
        <w:tc>
          <w:tcPr>
            <w:tcW w:w="12" w:type="pct"/>
            <w:tcBorders>
              <w:top w:val="nil"/>
              <w:left w:val="nil"/>
              <w:bottom w:val="single" w:sz="4" w:space="0" w:color="auto"/>
              <w:right w:val="nil"/>
            </w:tcBorders>
            <w:tcMar>
              <w:top w:w="15" w:type="dxa"/>
              <w:left w:w="15" w:type="dxa"/>
              <w:bottom w:w="0" w:type="dxa"/>
              <w:right w:w="15" w:type="dxa"/>
            </w:tcMar>
            <w:vAlign w:val="center"/>
            <w:hideMark/>
          </w:tcPr>
          <w:p w14:paraId="59F8FD1B" w14:textId="77777777" w:rsidR="007C637A" w:rsidRPr="00590778" w:rsidRDefault="007C637A" w:rsidP="007C637A">
            <w:pPr>
              <w:spacing w:line="300" w:lineRule="auto"/>
              <w:jc w:val="center"/>
              <w:rPr>
                <w:rFonts w:ascii="Times New Roman" w:hAnsi="Times New Roman" w:cs="Times New Roman"/>
                <w:color w:val="000000" w:themeColor="text1"/>
              </w:rPr>
            </w:pPr>
          </w:p>
        </w:tc>
        <w:tc>
          <w:tcPr>
            <w:tcW w:w="530" w:type="pct"/>
            <w:gridSpan w:val="2"/>
            <w:tcBorders>
              <w:top w:val="nil"/>
              <w:left w:val="nil"/>
              <w:bottom w:val="single" w:sz="4" w:space="0" w:color="auto"/>
              <w:right w:val="nil"/>
            </w:tcBorders>
            <w:tcMar>
              <w:top w:w="15" w:type="dxa"/>
              <w:left w:w="15" w:type="dxa"/>
              <w:bottom w:w="0" w:type="dxa"/>
              <w:right w:w="15" w:type="dxa"/>
            </w:tcMar>
            <w:vAlign w:val="center"/>
            <w:hideMark/>
          </w:tcPr>
          <w:p w14:paraId="4012ECC5" w14:textId="3AE48CBF"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eGFR ≥ 90</w:t>
            </w:r>
          </w:p>
        </w:tc>
        <w:tc>
          <w:tcPr>
            <w:tcW w:w="401" w:type="pct"/>
            <w:tcBorders>
              <w:top w:val="nil"/>
              <w:left w:val="nil"/>
              <w:bottom w:val="single" w:sz="4" w:space="0" w:color="auto"/>
              <w:right w:val="nil"/>
            </w:tcBorders>
            <w:tcMar>
              <w:top w:w="15" w:type="dxa"/>
              <w:left w:w="15" w:type="dxa"/>
              <w:bottom w:w="0" w:type="dxa"/>
              <w:right w:w="15" w:type="dxa"/>
            </w:tcMar>
            <w:vAlign w:val="center"/>
            <w:hideMark/>
          </w:tcPr>
          <w:p w14:paraId="311213FD" w14:textId="6179FE6F"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0.00</w:t>
            </w:r>
          </w:p>
        </w:tc>
        <w:tc>
          <w:tcPr>
            <w:tcW w:w="160" w:type="pct"/>
            <w:tcBorders>
              <w:top w:val="nil"/>
              <w:left w:val="nil"/>
              <w:bottom w:val="single" w:sz="4" w:space="0" w:color="auto"/>
              <w:right w:val="nil"/>
            </w:tcBorders>
            <w:tcMar>
              <w:top w:w="15" w:type="dxa"/>
              <w:left w:w="15" w:type="dxa"/>
              <w:bottom w:w="0" w:type="dxa"/>
              <w:right w:w="15" w:type="dxa"/>
            </w:tcMar>
            <w:vAlign w:val="center"/>
            <w:hideMark/>
          </w:tcPr>
          <w:p w14:paraId="1D95A342" w14:textId="2022E4DB"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0.00</w:t>
            </w:r>
          </w:p>
        </w:tc>
        <w:tc>
          <w:tcPr>
            <w:tcW w:w="266" w:type="pct"/>
            <w:tcBorders>
              <w:bottom w:val="single" w:sz="4" w:space="0" w:color="auto"/>
            </w:tcBorders>
            <w:vAlign w:val="center"/>
          </w:tcPr>
          <w:p w14:paraId="3AFDAAD2" w14:textId="6214CF9D"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0.01</w:t>
            </w:r>
          </w:p>
        </w:tc>
        <w:tc>
          <w:tcPr>
            <w:tcW w:w="261" w:type="pct"/>
            <w:tcBorders>
              <w:top w:val="nil"/>
              <w:left w:val="nil"/>
              <w:bottom w:val="single" w:sz="4" w:space="0" w:color="auto"/>
              <w:right w:val="nil"/>
            </w:tcBorders>
            <w:tcMar>
              <w:top w:w="15" w:type="dxa"/>
              <w:left w:w="15" w:type="dxa"/>
              <w:bottom w:w="0" w:type="dxa"/>
              <w:right w:w="15" w:type="dxa"/>
            </w:tcMar>
            <w:vAlign w:val="center"/>
            <w:hideMark/>
          </w:tcPr>
          <w:p w14:paraId="10A4E65C" w14:textId="6893AAE8" w:rsidR="007C637A" w:rsidRPr="00590778" w:rsidRDefault="007C637A" w:rsidP="007C637A">
            <w:pPr>
              <w:spacing w:line="300" w:lineRule="auto"/>
              <w:jc w:val="center"/>
              <w:rPr>
                <w:rFonts w:ascii="Times New Roman" w:hAnsi="Times New Roman" w:cs="Times New Roman"/>
                <w:color w:val="000000" w:themeColor="text1"/>
              </w:rPr>
            </w:pPr>
            <w:r w:rsidRPr="00590778">
              <w:rPr>
                <w:rFonts w:ascii="Times New Roman" w:hAnsi="Times New Roman" w:cs="Times New Roman"/>
                <w:color w:val="000000" w:themeColor="text1"/>
              </w:rPr>
              <w:t>0.01</w:t>
            </w:r>
          </w:p>
        </w:tc>
      </w:tr>
    </w:tbl>
    <w:p w14:paraId="49F03D13" w14:textId="24B67054" w:rsidR="0032134D" w:rsidRPr="00590778" w:rsidRDefault="00DE7181" w:rsidP="006B60E6">
      <w:pPr>
        <w:spacing w:beforeLines="50" w:before="163" w:afterLines="50" w:after="163" w:line="300" w:lineRule="auto"/>
        <w:jc w:val="both"/>
        <w:rPr>
          <w:rFonts w:ascii="Times New Roman" w:hAnsi="Times New Roman" w:cs="Times New Roman"/>
          <w:color w:val="000000" w:themeColor="text1"/>
          <w:kern w:val="2"/>
        </w:rPr>
      </w:pPr>
      <w:r w:rsidRPr="00590778">
        <w:rPr>
          <w:rFonts w:ascii="Times New Roman" w:hAnsi="Times New Roman" w:cs="Times New Roman"/>
          <w:color w:val="000000" w:themeColor="text1"/>
          <w:kern w:val="2"/>
        </w:rPr>
        <w:t xml:space="preserve">CKD: chronic kidney disease, </w:t>
      </w:r>
      <w:r w:rsidR="009A5E08" w:rsidRPr="00590778">
        <w:rPr>
          <w:rFonts w:ascii="Times New Roman" w:hAnsi="Times New Roman" w:cs="Times New Roman"/>
          <w:color w:val="000000" w:themeColor="text1"/>
          <w:kern w:val="2"/>
        </w:rPr>
        <w:t>eGFR</w:t>
      </w:r>
      <w:r w:rsidR="0032134D" w:rsidRPr="00590778">
        <w:rPr>
          <w:rFonts w:ascii="Times New Roman" w:hAnsi="Times New Roman" w:cs="Times New Roman"/>
          <w:color w:val="000000" w:themeColor="text1"/>
          <w:kern w:val="2"/>
        </w:rPr>
        <w:t xml:space="preserve">: </w:t>
      </w:r>
      <w:r w:rsidR="009A5E08" w:rsidRPr="00590778">
        <w:rPr>
          <w:rFonts w:ascii="Times New Roman" w:hAnsi="Times New Roman" w:cs="Times New Roman"/>
          <w:color w:val="000000" w:themeColor="text1"/>
          <w:shd w:val="clear" w:color="auto" w:fill="FFFFFF"/>
        </w:rPr>
        <w:t>estimated</w:t>
      </w:r>
      <w:r w:rsidR="009A5E08" w:rsidRPr="00590778">
        <w:rPr>
          <w:rFonts w:ascii="Times New Roman" w:hAnsi="Times New Roman" w:cs="Times New Roman"/>
          <w:color w:val="000000" w:themeColor="text1"/>
          <w:kern w:val="2"/>
        </w:rPr>
        <w:t xml:space="preserve"> </w:t>
      </w:r>
      <w:r w:rsidR="0032134D" w:rsidRPr="00590778">
        <w:rPr>
          <w:rFonts w:ascii="Times New Roman" w:hAnsi="Times New Roman" w:cs="Times New Roman"/>
          <w:color w:val="000000" w:themeColor="text1"/>
          <w:kern w:val="2"/>
        </w:rPr>
        <w:t>glomerular filtration rate (</w:t>
      </w:r>
      <w:r w:rsidR="00F70BAD" w:rsidRPr="00590778">
        <w:rPr>
          <w:rFonts w:ascii="Times New Roman" w:hAnsi="Times New Roman" w:cs="Times New Roman"/>
          <w:color w:val="000000" w:themeColor="text1"/>
          <w:kern w:val="2"/>
        </w:rPr>
        <w:t>eGFR was estimated using the CKD-EPI creatinine–cystatin C equation</w:t>
      </w:r>
      <w:r w:rsidR="0032134D" w:rsidRPr="00590778">
        <w:rPr>
          <w:rFonts w:ascii="Times New Roman" w:hAnsi="Times New Roman" w:cs="Times New Roman"/>
          <w:color w:val="000000" w:themeColor="text1"/>
          <w:kern w:val="2"/>
        </w:rPr>
        <w:t xml:space="preserve">), ACR: urine albumin-to-creatinine ratio. </w:t>
      </w:r>
    </w:p>
    <w:p w14:paraId="76B13C80" w14:textId="4D8A18DE" w:rsidR="00F70BAD" w:rsidRPr="00590778" w:rsidRDefault="00BF1F81" w:rsidP="00897CE7">
      <w:pPr>
        <w:spacing w:beforeLines="50" w:before="163" w:afterLines="50" w:after="163" w:line="300" w:lineRule="auto"/>
        <w:jc w:val="both"/>
        <w:rPr>
          <w:rFonts w:ascii="Times New Roman" w:hAnsi="Times New Roman" w:cs="Times New Roman"/>
          <w:color w:val="000000" w:themeColor="text1"/>
          <w:kern w:val="2"/>
          <w:szCs w:val="27"/>
        </w:rPr>
        <w:sectPr w:rsidR="00F70BAD" w:rsidRPr="00590778" w:rsidSect="004568FA">
          <w:type w:val="continuous"/>
          <w:pgSz w:w="16838" w:h="11906" w:orient="landscape"/>
          <w:pgMar w:top="720" w:right="720" w:bottom="720" w:left="720" w:header="851" w:footer="992" w:gutter="0"/>
          <w:lnNumType w:countBy="1" w:restart="continuous"/>
          <w:cols w:space="425"/>
          <w:docGrid w:type="lines" w:linePitch="326"/>
        </w:sectPr>
      </w:pPr>
      <w:r w:rsidRPr="00590778">
        <w:rPr>
          <w:rFonts w:ascii="Times New Roman" w:hAnsi="Times New Roman" w:cs="Times New Roman"/>
          <w:color w:val="000000" w:themeColor="text1"/>
          <w:kern w:val="2"/>
        </w:rPr>
        <w:t xml:space="preserve">Feature importance reflects the mean decrease in Gini (MDI) and is not an effect size. ORs were derived from phenotype-specific 2×2 tables (Fisher’s exact tests). </w:t>
      </w:r>
      <w:r w:rsidRPr="00590778">
        <w:rPr>
          <w:rFonts w:ascii="Times New Roman" w:hAnsi="Times New Roman" w:cs="Times New Roman"/>
          <w:i/>
          <w:iCs/>
          <w:color w:val="000000" w:themeColor="text1"/>
          <w:kern w:val="2"/>
        </w:rPr>
        <w:t>p</w:t>
      </w:r>
      <w:r w:rsidRPr="00590778">
        <w:rPr>
          <w:rFonts w:ascii="Times New Roman" w:hAnsi="Times New Roman" w:cs="Times New Roman"/>
          <w:color w:val="000000" w:themeColor="text1"/>
          <w:kern w:val="2"/>
        </w:rPr>
        <w:t xml:space="preserve">-values are nominal; q-values are Benjamini–Hochberg FDR-adjusted (α=0.05) for exploratory comparisons across eGFR/ACR indicators. </w:t>
      </w:r>
    </w:p>
    <w:p w14:paraId="086AEDF8" w14:textId="77777777" w:rsidR="00021BEC" w:rsidRPr="00590778" w:rsidRDefault="00021BEC" w:rsidP="006B60E6">
      <w:pPr>
        <w:spacing w:beforeLines="50" w:before="163" w:afterLines="50" w:after="163" w:line="300" w:lineRule="auto"/>
        <w:jc w:val="both"/>
        <w:rPr>
          <w:rFonts w:ascii="Times New Roman" w:hAnsi="Times New Roman" w:cs="Times New Roman"/>
          <w:color w:val="000000" w:themeColor="text1"/>
          <w:kern w:val="2"/>
        </w:rPr>
      </w:pPr>
      <w:r w:rsidRPr="00590778">
        <w:rPr>
          <w:rFonts w:ascii="Times New Roman" w:hAnsi="Times New Roman" w:cs="Times New Roman"/>
          <w:b/>
          <w:bCs/>
          <w:color w:val="000000" w:themeColor="text1"/>
          <w:kern w:val="2"/>
        </w:rPr>
        <w:lastRenderedPageBreak/>
        <w:t xml:space="preserve">Figure S1. </w:t>
      </w:r>
      <w:r w:rsidRPr="00590778">
        <w:rPr>
          <w:rFonts w:ascii="Times New Roman" w:hAnsi="Times New Roman" w:cs="Times New Roman"/>
          <w:color w:val="000000" w:themeColor="text1"/>
          <w:kern w:val="2"/>
        </w:rPr>
        <w:t>Flowchart for study and validation cohort construction</w:t>
      </w:r>
    </w:p>
    <w:p w14:paraId="0937F320" w14:textId="1C22567C" w:rsidR="00021BEC" w:rsidRPr="00590778" w:rsidRDefault="00E54D49" w:rsidP="006B60E6">
      <w:pPr>
        <w:spacing w:before="163" w:after="163" w:line="300" w:lineRule="auto"/>
        <w:rPr>
          <w:rFonts w:ascii="Times New Roman" w:hAnsi="Times New Roman" w:cs="Times New Roman"/>
          <w:color w:val="000000" w:themeColor="text1"/>
          <w:kern w:val="2"/>
          <w:szCs w:val="27"/>
        </w:rPr>
      </w:pPr>
      <w:r w:rsidRPr="00590778">
        <w:rPr>
          <w:rFonts w:ascii="Times New Roman" w:hAnsi="Times New Roman" w:cs="Times New Roman"/>
          <w:noProof/>
          <w:color w:val="000000" w:themeColor="text1"/>
          <w:kern w:val="2"/>
          <w:szCs w:val="27"/>
        </w:rPr>
        <w:drawing>
          <wp:inline distT="0" distB="0" distL="0" distR="0" wp14:anchorId="6C5C87F2" wp14:editId="0B068841">
            <wp:extent cx="6816402" cy="5300870"/>
            <wp:effectExtent l="0" t="0" r="0" b="0"/>
            <wp:docPr id="1885821161"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21161" name="图片 1" descr="图形用户界面, 应用程序&#10;&#10;AI 生成的内容可能不正确。"/>
                    <pic:cNvPicPr/>
                  </pic:nvPicPr>
                  <pic:blipFill rotWithShape="1">
                    <a:blip r:embed="rId14" cstate="print">
                      <a:extLst>
                        <a:ext uri="{28A0092B-C50C-407E-A947-70E740481C1C}">
                          <a14:useLocalDpi xmlns:a14="http://schemas.microsoft.com/office/drawing/2010/main" val="0"/>
                        </a:ext>
                      </a:extLst>
                    </a:blip>
                    <a:srcRect r="51346"/>
                    <a:stretch>
                      <a:fillRect/>
                    </a:stretch>
                  </pic:blipFill>
                  <pic:spPr bwMode="auto">
                    <a:xfrm>
                      <a:off x="0" y="0"/>
                      <a:ext cx="6903154" cy="5368334"/>
                    </a:xfrm>
                    <a:prstGeom prst="rect">
                      <a:avLst/>
                    </a:prstGeom>
                    <a:ln>
                      <a:noFill/>
                    </a:ln>
                    <a:extLst>
                      <a:ext uri="{53640926-AAD7-44D8-BBD7-CCE9431645EC}">
                        <a14:shadowObscured xmlns:a14="http://schemas.microsoft.com/office/drawing/2010/main"/>
                      </a:ext>
                    </a:extLst>
                  </pic:spPr>
                </pic:pic>
              </a:graphicData>
            </a:graphic>
          </wp:inline>
        </w:drawing>
      </w:r>
    </w:p>
    <w:p w14:paraId="62977CC9" w14:textId="221A6110" w:rsidR="00BA7583" w:rsidRPr="00590778" w:rsidRDefault="00BA7583" w:rsidP="006B60E6">
      <w:pPr>
        <w:spacing w:before="163" w:after="163" w:line="300" w:lineRule="auto"/>
        <w:jc w:val="both"/>
        <w:rPr>
          <w:rFonts w:ascii="Times New Roman" w:hAnsi="Times New Roman" w:cs="Times New Roman"/>
          <w:color w:val="000000" w:themeColor="text1"/>
          <w:kern w:val="2"/>
          <w:szCs w:val="27"/>
        </w:rPr>
      </w:pPr>
      <w:r w:rsidRPr="00590778">
        <w:rPr>
          <w:rFonts w:ascii="Times New Roman" w:hAnsi="Times New Roman" w:cs="Times New Roman"/>
          <w:color w:val="000000" w:themeColor="text1"/>
          <w:kern w:val="2"/>
          <w:szCs w:val="27"/>
        </w:rPr>
        <w:t xml:space="preserve">Comorbidity populations were defined as individuals without CKD but with conditions that have been directly associated with pathological renal changes (e.g., chronic inflammation and vascular injury), and can accelerate renal functional decline. The CKD </w:t>
      </w:r>
      <w:r w:rsidR="000A1F43" w:rsidRPr="00590778">
        <w:rPr>
          <w:rFonts w:ascii="Times New Roman" w:hAnsi="Times New Roman" w:cs="Times New Roman"/>
          <w:color w:val="000000" w:themeColor="text1"/>
          <w:kern w:val="2"/>
          <w:szCs w:val="27"/>
        </w:rPr>
        <w:t>cohort</w:t>
      </w:r>
      <w:r w:rsidRPr="00590778">
        <w:rPr>
          <w:rFonts w:ascii="Times New Roman" w:hAnsi="Times New Roman" w:cs="Times New Roman"/>
          <w:color w:val="000000" w:themeColor="text1"/>
          <w:kern w:val="2"/>
          <w:szCs w:val="27"/>
        </w:rPr>
        <w:t xml:space="preserve"> included participants with CKD and encompassed cases on the spectrum from acute kidney injury (AKI) to CKD.</w:t>
      </w:r>
      <w:r w:rsidR="0044192A" w:rsidRPr="00590778">
        <w:rPr>
          <w:rFonts w:ascii="Times New Roman" w:hAnsi="Times New Roman" w:cs="Times New Roman"/>
          <w:color w:val="000000" w:themeColor="text1"/>
          <w:kern w:val="2"/>
          <w:szCs w:val="27"/>
        </w:rPr>
        <w:t xml:space="preserve"> </w:t>
      </w:r>
    </w:p>
    <w:p w14:paraId="4276D6A9" w14:textId="74AD8C24" w:rsidR="00F82881" w:rsidRPr="00590778" w:rsidRDefault="00EE4615" w:rsidP="006B60E6">
      <w:pPr>
        <w:spacing w:before="163" w:after="163" w:line="300" w:lineRule="auto"/>
        <w:jc w:val="both"/>
        <w:rPr>
          <w:rFonts w:ascii="Times New Roman" w:hAnsi="Times New Roman" w:cs="Times New Roman"/>
          <w:color w:val="000000" w:themeColor="text1"/>
          <w:kern w:val="2"/>
          <w:szCs w:val="27"/>
        </w:rPr>
      </w:pPr>
      <w:r w:rsidRPr="00590778">
        <w:rPr>
          <w:rFonts w:ascii="Times New Roman" w:hAnsi="Times New Roman" w:cs="Times New Roman"/>
          <w:color w:val="000000" w:themeColor="text1"/>
          <w:kern w:val="2"/>
        </w:rPr>
        <w:t xml:space="preserve">CKD: chronic kidney disease, </w:t>
      </w:r>
      <w:r w:rsidR="009A5E08" w:rsidRPr="00590778">
        <w:rPr>
          <w:rFonts w:ascii="Times New Roman" w:hAnsi="Times New Roman" w:cs="Times New Roman"/>
          <w:color w:val="000000" w:themeColor="text1"/>
          <w:kern w:val="2"/>
          <w:szCs w:val="27"/>
        </w:rPr>
        <w:t>eGFR</w:t>
      </w:r>
      <w:r w:rsidR="00021BEC" w:rsidRPr="00590778">
        <w:rPr>
          <w:rFonts w:ascii="Times New Roman" w:hAnsi="Times New Roman" w:cs="Times New Roman"/>
          <w:color w:val="000000" w:themeColor="text1"/>
          <w:kern w:val="2"/>
          <w:szCs w:val="27"/>
        </w:rPr>
        <w:t xml:space="preserve">: </w:t>
      </w:r>
      <w:r w:rsidR="009A5E08" w:rsidRPr="00590778">
        <w:rPr>
          <w:rFonts w:ascii="Times New Roman" w:hAnsi="Times New Roman" w:cs="Times New Roman"/>
          <w:color w:val="000000" w:themeColor="text1"/>
          <w:shd w:val="clear" w:color="auto" w:fill="FFFFFF"/>
        </w:rPr>
        <w:t>estimated</w:t>
      </w:r>
      <w:r w:rsidR="009A5E08" w:rsidRPr="00590778">
        <w:rPr>
          <w:rFonts w:ascii="Times New Roman" w:hAnsi="Times New Roman" w:cs="Times New Roman"/>
          <w:color w:val="000000" w:themeColor="text1"/>
          <w:kern w:val="2"/>
          <w:szCs w:val="27"/>
        </w:rPr>
        <w:t xml:space="preserve"> </w:t>
      </w:r>
      <w:r w:rsidR="00021BEC" w:rsidRPr="00590778">
        <w:rPr>
          <w:rFonts w:ascii="Times New Roman" w:hAnsi="Times New Roman" w:cs="Times New Roman"/>
          <w:color w:val="000000" w:themeColor="text1"/>
          <w:kern w:val="2"/>
          <w:szCs w:val="27"/>
        </w:rPr>
        <w:t>glomerular filtration rate (estimated by the CKD-EPI formula based on creatinine and cystatin C), ACR: urine albumin-to-creatinine ratio.</w:t>
      </w:r>
    </w:p>
    <w:p w14:paraId="40E63C7C" w14:textId="77777777" w:rsidR="00F82881" w:rsidRPr="00590778" w:rsidRDefault="00F82881">
      <w:pPr>
        <w:spacing w:beforeLines="50" w:before="163" w:afterLines="50" w:after="163" w:line="360" w:lineRule="auto"/>
        <w:jc w:val="both"/>
        <w:rPr>
          <w:rFonts w:ascii="Times New Roman" w:hAnsi="Times New Roman" w:cs="Times New Roman"/>
          <w:color w:val="000000" w:themeColor="text1"/>
          <w:kern w:val="2"/>
          <w:szCs w:val="27"/>
        </w:rPr>
      </w:pPr>
      <w:r w:rsidRPr="00590778">
        <w:rPr>
          <w:rFonts w:ascii="Times New Roman" w:hAnsi="Times New Roman" w:cs="Times New Roman"/>
          <w:color w:val="000000" w:themeColor="text1"/>
          <w:kern w:val="2"/>
          <w:szCs w:val="27"/>
        </w:rPr>
        <w:br w:type="page"/>
      </w:r>
    </w:p>
    <w:p w14:paraId="6415E889" w14:textId="77777777" w:rsidR="00021BEC" w:rsidRPr="00590778" w:rsidRDefault="00021BEC" w:rsidP="006B60E6">
      <w:pPr>
        <w:spacing w:before="163" w:after="163" w:line="300" w:lineRule="auto"/>
        <w:jc w:val="both"/>
        <w:rPr>
          <w:rFonts w:ascii="Times New Roman" w:hAnsi="Times New Roman" w:cs="Times New Roman"/>
          <w:b/>
          <w:bCs/>
          <w:color w:val="000000" w:themeColor="text1"/>
          <w:kern w:val="2"/>
        </w:rPr>
        <w:sectPr w:rsidR="00021BEC" w:rsidRPr="00590778" w:rsidSect="004568FA">
          <w:type w:val="continuous"/>
          <w:pgSz w:w="11906" w:h="16838"/>
          <w:pgMar w:top="720" w:right="720" w:bottom="720" w:left="720" w:header="851" w:footer="992" w:gutter="0"/>
          <w:lnNumType w:countBy="1" w:restart="continuous"/>
          <w:cols w:space="425"/>
          <w:docGrid w:type="lines" w:linePitch="326"/>
        </w:sectPr>
      </w:pPr>
    </w:p>
    <w:p w14:paraId="0A173BF2" w14:textId="0133B7A7" w:rsidR="009F064C" w:rsidRPr="00590778" w:rsidRDefault="009F064C" w:rsidP="006B60E6">
      <w:pPr>
        <w:spacing w:before="156" w:after="156" w:line="300" w:lineRule="auto"/>
        <w:jc w:val="both"/>
        <w:rPr>
          <w:rFonts w:ascii="Times New Roman" w:hAnsi="Times New Roman" w:cs="Times New Roman"/>
          <w:color w:val="000000" w:themeColor="text1"/>
          <w:kern w:val="2"/>
        </w:rPr>
      </w:pPr>
      <w:r w:rsidRPr="00590778">
        <w:rPr>
          <w:rFonts w:ascii="Times New Roman" w:hAnsi="Times New Roman" w:cs="Times New Roman"/>
          <w:b/>
          <w:bCs/>
          <w:color w:val="000000" w:themeColor="text1"/>
          <w:kern w:val="2"/>
        </w:rPr>
        <w:lastRenderedPageBreak/>
        <w:t xml:space="preserve">Figure S2. </w:t>
      </w:r>
      <w:r w:rsidRPr="00590778">
        <w:rPr>
          <w:rFonts w:ascii="Times New Roman" w:hAnsi="Times New Roman" w:cs="Times New Roman"/>
          <w:color w:val="000000" w:themeColor="text1"/>
          <w:kern w:val="2"/>
        </w:rPr>
        <w:t>Flowchart for UK Biobank Cohort Selection</w:t>
      </w:r>
    </w:p>
    <w:p w14:paraId="3BEA492A" w14:textId="4B8B3995" w:rsidR="009F064C" w:rsidRPr="00590778" w:rsidRDefault="009F064C" w:rsidP="006B60E6">
      <w:pPr>
        <w:spacing w:before="156" w:after="156" w:line="300" w:lineRule="auto"/>
        <w:jc w:val="both"/>
        <w:rPr>
          <w:rFonts w:ascii="Times New Roman" w:hAnsi="Times New Roman" w:cs="Times New Roman"/>
          <w:b/>
          <w:bCs/>
          <w:color w:val="000000" w:themeColor="text1"/>
          <w:kern w:val="2"/>
        </w:rPr>
      </w:pPr>
      <w:r w:rsidRPr="00590778">
        <w:rPr>
          <w:rFonts w:ascii="Times New Roman" w:hAnsi="Times New Roman" w:cs="Times New Roman"/>
          <w:noProof/>
          <w:color w:val="000000" w:themeColor="text1"/>
          <w:kern w:val="2"/>
          <w:szCs w:val="27"/>
        </w:rPr>
        <w:drawing>
          <wp:inline distT="0" distB="0" distL="0" distR="0" wp14:anchorId="372CEF8F" wp14:editId="5FF2EB8F">
            <wp:extent cx="3572540" cy="4738500"/>
            <wp:effectExtent l="0" t="0" r="0" b="0"/>
            <wp:docPr id="1684992293"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78154" name="图片 1" descr="图形用户界面, 应用程序&#10;&#10;AI 生成的内容可能不正确。"/>
                    <pic:cNvPicPr/>
                  </pic:nvPicPr>
                  <pic:blipFill rotWithShape="1">
                    <a:blip r:embed="rId15" cstate="print">
                      <a:extLst>
                        <a:ext uri="{28A0092B-C50C-407E-A947-70E740481C1C}">
                          <a14:useLocalDpi xmlns:a14="http://schemas.microsoft.com/office/drawing/2010/main" val="0"/>
                        </a:ext>
                      </a:extLst>
                    </a:blip>
                    <a:srcRect l="79030" t="11755" r="-94" b="14407"/>
                    <a:stretch>
                      <a:fillRect/>
                    </a:stretch>
                  </pic:blipFill>
                  <pic:spPr bwMode="auto">
                    <a:xfrm>
                      <a:off x="0" y="0"/>
                      <a:ext cx="3592970" cy="4765598"/>
                    </a:xfrm>
                    <a:prstGeom prst="rect">
                      <a:avLst/>
                    </a:prstGeom>
                    <a:ln>
                      <a:noFill/>
                    </a:ln>
                    <a:extLst>
                      <a:ext uri="{53640926-AAD7-44D8-BBD7-CCE9431645EC}">
                        <a14:shadowObscured xmlns:a14="http://schemas.microsoft.com/office/drawing/2010/main"/>
                      </a:ext>
                    </a:extLst>
                  </pic:spPr>
                </pic:pic>
              </a:graphicData>
            </a:graphic>
          </wp:inline>
        </w:drawing>
      </w:r>
    </w:p>
    <w:p w14:paraId="67C91253" w14:textId="568FFFF5" w:rsidR="009F064C" w:rsidRPr="00590778" w:rsidRDefault="009F064C" w:rsidP="006B60E6">
      <w:pPr>
        <w:spacing w:before="156" w:after="156" w:line="300" w:lineRule="auto"/>
        <w:jc w:val="both"/>
        <w:rPr>
          <w:rFonts w:ascii="Times New Roman" w:hAnsi="Times New Roman" w:cs="Times New Roman"/>
          <w:color w:val="000000" w:themeColor="text1"/>
          <w:kern w:val="2"/>
        </w:rPr>
      </w:pPr>
      <w:r w:rsidRPr="00590778">
        <w:rPr>
          <w:rFonts w:ascii="Times New Roman" w:hAnsi="Times New Roman" w:cs="Times New Roman"/>
          <w:color w:val="000000" w:themeColor="text1"/>
          <w:kern w:val="2"/>
        </w:rPr>
        <w:t>Participants were excluded at each step due to outlier biochemistry values or missing eGFR data.</w:t>
      </w:r>
    </w:p>
    <w:p w14:paraId="316A0684" w14:textId="27D0EA06" w:rsidR="009F064C" w:rsidRPr="00590778" w:rsidRDefault="009F064C" w:rsidP="006B60E6">
      <w:pPr>
        <w:spacing w:before="156" w:after="156" w:line="300" w:lineRule="auto"/>
        <w:jc w:val="both"/>
        <w:rPr>
          <w:rFonts w:ascii="Times New Roman" w:hAnsi="Times New Roman" w:cs="Times New Roman"/>
          <w:color w:val="000000" w:themeColor="text1"/>
          <w:kern w:val="2"/>
        </w:rPr>
      </w:pPr>
      <w:r w:rsidRPr="00590778">
        <w:rPr>
          <w:rFonts w:ascii="Times New Roman" w:hAnsi="Times New Roman" w:cs="Times New Roman"/>
          <w:color w:val="000000" w:themeColor="text1"/>
          <w:kern w:val="2"/>
        </w:rPr>
        <w:t>Interval restriction ensured follow‐up between two and four years to match the two‐year endpoint used in our elderly cohorts.</w:t>
      </w:r>
    </w:p>
    <w:p w14:paraId="56E06D12" w14:textId="77777777" w:rsidR="009F064C" w:rsidRPr="00590778" w:rsidRDefault="009F064C" w:rsidP="006B60E6">
      <w:pPr>
        <w:spacing w:beforeLines="50" w:before="163" w:afterLines="50" w:after="163" w:line="300" w:lineRule="auto"/>
        <w:jc w:val="both"/>
        <w:rPr>
          <w:rFonts w:ascii="Times New Roman" w:hAnsi="Times New Roman" w:cs="Times New Roman"/>
          <w:b/>
          <w:bCs/>
          <w:color w:val="000000" w:themeColor="text1"/>
          <w:kern w:val="2"/>
        </w:rPr>
      </w:pPr>
      <w:r w:rsidRPr="00590778">
        <w:rPr>
          <w:rFonts w:ascii="Times New Roman" w:hAnsi="Times New Roman" w:cs="Times New Roman"/>
          <w:b/>
          <w:bCs/>
          <w:color w:val="000000" w:themeColor="text1"/>
          <w:kern w:val="2"/>
        </w:rPr>
        <w:br w:type="page"/>
      </w:r>
    </w:p>
    <w:p w14:paraId="3786B320" w14:textId="7130E434" w:rsidR="00021BEC" w:rsidRPr="00590778" w:rsidRDefault="00021BEC" w:rsidP="006B60E6">
      <w:pPr>
        <w:spacing w:before="156" w:after="156" w:line="300" w:lineRule="auto"/>
        <w:jc w:val="both"/>
        <w:rPr>
          <w:rFonts w:ascii="Times New Roman" w:hAnsi="Times New Roman" w:cs="Times New Roman"/>
          <w:color w:val="000000" w:themeColor="text1"/>
          <w:kern w:val="2"/>
        </w:rPr>
      </w:pPr>
      <w:r w:rsidRPr="00590778">
        <w:rPr>
          <w:rFonts w:ascii="Times New Roman" w:hAnsi="Times New Roman" w:cs="Times New Roman"/>
          <w:b/>
          <w:bCs/>
          <w:color w:val="000000" w:themeColor="text1"/>
          <w:kern w:val="2"/>
        </w:rPr>
        <w:lastRenderedPageBreak/>
        <w:t>Figure S</w:t>
      </w:r>
      <w:r w:rsidR="00732D56" w:rsidRPr="00590778">
        <w:rPr>
          <w:rFonts w:ascii="Times New Roman" w:hAnsi="Times New Roman" w:cs="Times New Roman"/>
          <w:b/>
          <w:bCs/>
          <w:color w:val="000000" w:themeColor="text1"/>
          <w:kern w:val="2"/>
        </w:rPr>
        <w:t>3</w:t>
      </w:r>
      <w:r w:rsidRPr="00590778">
        <w:rPr>
          <w:rFonts w:ascii="Times New Roman" w:hAnsi="Times New Roman" w:cs="Times New Roman"/>
          <w:b/>
          <w:bCs/>
          <w:color w:val="000000" w:themeColor="text1"/>
          <w:kern w:val="2"/>
        </w:rPr>
        <w:t xml:space="preserve">. </w:t>
      </w:r>
      <w:r w:rsidRPr="00590778">
        <w:rPr>
          <w:rFonts w:ascii="Times New Roman" w:hAnsi="Times New Roman" w:cs="Times New Roman"/>
          <w:color w:val="000000" w:themeColor="text1"/>
          <w:kern w:val="2"/>
        </w:rPr>
        <w:t xml:space="preserve">Distribution of </w:t>
      </w:r>
      <w:r w:rsidR="009A5E08" w:rsidRPr="00590778">
        <w:rPr>
          <w:rFonts w:ascii="Times New Roman" w:hAnsi="Times New Roman" w:cs="Times New Roman"/>
          <w:color w:val="000000" w:themeColor="text1"/>
          <w:kern w:val="2"/>
        </w:rPr>
        <w:t>eGFR</w:t>
      </w:r>
      <w:r w:rsidRPr="00590778">
        <w:rPr>
          <w:rFonts w:ascii="Times New Roman" w:hAnsi="Times New Roman" w:cs="Times New Roman"/>
          <w:color w:val="000000" w:themeColor="text1"/>
          <w:kern w:val="2"/>
        </w:rPr>
        <w:t xml:space="preserve"> across three</w:t>
      </w:r>
      <w:r w:rsidR="00714FFD" w:rsidRPr="00590778">
        <w:rPr>
          <w:rFonts w:ascii="Times New Roman" w:hAnsi="Times New Roman" w:cs="Times New Roman"/>
          <w:color w:val="000000" w:themeColor="text1"/>
          <w:kern w:val="2"/>
        </w:rPr>
        <w:t xml:space="preserve"> elderly populations</w:t>
      </w:r>
    </w:p>
    <w:p w14:paraId="04C7F4F7" w14:textId="45E8E6D2" w:rsidR="00C913FC" w:rsidRPr="00590778" w:rsidRDefault="00121FF2" w:rsidP="006B60E6">
      <w:pPr>
        <w:spacing w:before="156" w:after="156" w:line="300" w:lineRule="auto"/>
        <w:rPr>
          <w:rFonts w:ascii="Times New Roman" w:hAnsi="Times New Roman" w:cs="Times New Roman"/>
          <w:color w:val="000000" w:themeColor="text1"/>
        </w:rPr>
      </w:pPr>
      <w:r w:rsidRPr="00590778">
        <w:rPr>
          <w:rFonts w:ascii="Times New Roman" w:hAnsi="Times New Roman" w:cs="Times New Roman"/>
          <w:noProof/>
          <w:color w:val="000000" w:themeColor="text1"/>
        </w:rPr>
        <w:drawing>
          <wp:inline distT="0" distB="0" distL="0" distR="0" wp14:anchorId="4C68BC7E" wp14:editId="5209889A">
            <wp:extent cx="6645910" cy="4411345"/>
            <wp:effectExtent l="0" t="0" r="0" b="0"/>
            <wp:docPr id="185160289"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0289" name="图片 1" descr="图表, 直方图&#10;&#10;AI 生成的内容可能不正确。"/>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4411345"/>
                    </a:xfrm>
                    <a:prstGeom prst="rect">
                      <a:avLst/>
                    </a:prstGeom>
                  </pic:spPr>
                </pic:pic>
              </a:graphicData>
            </a:graphic>
          </wp:inline>
        </w:drawing>
      </w:r>
    </w:p>
    <w:p w14:paraId="6ED604D1" w14:textId="77947E11" w:rsidR="00116720" w:rsidRPr="00590778" w:rsidRDefault="00116720" w:rsidP="006B60E6">
      <w:pPr>
        <w:spacing w:before="156" w:after="156" w:line="300" w:lineRule="auto"/>
        <w:rPr>
          <w:rFonts w:ascii="Times New Roman" w:hAnsi="Times New Roman" w:cs="Times New Roman"/>
          <w:color w:val="000000" w:themeColor="text1"/>
          <w:kern w:val="2"/>
          <w:szCs w:val="27"/>
        </w:rPr>
      </w:pPr>
      <w:r w:rsidRPr="00590778">
        <w:rPr>
          <w:rFonts w:ascii="Times New Roman" w:hAnsi="Times New Roman" w:cs="Times New Roman"/>
          <w:color w:val="000000" w:themeColor="text1"/>
          <w:kern w:val="2"/>
          <w:szCs w:val="27"/>
        </w:rPr>
        <w:t>The kernel density overlay histogram displays the distribution of eGFR across three cohorts: the healthy cohort (blue curve/bar), the comorbidities cohort (beige curve/bar), and the chronic kidney disease cohort (brick-red curve/bar). eGFR was estimated using the CKD-EPI formula based on creatinine and cystatin C.</w:t>
      </w:r>
    </w:p>
    <w:p w14:paraId="3C9D68C2" w14:textId="1D19BD1C" w:rsidR="00B556C1" w:rsidRPr="00590778" w:rsidRDefault="009A5E08" w:rsidP="006B60E6">
      <w:pPr>
        <w:spacing w:before="156" w:after="156" w:line="300" w:lineRule="auto"/>
        <w:rPr>
          <w:rFonts w:ascii="Times New Roman" w:hAnsi="Times New Roman" w:cs="Times New Roman"/>
          <w:color w:val="000000" w:themeColor="text1"/>
          <w:kern w:val="2"/>
          <w:szCs w:val="27"/>
        </w:rPr>
      </w:pPr>
      <w:r w:rsidRPr="00590778">
        <w:rPr>
          <w:rFonts w:ascii="Times New Roman" w:hAnsi="Times New Roman" w:cs="Times New Roman"/>
          <w:color w:val="000000" w:themeColor="text1"/>
          <w:kern w:val="2"/>
          <w:szCs w:val="27"/>
        </w:rPr>
        <w:t>eGFR</w:t>
      </w:r>
      <w:r w:rsidR="00021BEC" w:rsidRPr="00590778">
        <w:rPr>
          <w:rFonts w:ascii="Times New Roman" w:hAnsi="Times New Roman" w:cs="Times New Roman"/>
          <w:color w:val="000000" w:themeColor="text1"/>
          <w:kern w:val="2"/>
          <w:szCs w:val="27"/>
        </w:rPr>
        <w:t xml:space="preserve">: </w:t>
      </w:r>
      <w:r w:rsidRPr="00590778">
        <w:rPr>
          <w:rFonts w:ascii="Times New Roman" w:hAnsi="Times New Roman" w:cs="Times New Roman"/>
          <w:color w:val="000000" w:themeColor="text1"/>
          <w:shd w:val="clear" w:color="auto" w:fill="FFFFFF"/>
        </w:rPr>
        <w:t>estimated</w:t>
      </w:r>
      <w:r w:rsidRPr="00590778">
        <w:rPr>
          <w:rFonts w:ascii="Times New Roman" w:hAnsi="Times New Roman" w:cs="Times New Roman"/>
          <w:color w:val="000000" w:themeColor="text1"/>
          <w:kern w:val="2"/>
          <w:szCs w:val="27"/>
        </w:rPr>
        <w:t xml:space="preserve"> </w:t>
      </w:r>
      <w:r w:rsidR="00021BEC" w:rsidRPr="00590778">
        <w:rPr>
          <w:rFonts w:ascii="Times New Roman" w:hAnsi="Times New Roman" w:cs="Times New Roman"/>
          <w:color w:val="000000" w:themeColor="text1"/>
          <w:kern w:val="2"/>
          <w:szCs w:val="27"/>
        </w:rPr>
        <w:t>Glomerular filtration rate (estimated by the CKD-EPI formula based on creatinine and cystatin C)</w:t>
      </w:r>
    </w:p>
    <w:p w14:paraId="4B462EAF" w14:textId="77777777" w:rsidR="00A617C1" w:rsidRPr="00590778" w:rsidRDefault="00A617C1">
      <w:pPr>
        <w:spacing w:beforeLines="50" w:before="163" w:afterLines="50" w:after="163" w:line="360" w:lineRule="auto"/>
        <w:jc w:val="both"/>
        <w:rPr>
          <w:rFonts w:ascii="Times New Roman" w:hAnsi="Times New Roman" w:cs="Times New Roman"/>
          <w:color w:val="000000" w:themeColor="text1"/>
          <w:kern w:val="2"/>
          <w:szCs w:val="27"/>
        </w:rPr>
      </w:pPr>
      <w:r w:rsidRPr="00590778">
        <w:rPr>
          <w:rFonts w:ascii="Times New Roman" w:hAnsi="Times New Roman" w:cs="Times New Roman"/>
          <w:color w:val="000000" w:themeColor="text1"/>
          <w:kern w:val="2"/>
          <w:szCs w:val="27"/>
        </w:rPr>
        <w:br w:type="page"/>
      </w:r>
    </w:p>
    <w:p w14:paraId="437DF58A" w14:textId="36065BBE" w:rsidR="00C85EEB" w:rsidRPr="00590778" w:rsidRDefault="00C85EEB" w:rsidP="00C85EEB">
      <w:pPr>
        <w:spacing w:beforeLines="50" w:before="163" w:afterLines="50" w:after="163" w:line="480" w:lineRule="auto"/>
        <w:jc w:val="both"/>
        <w:rPr>
          <w:rFonts w:ascii="Times New Roman" w:hAnsi="Times New Roman" w:cs="Times New Roman"/>
          <w:b/>
          <w:bCs/>
          <w:color w:val="000000" w:themeColor="text1"/>
          <w:shd w:val="clear" w:color="auto" w:fill="FFFFFF"/>
        </w:rPr>
      </w:pPr>
      <w:r w:rsidRPr="00590778">
        <w:rPr>
          <w:rFonts w:ascii="Times New Roman" w:hAnsi="Times New Roman" w:cs="Times New Roman"/>
          <w:b/>
          <w:bCs/>
          <w:color w:val="000000" w:themeColor="text1"/>
          <w:shd w:val="clear" w:color="auto" w:fill="FFFFFF"/>
        </w:rPr>
        <w:lastRenderedPageBreak/>
        <w:t xml:space="preserve">Figure S4. </w:t>
      </w:r>
      <w:r w:rsidRPr="00590778">
        <w:rPr>
          <w:rFonts w:ascii="Times New Roman" w:hAnsi="Times New Roman" w:cs="Times New Roman"/>
          <w:color w:val="000000" w:themeColor="text1"/>
          <w:shd w:val="clear" w:color="auto" w:fill="FFFFFF"/>
        </w:rPr>
        <w:t>Adjusted incidence rate of rapid kidney function decline by eGFR categories in elderly cohorts</w:t>
      </w:r>
    </w:p>
    <w:p w14:paraId="042D2C2D" w14:textId="513AF112" w:rsidR="00732D56" w:rsidRPr="00590778" w:rsidRDefault="003E2B11" w:rsidP="006B60E6">
      <w:pPr>
        <w:spacing w:before="156" w:after="156" w:line="300" w:lineRule="auto"/>
        <w:rPr>
          <w:rFonts w:ascii="Times New Roman" w:hAnsi="Times New Roman" w:cs="Times New Roman"/>
          <w:color w:val="000000" w:themeColor="text1"/>
          <w:kern w:val="2"/>
          <w:szCs w:val="27"/>
        </w:rPr>
      </w:pPr>
      <w:r w:rsidRPr="00590778">
        <w:rPr>
          <w:rFonts w:ascii="Times New Roman" w:hAnsi="Times New Roman" w:cs="Times New Roman"/>
          <w:noProof/>
          <w:color w:val="000000" w:themeColor="text1"/>
          <w:kern w:val="2"/>
          <w:szCs w:val="27"/>
        </w:rPr>
        <w:drawing>
          <wp:inline distT="0" distB="0" distL="0" distR="0" wp14:anchorId="5D3F1854" wp14:editId="7898CE44">
            <wp:extent cx="6696837" cy="6733309"/>
            <wp:effectExtent l="0" t="0" r="0" b="0"/>
            <wp:docPr id="9052022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02244" name="图片 9052022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54354" cy="6791139"/>
                    </a:xfrm>
                    <a:prstGeom prst="rect">
                      <a:avLst/>
                    </a:prstGeom>
                  </pic:spPr>
                </pic:pic>
              </a:graphicData>
            </a:graphic>
          </wp:inline>
        </w:drawing>
      </w:r>
    </w:p>
    <w:p w14:paraId="3B305726" w14:textId="77777777" w:rsidR="00D04AFC" w:rsidRPr="00590778" w:rsidRDefault="00D04AFC" w:rsidP="00D04AFC">
      <w:pPr>
        <w:spacing w:before="156" w:after="156" w:line="300" w:lineRule="auto"/>
        <w:rPr>
          <w:rFonts w:ascii="Times New Roman" w:hAnsi="Times New Roman" w:cs="Times New Roman"/>
          <w:color w:val="000000" w:themeColor="text1"/>
          <w:kern w:val="2"/>
          <w:szCs w:val="27"/>
        </w:rPr>
      </w:pPr>
      <w:r w:rsidRPr="00590778">
        <w:rPr>
          <w:rFonts w:ascii="Times New Roman" w:hAnsi="Times New Roman" w:cs="Times New Roman"/>
          <w:color w:val="000000" w:themeColor="text1"/>
          <w:kern w:val="2"/>
          <w:szCs w:val="27"/>
        </w:rPr>
        <w:t>Color coding indicates adjusted incidence rate categories: Green (&lt; 5%): No risk; Light yellow (5–7.5%): Low risk; Orange (7.5–15%): Moderate risk; Red (&gt; 15%): High risk.</w:t>
      </w:r>
    </w:p>
    <w:p w14:paraId="476EF7C5" w14:textId="7E655879" w:rsidR="00732D56" w:rsidRPr="00590778" w:rsidRDefault="00645803" w:rsidP="00897CE7">
      <w:pPr>
        <w:spacing w:before="156" w:after="156" w:line="300" w:lineRule="auto"/>
        <w:rPr>
          <w:rFonts w:ascii="Times New Roman" w:hAnsi="Times New Roman" w:cs="Times New Roman"/>
          <w:color w:val="000000" w:themeColor="text1"/>
          <w:kern w:val="2"/>
          <w:szCs w:val="27"/>
        </w:rPr>
      </w:pPr>
      <w:r w:rsidRPr="00590778">
        <w:rPr>
          <w:rFonts w:ascii="Times New Roman" w:hAnsi="Times New Roman" w:cs="Times New Roman"/>
          <w:color w:val="000000" w:themeColor="text1"/>
          <w:kern w:val="2"/>
          <w:szCs w:val="27"/>
        </w:rPr>
        <w:t xml:space="preserve">Rate probabilities were adjusted for age, hemoglobin, cholesterol, triglycerides, and phenotype. eGFR was estimated using the CKD-EPI creatinine–cystatin C equation; ACR denotes urine albumin-to-creatinine ratio. </w:t>
      </w:r>
      <w:r w:rsidR="00732D56" w:rsidRPr="00590778">
        <w:rPr>
          <w:rFonts w:ascii="Times New Roman" w:hAnsi="Times New Roman" w:cs="Times New Roman"/>
          <w:color w:val="000000" w:themeColor="text1"/>
          <w:kern w:val="2"/>
          <w:szCs w:val="27"/>
        </w:rPr>
        <w:br w:type="page"/>
      </w:r>
    </w:p>
    <w:p w14:paraId="62CEA866" w14:textId="4633958A" w:rsidR="00C85EEB" w:rsidRPr="00590778" w:rsidRDefault="00C85EEB" w:rsidP="00C85EEB">
      <w:pPr>
        <w:spacing w:beforeLines="50" w:before="163" w:afterLines="50" w:after="163" w:line="480" w:lineRule="auto"/>
        <w:jc w:val="both"/>
        <w:rPr>
          <w:rFonts w:ascii="Times New Roman" w:hAnsi="Times New Roman" w:cs="Times New Roman"/>
          <w:b/>
          <w:bCs/>
          <w:color w:val="000000" w:themeColor="text1"/>
          <w:shd w:val="clear" w:color="auto" w:fill="FFFFFF"/>
        </w:rPr>
      </w:pPr>
      <w:r w:rsidRPr="00590778">
        <w:rPr>
          <w:rFonts w:ascii="Times New Roman" w:hAnsi="Times New Roman" w:cs="Times New Roman"/>
          <w:b/>
          <w:bCs/>
          <w:color w:val="000000" w:themeColor="text1"/>
          <w:shd w:val="clear" w:color="auto" w:fill="FFFFFF"/>
        </w:rPr>
        <w:lastRenderedPageBreak/>
        <w:t xml:space="preserve">Figure S5. </w:t>
      </w:r>
      <w:r w:rsidRPr="00590778">
        <w:rPr>
          <w:rFonts w:ascii="Times New Roman" w:hAnsi="Times New Roman" w:cs="Times New Roman"/>
          <w:color w:val="000000" w:themeColor="text1"/>
          <w:shd w:val="clear" w:color="auto" w:fill="FFFFFF"/>
        </w:rPr>
        <w:t>Adjusted incidence rate of rapid kidney function decline by ACR categories in elderly cohorts</w:t>
      </w:r>
    </w:p>
    <w:p w14:paraId="2D1F39BB" w14:textId="2DF02E25" w:rsidR="00C85EEB" w:rsidRPr="00590778" w:rsidRDefault="000E361A" w:rsidP="00C85EEB">
      <w:pPr>
        <w:spacing w:before="156" w:after="156" w:line="300" w:lineRule="auto"/>
        <w:rPr>
          <w:rFonts w:ascii="Times New Roman" w:hAnsi="Times New Roman" w:cs="Times New Roman"/>
          <w:color w:val="000000" w:themeColor="text1"/>
          <w:kern w:val="2"/>
          <w:szCs w:val="27"/>
        </w:rPr>
      </w:pPr>
      <w:r w:rsidRPr="00590778">
        <w:rPr>
          <w:rFonts w:ascii="Times New Roman" w:hAnsi="Times New Roman" w:cs="Times New Roman"/>
          <w:noProof/>
          <w:color w:val="000000" w:themeColor="text1"/>
          <w:kern w:val="2"/>
          <w:szCs w:val="27"/>
        </w:rPr>
        <w:drawing>
          <wp:inline distT="0" distB="0" distL="0" distR="0" wp14:anchorId="72270074" wp14:editId="1BF96917">
            <wp:extent cx="4762500" cy="6540500"/>
            <wp:effectExtent l="0" t="0" r="0" b="0"/>
            <wp:docPr id="607212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12395" name="图片 6072123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2500" cy="6540500"/>
                    </a:xfrm>
                    <a:prstGeom prst="rect">
                      <a:avLst/>
                    </a:prstGeom>
                  </pic:spPr>
                </pic:pic>
              </a:graphicData>
            </a:graphic>
          </wp:inline>
        </w:drawing>
      </w:r>
    </w:p>
    <w:p w14:paraId="58635A83" w14:textId="77777777" w:rsidR="00D04AFC" w:rsidRPr="00590778" w:rsidRDefault="00D04AFC" w:rsidP="00D04AFC">
      <w:pPr>
        <w:spacing w:before="156" w:after="156" w:line="300" w:lineRule="auto"/>
        <w:rPr>
          <w:rFonts w:ascii="Times New Roman" w:hAnsi="Times New Roman" w:cs="Times New Roman"/>
          <w:color w:val="000000" w:themeColor="text1"/>
          <w:kern w:val="2"/>
          <w:szCs w:val="27"/>
        </w:rPr>
      </w:pPr>
      <w:r w:rsidRPr="00590778">
        <w:rPr>
          <w:rFonts w:ascii="Times New Roman" w:hAnsi="Times New Roman" w:cs="Times New Roman"/>
          <w:color w:val="000000" w:themeColor="text1"/>
          <w:kern w:val="2"/>
          <w:szCs w:val="27"/>
        </w:rPr>
        <w:t>Color coding indicates adjusted incidence rate categories: Green (&lt; 5%): No risk; Light yellow (5–7.5%): Low risk; Orange (7.5–15%): Moderate risk; Red (&gt; 15%): High risk.</w:t>
      </w:r>
    </w:p>
    <w:p w14:paraId="3895E6B6" w14:textId="44E5303B" w:rsidR="00C85EEB" w:rsidRPr="00590778" w:rsidRDefault="00874C25" w:rsidP="00897CE7">
      <w:pPr>
        <w:spacing w:before="156" w:after="156" w:line="300" w:lineRule="auto"/>
        <w:rPr>
          <w:rFonts w:ascii="Times New Roman" w:hAnsi="Times New Roman" w:cs="Times New Roman"/>
          <w:color w:val="000000" w:themeColor="text1"/>
          <w:kern w:val="2"/>
          <w:szCs w:val="27"/>
        </w:rPr>
      </w:pPr>
      <w:r w:rsidRPr="00590778">
        <w:rPr>
          <w:rFonts w:ascii="Times New Roman" w:hAnsi="Times New Roman" w:cs="Times New Roman"/>
          <w:color w:val="000000" w:themeColor="text1"/>
          <w:kern w:val="2"/>
          <w:szCs w:val="27"/>
        </w:rPr>
        <w:t xml:space="preserve">Rate probabilities were adjusted for age, hemoglobin, cholesterol, triglycerides, and phenotype. eGFR was estimated using the CKD-EPI creatinine–cystatin C equation; ACR denotes urine albumin-to-creatinine ratio. </w:t>
      </w:r>
      <w:r w:rsidR="00C85EEB" w:rsidRPr="00590778">
        <w:rPr>
          <w:rFonts w:ascii="Times New Roman" w:hAnsi="Times New Roman" w:cs="Times New Roman"/>
          <w:b/>
          <w:bCs/>
          <w:color w:val="000000" w:themeColor="text1"/>
          <w:sz w:val="32"/>
          <w:szCs w:val="32"/>
        </w:rPr>
        <w:br w:type="page"/>
      </w:r>
    </w:p>
    <w:p w14:paraId="47F242C0" w14:textId="66C898AC" w:rsidR="008370A1" w:rsidRPr="00590778" w:rsidRDefault="00205FCC" w:rsidP="006B60E6">
      <w:pPr>
        <w:spacing w:before="156" w:after="156" w:line="300" w:lineRule="auto"/>
        <w:rPr>
          <w:rFonts w:ascii="Times New Roman" w:hAnsi="Times New Roman" w:cs="Times New Roman"/>
          <w:b/>
          <w:bCs/>
          <w:color w:val="000000" w:themeColor="text1"/>
          <w:sz w:val="32"/>
          <w:szCs w:val="32"/>
        </w:rPr>
      </w:pPr>
      <w:r w:rsidRPr="00590778">
        <w:rPr>
          <w:rFonts w:ascii="Times New Roman" w:hAnsi="Times New Roman" w:cs="Times New Roman"/>
          <w:b/>
          <w:bCs/>
          <w:color w:val="000000" w:themeColor="text1"/>
          <w:sz w:val="32"/>
          <w:szCs w:val="32"/>
        </w:rPr>
        <w:lastRenderedPageBreak/>
        <w:t>REFERENCES</w:t>
      </w:r>
    </w:p>
    <w:p w14:paraId="45BDD196" w14:textId="77777777" w:rsidR="00847BB0" w:rsidRPr="00590778" w:rsidRDefault="008370A1" w:rsidP="00847BB0">
      <w:pPr>
        <w:pStyle w:val="EndNoteBibliography"/>
        <w:rPr>
          <w:rFonts w:ascii="Times New Roman" w:hAnsi="Times New Roman" w:cs="Times New Roman"/>
          <w:noProof/>
          <w:color w:val="000000" w:themeColor="text1"/>
        </w:rPr>
      </w:pPr>
      <w:r w:rsidRPr="00590778">
        <w:rPr>
          <w:rFonts w:ascii="Times New Roman" w:hAnsi="Times New Roman" w:cs="Times New Roman"/>
          <w:color w:val="000000" w:themeColor="text1"/>
        </w:rPr>
        <w:fldChar w:fldCharType="begin"/>
      </w:r>
      <w:r w:rsidRPr="00590778">
        <w:rPr>
          <w:rFonts w:ascii="Times New Roman" w:hAnsi="Times New Roman" w:cs="Times New Roman"/>
          <w:color w:val="000000" w:themeColor="text1"/>
        </w:rPr>
        <w:instrText xml:space="preserve"> ADDIN EN.REFLIST </w:instrText>
      </w:r>
      <w:r w:rsidRPr="00590778">
        <w:rPr>
          <w:rFonts w:ascii="Times New Roman" w:hAnsi="Times New Roman" w:cs="Times New Roman"/>
          <w:color w:val="000000" w:themeColor="text1"/>
        </w:rPr>
        <w:fldChar w:fldCharType="separate"/>
      </w:r>
      <w:r w:rsidR="00847BB0" w:rsidRPr="00590778">
        <w:rPr>
          <w:rFonts w:ascii="Times New Roman" w:hAnsi="Times New Roman" w:cs="Times New Roman"/>
          <w:noProof/>
          <w:color w:val="000000" w:themeColor="text1"/>
        </w:rPr>
        <w:t>1.</w:t>
      </w:r>
      <w:r w:rsidR="00847BB0" w:rsidRPr="00590778">
        <w:rPr>
          <w:rFonts w:ascii="Times New Roman" w:hAnsi="Times New Roman" w:cs="Times New Roman"/>
          <w:noProof/>
          <w:color w:val="000000" w:themeColor="text1"/>
        </w:rPr>
        <w:tab/>
        <w:t xml:space="preserve">Bycroft C, Freeman C, Petkova D, et al. The UK Biobank resource with deep phenotyping and genomic data. </w:t>
      </w:r>
      <w:r w:rsidR="00847BB0" w:rsidRPr="00590778">
        <w:rPr>
          <w:rFonts w:ascii="Times New Roman" w:hAnsi="Times New Roman" w:cs="Times New Roman"/>
          <w:i/>
          <w:noProof/>
          <w:color w:val="000000" w:themeColor="text1"/>
        </w:rPr>
        <w:t>Nature</w:t>
      </w:r>
      <w:r w:rsidR="00847BB0" w:rsidRPr="00590778">
        <w:rPr>
          <w:rFonts w:ascii="Times New Roman" w:hAnsi="Times New Roman" w:cs="Times New Roman"/>
          <w:noProof/>
          <w:color w:val="000000" w:themeColor="text1"/>
        </w:rPr>
        <w:t>. Oct 2018;562(7726):203-209. doi:10.1038/s41586-018-0579-z</w:t>
      </w:r>
    </w:p>
    <w:p w14:paraId="62647205" w14:textId="77777777" w:rsidR="00847BB0" w:rsidRPr="00590778" w:rsidRDefault="00847BB0" w:rsidP="00847BB0">
      <w:pPr>
        <w:pStyle w:val="EndNoteBibliography"/>
        <w:rPr>
          <w:rFonts w:ascii="Times New Roman" w:hAnsi="Times New Roman" w:cs="Times New Roman"/>
          <w:noProof/>
          <w:color w:val="000000" w:themeColor="text1"/>
        </w:rPr>
      </w:pPr>
      <w:r w:rsidRPr="00590778">
        <w:rPr>
          <w:rFonts w:ascii="Times New Roman" w:hAnsi="Times New Roman" w:cs="Times New Roman"/>
          <w:noProof/>
          <w:color w:val="000000" w:themeColor="text1"/>
        </w:rPr>
        <w:t>2.</w:t>
      </w:r>
      <w:r w:rsidRPr="00590778">
        <w:rPr>
          <w:rFonts w:ascii="Times New Roman" w:hAnsi="Times New Roman" w:cs="Times New Roman"/>
          <w:noProof/>
          <w:color w:val="000000" w:themeColor="text1"/>
        </w:rPr>
        <w:tab/>
        <w:t xml:space="preserve">Coresh J, Turin TC, Matsushita K, et al. Decline in estimated glomerular filtration rate and subsequent risk of end-stage renal disease and mortality. </w:t>
      </w:r>
      <w:r w:rsidRPr="00590778">
        <w:rPr>
          <w:rFonts w:ascii="Times New Roman" w:hAnsi="Times New Roman" w:cs="Times New Roman"/>
          <w:i/>
          <w:noProof/>
          <w:color w:val="000000" w:themeColor="text1"/>
        </w:rPr>
        <w:t>JAMA</w:t>
      </w:r>
      <w:r w:rsidRPr="00590778">
        <w:rPr>
          <w:rFonts w:ascii="Times New Roman" w:hAnsi="Times New Roman" w:cs="Times New Roman"/>
          <w:noProof/>
          <w:color w:val="000000" w:themeColor="text1"/>
        </w:rPr>
        <w:t>. Jun 25 2014;311(24):2518-2531. doi:10.1001/jama.2014.6634</w:t>
      </w:r>
    </w:p>
    <w:p w14:paraId="6E7690C7" w14:textId="77777777" w:rsidR="00847BB0" w:rsidRPr="00590778" w:rsidRDefault="00847BB0" w:rsidP="00847BB0">
      <w:pPr>
        <w:pStyle w:val="EndNoteBibliography"/>
        <w:rPr>
          <w:rFonts w:ascii="Times New Roman" w:hAnsi="Times New Roman" w:cs="Times New Roman"/>
          <w:noProof/>
          <w:color w:val="000000" w:themeColor="text1"/>
        </w:rPr>
      </w:pPr>
      <w:r w:rsidRPr="00590778">
        <w:rPr>
          <w:rFonts w:ascii="Times New Roman" w:hAnsi="Times New Roman" w:cs="Times New Roman"/>
          <w:noProof/>
          <w:color w:val="000000" w:themeColor="text1"/>
        </w:rPr>
        <w:t>3.</w:t>
      </w:r>
      <w:r w:rsidRPr="00590778">
        <w:rPr>
          <w:rFonts w:ascii="Times New Roman" w:hAnsi="Times New Roman" w:cs="Times New Roman"/>
          <w:noProof/>
          <w:color w:val="000000" w:themeColor="text1"/>
        </w:rPr>
        <w:tab/>
        <w:t xml:space="preserve">Lambers Heerspink HJ, Tighiouart H, Sang Y, et al. GFR decline and subsequent risk of established kidney outcomes: a meta-analysis of 37 randomized controlled trials. </w:t>
      </w:r>
      <w:r w:rsidRPr="00590778">
        <w:rPr>
          <w:rFonts w:ascii="Times New Roman" w:hAnsi="Times New Roman" w:cs="Times New Roman"/>
          <w:i/>
          <w:noProof/>
          <w:color w:val="000000" w:themeColor="text1"/>
        </w:rPr>
        <w:t>Am J Kidney Dis</w:t>
      </w:r>
      <w:r w:rsidRPr="00590778">
        <w:rPr>
          <w:rFonts w:ascii="Times New Roman" w:hAnsi="Times New Roman" w:cs="Times New Roman"/>
          <w:noProof/>
          <w:color w:val="000000" w:themeColor="text1"/>
        </w:rPr>
        <w:t>. Dec 2014;64(6):860-6. doi:10.1053/j.ajkd.2014.08.018</w:t>
      </w:r>
    </w:p>
    <w:p w14:paraId="7E389952" w14:textId="77777777" w:rsidR="00847BB0" w:rsidRPr="00590778" w:rsidRDefault="00847BB0" w:rsidP="00847BB0">
      <w:pPr>
        <w:pStyle w:val="EndNoteBibliography"/>
        <w:rPr>
          <w:rFonts w:ascii="Times New Roman" w:hAnsi="Times New Roman" w:cs="Times New Roman"/>
          <w:noProof/>
          <w:color w:val="000000" w:themeColor="text1"/>
        </w:rPr>
      </w:pPr>
      <w:r w:rsidRPr="00590778">
        <w:rPr>
          <w:rFonts w:ascii="Times New Roman" w:hAnsi="Times New Roman" w:cs="Times New Roman"/>
          <w:noProof/>
          <w:color w:val="000000" w:themeColor="text1"/>
        </w:rPr>
        <w:t>4.</w:t>
      </w:r>
      <w:r w:rsidRPr="00590778">
        <w:rPr>
          <w:rFonts w:ascii="Times New Roman" w:hAnsi="Times New Roman" w:cs="Times New Roman"/>
          <w:noProof/>
          <w:color w:val="000000" w:themeColor="text1"/>
        </w:rPr>
        <w:tab/>
        <w:t xml:space="preserve">Levey AS, Inker LA, Matsushita K, et al. GFR decline as an end point for clinical trials in CKD: a scientific workshop sponsored by the National Kidney Foundation and the US Food and Drug Administration. </w:t>
      </w:r>
      <w:r w:rsidRPr="00590778">
        <w:rPr>
          <w:rFonts w:ascii="Times New Roman" w:hAnsi="Times New Roman" w:cs="Times New Roman"/>
          <w:i/>
          <w:noProof/>
          <w:color w:val="000000" w:themeColor="text1"/>
        </w:rPr>
        <w:t>Am J Kidney Dis</w:t>
      </w:r>
      <w:r w:rsidRPr="00590778">
        <w:rPr>
          <w:rFonts w:ascii="Times New Roman" w:hAnsi="Times New Roman" w:cs="Times New Roman"/>
          <w:noProof/>
          <w:color w:val="000000" w:themeColor="text1"/>
        </w:rPr>
        <w:t>. Dec 2014;64(6):821-35. doi:10.1053/j.ajkd.2014.07.030</w:t>
      </w:r>
    </w:p>
    <w:p w14:paraId="7A1A2681" w14:textId="77777777" w:rsidR="00847BB0" w:rsidRPr="00590778" w:rsidRDefault="00847BB0" w:rsidP="00847BB0">
      <w:pPr>
        <w:pStyle w:val="EndNoteBibliography"/>
        <w:rPr>
          <w:rFonts w:ascii="Times New Roman" w:hAnsi="Times New Roman" w:cs="Times New Roman"/>
          <w:noProof/>
          <w:color w:val="000000" w:themeColor="text1"/>
        </w:rPr>
      </w:pPr>
      <w:r w:rsidRPr="00590778">
        <w:rPr>
          <w:rFonts w:ascii="Times New Roman" w:hAnsi="Times New Roman" w:cs="Times New Roman"/>
          <w:noProof/>
          <w:color w:val="000000" w:themeColor="text1"/>
        </w:rPr>
        <w:t>5.</w:t>
      </w:r>
      <w:r w:rsidRPr="00590778">
        <w:rPr>
          <w:rFonts w:ascii="Times New Roman" w:hAnsi="Times New Roman" w:cs="Times New Roman"/>
          <w:noProof/>
          <w:color w:val="000000" w:themeColor="text1"/>
        </w:rPr>
        <w:tab/>
        <w:t xml:space="preserve">Kovesdy CP, Coresh J, Ballew SH, et al. Past Decline Versus Current eGFR and Subsequent ESRD Risk. </w:t>
      </w:r>
      <w:r w:rsidRPr="00590778">
        <w:rPr>
          <w:rFonts w:ascii="Times New Roman" w:hAnsi="Times New Roman" w:cs="Times New Roman"/>
          <w:i/>
          <w:noProof/>
          <w:color w:val="000000" w:themeColor="text1"/>
        </w:rPr>
        <w:t>J Am Soc Nephrol</w:t>
      </w:r>
      <w:r w:rsidRPr="00590778">
        <w:rPr>
          <w:rFonts w:ascii="Times New Roman" w:hAnsi="Times New Roman" w:cs="Times New Roman"/>
          <w:noProof/>
          <w:color w:val="000000" w:themeColor="text1"/>
        </w:rPr>
        <w:t>. Aug 2016;27(8):2447-55. doi:10.1681/ASN.2015060687</w:t>
      </w:r>
    </w:p>
    <w:p w14:paraId="1C65C2A9" w14:textId="3B16F0A1" w:rsidR="00021BEC" w:rsidRPr="00590778" w:rsidRDefault="008370A1" w:rsidP="006B60E6">
      <w:pPr>
        <w:spacing w:before="156" w:after="156" w:line="300" w:lineRule="auto"/>
        <w:rPr>
          <w:rFonts w:ascii="Times New Roman" w:hAnsi="Times New Roman" w:cs="Times New Roman"/>
          <w:color w:val="000000" w:themeColor="text1"/>
        </w:rPr>
      </w:pPr>
      <w:r w:rsidRPr="00590778">
        <w:rPr>
          <w:rFonts w:ascii="Times New Roman" w:hAnsi="Times New Roman" w:cs="Times New Roman"/>
          <w:color w:val="000000" w:themeColor="text1"/>
        </w:rPr>
        <w:fldChar w:fldCharType="end"/>
      </w:r>
    </w:p>
    <w:sectPr w:rsidR="00021BEC" w:rsidRPr="00590778" w:rsidSect="004568FA">
      <w:type w:val="continuous"/>
      <w:pgSz w:w="11906" w:h="16838"/>
      <w:pgMar w:top="720" w:right="720" w:bottom="720" w:left="72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3D89F" w14:textId="77777777" w:rsidR="00911151" w:rsidRDefault="00911151" w:rsidP="00A410A3">
      <w:r>
        <w:separator/>
      </w:r>
    </w:p>
  </w:endnote>
  <w:endnote w:type="continuationSeparator" w:id="0">
    <w:p w14:paraId="70CC7AD3" w14:textId="77777777" w:rsidR="00911151" w:rsidRDefault="00911151" w:rsidP="00A41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Times New Roman (正文 CS 字体)">
    <w:altName w:val="宋体"/>
    <w:panose1 w:val="020B0604020202020204"/>
    <w:charset w:val="86"/>
    <w:family w:val="roman"/>
    <w:pitch w:val="default"/>
  </w:font>
  <w:font w:name="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ppleSystemUIFont">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c"/>
      </w:rPr>
      <w:id w:val="-248513648"/>
      <w:docPartObj>
        <w:docPartGallery w:val="Page Numbers (Bottom of Page)"/>
        <w:docPartUnique/>
      </w:docPartObj>
    </w:sdtPr>
    <w:sdtContent>
      <w:p w14:paraId="4F2DB9DD" w14:textId="43463CD2" w:rsidR="008227DC" w:rsidRDefault="008227DC" w:rsidP="00772706">
        <w:pPr>
          <w:pStyle w:val="af2"/>
          <w:framePr w:wrap="none" w:vAnchor="text" w:hAnchor="margin" w:xAlign="center" w:y="1"/>
          <w:rPr>
            <w:rStyle w:val="afc"/>
          </w:rPr>
        </w:pPr>
        <w:r>
          <w:rPr>
            <w:rStyle w:val="afc"/>
          </w:rPr>
          <w:fldChar w:fldCharType="begin"/>
        </w:r>
        <w:r>
          <w:rPr>
            <w:rStyle w:val="afc"/>
          </w:rPr>
          <w:instrText xml:space="preserve"> PAGE </w:instrText>
        </w:r>
        <w:r>
          <w:rPr>
            <w:rStyle w:val="afc"/>
          </w:rPr>
          <w:fldChar w:fldCharType="separate"/>
        </w:r>
        <w:r>
          <w:rPr>
            <w:rStyle w:val="afc"/>
          </w:rPr>
          <w:fldChar w:fldCharType="end"/>
        </w:r>
      </w:p>
    </w:sdtContent>
  </w:sdt>
  <w:p w14:paraId="4AEDC73B" w14:textId="77777777" w:rsidR="00A410A3" w:rsidRDefault="00A410A3">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c"/>
      </w:rPr>
      <w:id w:val="-1283032057"/>
      <w:docPartObj>
        <w:docPartGallery w:val="Page Numbers (Bottom of Page)"/>
        <w:docPartUnique/>
      </w:docPartObj>
    </w:sdtPr>
    <w:sdtContent>
      <w:p w14:paraId="1CA6C198" w14:textId="3FCAD13C" w:rsidR="008227DC" w:rsidRDefault="008227DC" w:rsidP="00772706">
        <w:pPr>
          <w:pStyle w:val="af2"/>
          <w:framePr w:wrap="none" w:vAnchor="text" w:hAnchor="margin" w:xAlign="center" w:y="1"/>
          <w:rPr>
            <w:rStyle w:val="afc"/>
          </w:rPr>
        </w:pPr>
        <w:r>
          <w:rPr>
            <w:rStyle w:val="afc"/>
          </w:rPr>
          <w:fldChar w:fldCharType="begin"/>
        </w:r>
        <w:r>
          <w:rPr>
            <w:rStyle w:val="afc"/>
          </w:rPr>
          <w:instrText xml:space="preserve"> PAGE </w:instrText>
        </w:r>
        <w:r>
          <w:rPr>
            <w:rStyle w:val="afc"/>
          </w:rPr>
          <w:fldChar w:fldCharType="separate"/>
        </w:r>
        <w:r>
          <w:rPr>
            <w:rStyle w:val="afc"/>
            <w:noProof/>
          </w:rPr>
          <w:t>12</w:t>
        </w:r>
        <w:r>
          <w:rPr>
            <w:rStyle w:val="afc"/>
          </w:rPr>
          <w:fldChar w:fldCharType="end"/>
        </w:r>
      </w:p>
    </w:sdtContent>
  </w:sdt>
  <w:p w14:paraId="03148407" w14:textId="77777777" w:rsidR="00A410A3" w:rsidRDefault="00A410A3">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F5991" w14:textId="77777777" w:rsidR="00A410A3" w:rsidRDefault="00A410A3">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891C6" w14:textId="77777777" w:rsidR="00911151" w:rsidRDefault="00911151" w:rsidP="00A410A3">
      <w:r>
        <w:separator/>
      </w:r>
    </w:p>
  </w:footnote>
  <w:footnote w:type="continuationSeparator" w:id="0">
    <w:p w14:paraId="52B3D614" w14:textId="77777777" w:rsidR="00911151" w:rsidRDefault="00911151" w:rsidP="00A410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5DA6D" w14:textId="77777777" w:rsidR="00A410A3" w:rsidRDefault="00A410A3">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7FEBA" w14:textId="77777777" w:rsidR="00A410A3" w:rsidRDefault="00A410A3">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93AFC" w14:textId="77777777" w:rsidR="00A410A3" w:rsidRDefault="00A410A3">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050DF"/>
    <w:multiLevelType w:val="multilevel"/>
    <w:tmpl w:val="A760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860579"/>
    <w:multiLevelType w:val="hybridMultilevel"/>
    <w:tmpl w:val="3F4A5ED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2B242D52"/>
    <w:multiLevelType w:val="hybridMultilevel"/>
    <w:tmpl w:val="216C8768"/>
    <w:lvl w:ilvl="0" w:tplc="890633A2">
      <w:start w:val="1"/>
      <w:numFmt w:val="decimal"/>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EEE1E34"/>
    <w:multiLevelType w:val="multilevel"/>
    <w:tmpl w:val="B128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2D3FE8"/>
    <w:multiLevelType w:val="multilevel"/>
    <w:tmpl w:val="CD385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134393"/>
    <w:multiLevelType w:val="multilevel"/>
    <w:tmpl w:val="3BF807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E24E5A"/>
    <w:multiLevelType w:val="multilevel"/>
    <w:tmpl w:val="A89E59EE"/>
    <w:lvl w:ilvl="0">
      <w:start w:val="1"/>
      <w:numFmt w:val="decimal"/>
      <w:lvlText w:val="%1."/>
      <w:lvlJc w:val="left"/>
      <w:pPr>
        <w:tabs>
          <w:tab w:val="num" w:pos="720"/>
        </w:tabs>
        <w:ind w:left="720" w:hanging="360"/>
      </w:pPr>
    </w:lvl>
    <w:lvl w:ilvl="1">
      <w:start w:val="1"/>
      <w:numFmt w:val="bullet"/>
      <w:lvlText w:val=""/>
      <w:lvlJc w:val="left"/>
      <w:pPr>
        <w:ind w:left="1520" w:hanging="44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50515636">
    <w:abstractNumId w:val="2"/>
  </w:num>
  <w:num w:numId="2" w16cid:durableId="78911556">
    <w:abstractNumId w:val="1"/>
  </w:num>
  <w:num w:numId="3" w16cid:durableId="2052025712">
    <w:abstractNumId w:val="4"/>
  </w:num>
  <w:num w:numId="4" w16cid:durableId="70199370">
    <w:abstractNumId w:val="5"/>
  </w:num>
  <w:num w:numId="5" w16cid:durableId="1150974333">
    <w:abstractNumId w:val="6"/>
  </w:num>
  <w:num w:numId="6" w16cid:durableId="1460303270">
    <w:abstractNumId w:val="3"/>
  </w:num>
  <w:num w:numId="7" w16cid:durableId="874460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宋体&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21BEC"/>
    <w:rsid w:val="00021BEC"/>
    <w:rsid w:val="000277FD"/>
    <w:rsid w:val="00035A71"/>
    <w:rsid w:val="00053D04"/>
    <w:rsid w:val="0005501F"/>
    <w:rsid w:val="00063317"/>
    <w:rsid w:val="000724A5"/>
    <w:rsid w:val="000774C9"/>
    <w:rsid w:val="00081945"/>
    <w:rsid w:val="000A1F43"/>
    <w:rsid w:val="000A2592"/>
    <w:rsid w:val="000A3517"/>
    <w:rsid w:val="000C0262"/>
    <w:rsid w:val="000C03D6"/>
    <w:rsid w:val="000E2AAF"/>
    <w:rsid w:val="000E361A"/>
    <w:rsid w:val="000E52E0"/>
    <w:rsid w:val="0010000B"/>
    <w:rsid w:val="001062C0"/>
    <w:rsid w:val="00116720"/>
    <w:rsid w:val="00121FF2"/>
    <w:rsid w:val="001245FE"/>
    <w:rsid w:val="001301B0"/>
    <w:rsid w:val="00134DAD"/>
    <w:rsid w:val="00144F34"/>
    <w:rsid w:val="00153A47"/>
    <w:rsid w:val="001628DF"/>
    <w:rsid w:val="00164694"/>
    <w:rsid w:val="00171A36"/>
    <w:rsid w:val="00181802"/>
    <w:rsid w:val="00190975"/>
    <w:rsid w:val="001A164A"/>
    <w:rsid w:val="001A38C5"/>
    <w:rsid w:val="001C1786"/>
    <w:rsid w:val="001C7EAC"/>
    <w:rsid w:val="001D1674"/>
    <w:rsid w:val="001E251D"/>
    <w:rsid w:val="001E72DB"/>
    <w:rsid w:val="001F1B96"/>
    <w:rsid w:val="00205FCC"/>
    <w:rsid w:val="002141DE"/>
    <w:rsid w:val="0021635C"/>
    <w:rsid w:val="00220E45"/>
    <w:rsid w:val="00236FDB"/>
    <w:rsid w:val="00262678"/>
    <w:rsid w:val="002930AE"/>
    <w:rsid w:val="002A0918"/>
    <w:rsid w:val="002B0582"/>
    <w:rsid w:val="002C64BE"/>
    <w:rsid w:val="002F0F6D"/>
    <w:rsid w:val="00307DD4"/>
    <w:rsid w:val="0032025E"/>
    <w:rsid w:val="0032134D"/>
    <w:rsid w:val="00322C3D"/>
    <w:rsid w:val="00336932"/>
    <w:rsid w:val="00346289"/>
    <w:rsid w:val="00354C15"/>
    <w:rsid w:val="003559D5"/>
    <w:rsid w:val="0036406F"/>
    <w:rsid w:val="00385680"/>
    <w:rsid w:val="0039546E"/>
    <w:rsid w:val="003A4417"/>
    <w:rsid w:val="003B6FB1"/>
    <w:rsid w:val="003C0DDB"/>
    <w:rsid w:val="003E2B11"/>
    <w:rsid w:val="003E42B0"/>
    <w:rsid w:val="003F2567"/>
    <w:rsid w:val="003F4336"/>
    <w:rsid w:val="003F7453"/>
    <w:rsid w:val="004004D5"/>
    <w:rsid w:val="00414029"/>
    <w:rsid w:val="00416BC1"/>
    <w:rsid w:val="0042728E"/>
    <w:rsid w:val="004274E8"/>
    <w:rsid w:val="0043118F"/>
    <w:rsid w:val="0044192A"/>
    <w:rsid w:val="004568FA"/>
    <w:rsid w:val="004629AE"/>
    <w:rsid w:val="00466BAC"/>
    <w:rsid w:val="00470CC2"/>
    <w:rsid w:val="00482813"/>
    <w:rsid w:val="004B2456"/>
    <w:rsid w:val="004B3CDA"/>
    <w:rsid w:val="004B5319"/>
    <w:rsid w:val="004D6578"/>
    <w:rsid w:val="004E68B5"/>
    <w:rsid w:val="004F37DE"/>
    <w:rsid w:val="00513F7D"/>
    <w:rsid w:val="005148A6"/>
    <w:rsid w:val="005158AB"/>
    <w:rsid w:val="00540252"/>
    <w:rsid w:val="00543593"/>
    <w:rsid w:val="005624E2"/>
    <w:rsid w:val="0056633C"/>
    <w:rsid w:val="0057116A"/>
    <w:rsid w:val="00586069"/>
    <w:rsid w:val="00586BD6"/>
    <w:rsid w:val="00590778"/>
    <w:rsid w:val="005A0CB3"/>
    <w:rsid w:val="005B79CE"/>
    <w:rsid w:val="005C30A3"/>
    <w:rsid w:val="005D125B"/>
    <w:rsid w:val="005E572B"/>
    <w:rsid w:val="005E73CE"/>
    <w:rsid w:val="00606CC7"/>
    <w:rsid w:val="0062377C"/>
    <w:rsid w:val="00623B3F"/>
    <w:rsid w:val="00630C72"/>
    <w:rsid w:val="00645803"/>
    <w:rsid w:val="00651175"/>
    <w:rsid w:val="00655D2C"/>
    <w:rsid w:val="00657F25"/>
    <w:rsid w:val="00664B05"/>
    <w:rsid w:val="006661BA"/>
    <w:rsid w:val="006A3052"/>
    <w:rsid w:val="006A473B"/>
    <w:rsid w:val="006B304E"/>
    <w:rsid w:val="006B60E6"/>
    <w:rsid w:val="006B7312"/>
    <w:rsid w:val="006C23DF"/>
    <w:rsid w:val="006C3EF6"/>
    <w:rsid w:val="006D0A63"/>
    <w:rsid w:val="006F2FCA"/>
    <w:rsid w:val="006F42B2"/>
    <w:rsid w:val="006F4E61"/>
    <w:rsid w:val="006F6A87"/>
    <w:rsid w:val="00700F54"/>
    <w:rsid w:val="00714FFD"/>
    <w:rsid w:val="00724682"/>
    <w:rsid w:val="0073222D"/>
    <w:rsid w:val="00732D56"/>
    <w:rsid w:val="00741181"/>
    <w:rsid w:val="007469CE"/>
    <w:rsid w:val="00765A4A"/>
    <w:rsid w:val="007C637A"/>
    <w:rsid w:val="007E4408"/>
    <w:rsid w:val="007F55FD"/>
    <w:rsid w:val="00800F6B"/>
    <w:rsid w:val="008039C1"/>
    <w:rsid w:val="00811FB1"/>
    <w:rsid w:val="00813617"/>
    <w:rsid w:val="008227DC"/>
    <w:rsid w:val="00834E22"/>
    <w:rsid w:val="008370A1"/>
    <w:rsid w:val="00847BB0"/>
    <w:rsid w:val="008625EB"/>
    <w:rsid w:val="00862A3B"/>
    <w:rsid w:val="00874C25"/>
    <w:rsid w:val="00892B8E"/>
    <w:rsid w:val="0089542F"/>
    <w:rsid w:val="00896822"/>
    <w:rsid w:val="00897CE7"/>
    <w:rsid w:val="008A311F"/>
    <w:rsid w:val="008A597B"/>
    <w:rsid w:val="008B286E"/>
    <w:rsid w:val="008D223F"/>
    <w:rsid w:val="008D621B"/>
    <w:rsid w:val="009035D4"/>
    <w:rsid w:val="00911151"/>
    <w:rsid w:val="009327B8"/>
    <w:rsid w:val="009430AC"/>
    <w:rsid w:val="009455FD"/>
    <w:rsid w:val="00953869"/>
    <w:rsid w:val="00982DAD"/>
    <w:rsid w:val="009837BE"/>
    <w:rsid w:val="00985373"/>
    <w:rsid w:val="0099444F"/>
    <w:rsid w:val="00994E1C"/>
    <w:rsid w:val="009A138E"/>
    <w:rsid w:val="009A5E08"/>
    <w:rsid w:val="009B0AA1"/>
    <w:rsid w:val="009C409A"/>
    <w:rsid w:val="009C6E62"/>
    <w:rsid w:val="009C7716"/>
    <w:rsid w:val="009D3DC3"/>
    <w:rsid w:val="009D7F92"/>
    <w:rsid w:val="009F064C"/>
    <w:rsid w:val="009F163C"/>
    <w:rsid w:val="009F6128"/>
    <w:rsid w:val="009F67B0"/>
    <w:rsid w:val="00A13341"/>
    <w:rsid w:val="00A17487"/>
    <w:rsid w:val="00A21B9D"/>
    <w:rsid w:val="00A30AD4"/>
    <w:rsid w:val="00A410A3"/>
    <w:rsid w:val="00A5453A"/>
    <w:rsid w:val="00A617C1"/>
    <w:rsid w:val="00A6257F"/>
    <w:rsid w:val="00A66019"/>
    <w:rsid w:val="00A66B28"/>
    <w:rsid w:val="00A80E69"/>
    <w:rsid w:val="00A82A30"/>
    <w:rsid w:val="00AB68B2"/>
    <w:rsid w:val="00AC428C"/>
    <w:rsid w:val="00AD3D93"/>
    <w:rsid w:val="00B05231"/>
    <w:rsid w:val="00B17B20"/>
    <w:rsid w:val="00B5202F"/>
    <w:rsid w:val="00B556C1"/>
    <w:rsid w:val="00B5620A"/>
    <w:rsid w:val="00B57155"/>
    <w:rsid w:val="00B65CEC"/>
    <w:rsid w:val="00B66182"/>
    <w:rsid w:val="00B72B42"/>
    <w:rsid w:val="00B84F4C"/>
    <w:rsid w:val="00B93273"/>
    <w:rsid w:val="00B96177"/>
    <w:rsid w:val="00BA7583"/>
    <w:rsid w:val="00BA77D7"/>
    <w:rsid w:val="00BB29FD"/>
    <w:rsid w:val="00BB383E"/>
    <w:rsid w:val="00BC46F0"/>
    <w:rsid w:val="00BD599F"/>
    <w:rsid w:val="00BD6450"/>
    <w:rsid w:val="00BE2AB8"/>
    <w:rsid w:val="00BE7102"/>
    <w:rsid w:val="00BF1AD4"/>
    <w:rsid w:val="00BF1F81"/>
    <w:rsid w:val="00C07EA6"/>
    <w:rsid w:val="00C10E98"/>
    <w:rsid w:val="00C364AB"/>
    <w:rsid w:val="00C40105"/>
    <w:rsid w:val="00C40907"/>
    <w:rsid w:val="00C47EC9"/>
    <w:rsid w:val="00C514A1"/>
    <w:rsid w:val="00C514F8"/>
    <w:rsid w:val="00C626DD"/>
    <w:rsid w:val="00C635D1"/>
    <w:rsid w:val="00C731CF"/>
    <w:rsid w:val="00C73CB2"/>
    <w:rsid w:val="00C752B2"/>
    <w:rsid w:val="00C85EEB"/>
    <w:rsid w:val="00C908A6"/>
    <w:rsid w:val="00C913FC"/>
    <w:rsid w:val="00CD04E0"/>
    <w:rsid w:val="00CD134A"/>
    <w:rsid w:val="00CD2EC2"/>
    <w:rsid w:val="00CE31B6"/>
    <w:rsid w:val="00CE5E20"/>
    <w:rsid w:val="00CE62BF"/>
    <w:rsid w:val="00CF7793"/>
    <w:rsid w:val="00D04AFC"/>
    <w:rsid w:val="00D25C8E"/>
    <w:rsid w:val="00D410C0"/>
    <w:rsid w:val="00D61356"/>
    <w:rsid w:val="00D8375E"/>
    <w:rsid w:val="00DB18A2"/>
    <w:rsid w:val="00DE7181"/>
    <w:rsid w:val="00DF0965"/>
    <w:rsid w:val="00DF0EE1"/>
    <w:rsid w:val="00DF7B8C"/>
    <w:rsid w:val="00E1398D"/>
    <w:rsid w:val="00E54D49"/>
    <w:rsid w:val="00E5607A"/>
    <w:rsid w:val="00E76F35"/>
    <w:rsid w:val="00E77149"/>
    <w:rsid w:val="00E95E43"/>
    <w:rsid w:val="00E9683C"/>
    <w:rsid w:val="00EA5247"/>
    <w:rsid w:val="00EA639A"/>
    <w:rsid w:val="00EC3CD9"/>
    <w:rsid w:val="00EC416F"/>
    <w:rsid w:val="00ED3C7C"/>
    <w:rsid w:val="00ED41DC"/>
    <w:rsid w:val="00ED7774"/>
    <w:rsid w:val="00EE0961"/>
    <w:rsid w:val="00EE4615"/>
    <w:rsid w:val="00F02674"/>
    <w:rsid w:val="00F03889"/>
    <w:rsid w:val="00F23253"/>
    <w:rsid w:val="00F422C2"/>
    <w:rsid w:val="00F518BE"/>
    <w:rsid w:val="00F55F13"/>
    <w:rsid w:val="00F70BAD"/>
    <w:rsid w:val="00F77C12"/>
    <w:rsid w:val="00F822FE"/>
    <w:rsid w:val="00F82881"/>
    <w:rsid w:val="00F91DCB"/>
    <w:rsid w:val="00F97D7C"/>
    <w:rsid w:val="00FB1DFD"/>
    <w:rsid w:val="00FB35C4"/>
    <w:rsid w:val="00FC1663"/>
    <w:rsid w:val="00FD0FF1"/>
    <w:rsid w:val="00FD4A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53DA2"/>
  <w15:chartTrackingRefBased/>
  <w15:docId w15:val="{8379D6B0-A964-7A49-BE8D-975B3F49F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正文 CS 字体)"/>
        <w:color w:val="000000" w:themeColor="text1"/>
        <w:kern w:val="2"/>
        <w:sz w:val="24"/>
        <w:szCs w:val="24"/>
        <w:lang w:val="en-US" w:eastAsia="zh-CN" w:bidi="ar-SA"/>
      </w:rPr>
    </w:rPrDefault>
    <w:pPrDefault>
      <w:pPr>
        <w:spacing w:beforeLines="50" w:before="50" w:afterLines="50" w:after="5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5EEB"/>
    <w:pPr>
      <w:spacing w:beforeLines="0" w:before="0" w:afterLines="0" w:after="0" w:line="240" w:lineRule="auto"/>
      <w:jc w:val="left"/>
    </w:pPr>
    <w:rPr>
      <w:rFonts w:ascii="宋体" w:hAnsi="宋体" w:cs="宋体"/>
      <w:color w:val="auto"/>
      <w:kern w:val="0"/>
    </w:rPr>
  </w:style>
  <w:style w:type="paragraph" w:styleId="1">
    <w:name w:val="heading 1"/>
    <w:basedOn w:val="a"/>
    <w:next w:val="a"/>
    <w:link w:val="10"/>
    <w:uiPriority w:val="9"/>
    <w:qFormat/>
    <w:rsid w:val="00021BEC"/>
    <w:pPr>
      <w:keepNext/>
      <w:keepLines/>
      <w:spacing w:beforeLines="50" w:before="480" w:afterLines="50" w:after="80" w:line="360" w:lineRule="auto"/>
      <w:jc w:val="both"/>
      <w:outlineLvl w:val="0"/>
    </w:pPr>
    <w:rPr>
      <w:rFonts w:asciiTheme="majorHAnsi" w:eastAsiaTheme="majorEastAsia" w:hAnsiTheme="majorHAnsi" w:cstheme="majorBidi"/>
      <w:color w:val="0F4761" w:themeColor="accent1" w:themeShade="BF"/>
      <w:kern w:val="2"/>
      <w:sz w:val="48"/>
      <w:szCs w:val="48"/>
    </w:rPr>
  </w:style>
  <w:style w:type="paragraph" w:styleId="2">
    <w:name w:val="heading 2"/>
    <w:basedOn w:val="a"/>
    <w:next w:val="a"/>
    <w:link w:val="20"/>
    <w:uiPriority w:val="9"/>
    <w:semiHidden/>
    <w:unhideWhenUsed/>
    <w:qFormat/>
    <w:rsid w:val="00021BEC"/>
    <w:pPr>
      <w:keepNext/>
      <w:keepLines/>
      <w:spacing w:beforeLines="50" w:before="160" w:afterLines="50" w:after="80" w:line="360" w:lineRule="auto"/>
      <w:jc w:val="both"/>
      <w:outlineLvl w:val="1"/>
    </w:pPr>
    <w:rPr>
      <w:rFonts w:asciiTheme="majorHAnsi" w:eastAsiaTheme="majorEastAsia" w:hAnsiTheme="majorHAnsi" w:cstheme="majorBidi"/>
      <w:color w:val="0F4761" w:themeColor="accent1" w:themeShade="BF"/>
      <w:kern w:val="2"/>
      <w:sz w:val="40"/>
      <w:szCs w:val="40"/>
    </w:rPr>
  </w:style>
  <w:style w:type="paragraph" w:styleId="3">
    <w:name w:val="heading 3"/>
    <w:basedOn w:val="a"/>
    <w:next w:val="a"/>
    <w:link w:val="30"/>
    <w:uiPriority w:val="9"/>
    <w:semiHidden/>
    <w:unhideWhenUsed/>
    <w:qFormat/>
    <w:rsid w:val="00021BEC"/>
    <w:pPr>
      <w:keepNext/>
      <w:keepLines/>
      <w:spacing w:beforeLines="50" w:before="160" w:afterLines="50" w:after="80" w:line="360" w:lineRule="auto"/>
      <w:jc w:val="both"/>
      <w:outlineLvl w:val="2"/>
    </w:pPr>
    <w:rPr>
      <w:rFonts w:asciiTheme="majorHAnsi" w:eastAsiaTheme="majorEastAsia" w:hAnsiTheme="majorHAnsi" w:cstheme="majorBidi"/>
      <w:color w:val="0F4761" w:themeColor="accent1" w:themeShade="BF"/>
      <w:kern w:val="2"/>
      <w:sz w:val="32"/>
      <w:szCs w:val="32"/>
    </w:rPr>
  </w:style>
  <w:style w:type="paragraph" w:styleId="4">
    <w:name w:val="heading 4"/>
    <w:basedOn w:val="a"/>
    <w:next w:val="a"/>
    <w:link w:val="40"/>
    <w:uiPriority w:val="9"/>
    <w:semiHidden/>
    <w:unhideWhenUsed/>
    <w:qFormat/>
    <w:rsid w:val="00021BEC"/>
    <w:pPr>
      <w:keepNext/>
      <w:keepLines/>
      <w:spacing w:beforeLines="50" w:before="80" w:afterLines="50" w:after="40" w:line="360" w:lineRule="auto"/>
      <w:jc w:val="both"/>
      <w:outlineLvl w:val="3"/>
    </w:pPr>
    <w:rPr>
      <w:rFonts w:asciiTheme="minorHAnsi" w:eastAsiaTheme="minorEastAsia" w:hAnsiTheme="minorHAnsi" w:cstheme="majorBidi"/>
      <w:color w:val="0F4761" w:themeColor="accent1" w:themeShade="BF"/>
      <w:kern w:val="2"/>
      <w:sz w:val="28"/>
      <w:szCs w:val="28"/>
    </w:rPr>
  </w:style>
  <w:style w:type="paragraph" w:styleId="5">
    <w:name w:val="heading 5"/>
    <w:basedOn w:val="a"/>
    <w:next w:val="a"/>
    <w:link w:val="50"/>
    <w:uiPriority w:val="9"/>
    <w:semiHidden/>
    <w:unhideWhenUsed/>
    <w:qFormat/>
    <w:rsid w:val="00021BEC"/>
    <w:pPr>
      <w:keepNext/>
      <w:keepLines/>
      <w:spacing w:beforeLines="50" w:before="80" w:afterLines="50" w:after="40" w:line="360" w:lineRule="auto"/>
      <w:jc w:val="both"/>
      <w:outlineLvl w:val="4"/>
    </w:pPr>
    <w:rPr>
      <w:rFonts w:asciiTheme="minorHAnsi" w:eastAsiaTheme="minorEastAsia" w:hAnsiTheme="minorHAnsi" w:cstheme="majorBidi"/>
      <w:color w:val="0F4761" w:themeColor="accent1" w:themeShade="BF"/>
      <w:kern w:val="2"/>
    </w:rPr>
  </w:style>
  <w:style w:type="paragraph" w:styleId="6">
    <w:name w:val="heading 6"/>
    <w:basedOn w:val="a"/>
    <w:next w:val="a"/>
    <w:link w:val="60"/>
    <w:uiPriority w:val="9"/>
    <w:semiHidden/>
    <w:unhideWhenUsed/>
    <w:qFormat/>
    <w:rsid w:val="00021BEC"/>
    <w:pPr>
      <w:keepNext/>
      <w:keepLines/>
      <w:spacing w:beforeLines="50" w:before="40" w:afterLines="50" w:line="360" w:lineRule="auto"/>
      <w:jc w:val="both"/>
      <w:outlineLvl w:val="5"/>
    </w:pPr>
    <w:rPr>
      <w:rFonts w:asciiTheme="minorHAnsi" w:eastAsiaTheme="minorEastAsia" w:hAnsiTheme="minorHAnsi" w:cstheme="majorBidi"/>
      <w:b/>
      <w:bCs/>
      <w:color w:val="0F4761" w:themeColor="accent1" w:themeShade="BF"/>
      <w:kern w:val="2"/>
    </w:rPr>
  </w:style>
  <w:style w:type="paragraph" w:styleId="7">
    <w:name w:val="heading 7"/>
    <w:basedOn w:val="a"/>
    <w:next w:val="a"/>
    <w:link w:val="70"/>
    <w:uiPriority w:val="9"/>
    <w:semiHidden/>
    <w:unhideWhenUsed/>
    <w:qFormat/>
    <w:rsid w:val="00021BEC"/>
    <w:pPr>
      <w:keepNext/>
      <w:keepLines/>
      <w:spacing w:beforeLines="50" w:before="40" w:afterLines="50" w:line="360" w:lineRule="auto"/>
      <w:jc w:val="both"/>
      <w:outlineLvl w:val="6"/>
    </w:pPr>
    <w:rPr>
      <w:rFonts w:asciiTheme="minorHAnsi" w:eastAsiaTheme="minorEastAsia" w:hAnsiTheme="minorHAnsi" w:cstheme="majorBidi"/>
      <w:b/>
      <w:bCs/>
      <w:color w:val="595959" w:themeColor="text1" w:themeTint="A6"/>
      <w:kern w:val="2"/>
    </w:rPr>
  </w:style>
  <w:style w:type="paragraph" w:styleId="8">
    <w:name w:val="heading 8"/>
    <w:basedOn w:val="a"/>
    <w:next w:val="a"/>
    <w:link w:val="80"/>
    <w:uiPriority w:val="9"/>
    <w:semiHidden/>
    <w:unhideWhenUsed/>
    <w:qFormat/>
    <w:rsid w:val="00021BEC"/>
    <w:pPr>
      <w:keepNext/>
      <w:keepLines/>
      <w:spacing w:beforeLines="50" w:afterLines="50" w:line="360" w:lineRule="auto"/>
      <w:jc w:val="both"/>
      <w:outlineLvl w:val="7"/>
    </w:pPr>
    <w:rPr>
      <w:rFonts w:asciiTheme="minorHAnsi" w:eastAsiaTheme="minorEastAsia" w:hAnsiTheme="minorHAnsi" w:cstheme="majorBidi"/>
      <w:color w:val="595959" w:themeColor="text1" w:themeTint="A6"/>
      <w:kern w:val="2"/>
    </w:rPr>
  </w:style>
  <w:style w:type="paragraph" w:styleId="9">
    <w:name w:val="heading 9"/>
    <w:basedOn w:val="a"/>
    <w:next w:val="a"/>
    <w:link w:val="90"/>
    <w:uiPriority w:val="9"/>
    <w:semiHidden/>
    <w:unhideWhenUsed/>
    <w:qFormat/>
    <w:rsid w:val="00021BEC"/>
    <w:pPr>
      <w:keepNext/>
      <w:keepLines/>
      <w:spacing w:beforeLines="50" w:afterLines="50" w:line="360" w:lineRule="auto"/>
      <w:jc w:val="both"/>
      <w:outlineLvl w:val="8"/>
    </w:pPr>
    <w:rPr>
      <w:rFonts w:asciiTheme="minorHAnsi" w:eastAsiaTheme="majorEastAsia" w:hAnsiTheme="minorHAnsi" w:cstheme="majorBidi"/>
      <w:color w:val="595959" w:themeColor="text1" w:themeTint="A6"/>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21BEC"/>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021BEC"/>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021BEC"/>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021BEC"/>
    <w:rPr>
      <w:rFonts w:asciiTheme="minorHAnsi" w:eastAsiaTheme="minorEastAsia" w:hAnsiTheme="minorHAnsi" w:cstheme="majorBidi"/>
      <w:color w:val="0F4761" w:themeColor="accent1" w:themeShade="BF"/>
      <w:sz w:val="28"/>
      <w:szCs w:val="28"/>
    </w:rPr>
  </w:style>
  <w:style w:type="character" w:customStyle="1" w:styleId="50">
    <w:name w:val="标题 5 字符"/>
    <w:basedOn w:val="a0"/>
    <w:link w:val="5"/>
    <w:uiPriority w:val="9"/>
    <w:semiHidden/>
    <w:rsid w:val="00021BEC"/>
    <w:rPr>
      <w:rFonts w:asciiTheme="minorHAnsi" w:eastAsiaTheme="minorEastAsia" w:hAnsiTheme="minorHAnsi" w:cstheme="majorBidi"/>
      <w:color w:val="0F4761" w:themeColor="accent1" w:themeShade="BF"/>
    </w:rPr>
  </w:style>
  <w:style w:type="character" w:customStyle="1" w:styleId="60">
    <w:name w:val="标题 6 字符"/>
    <w:basedOn w:val="a0"/>
    <w:link w:val="6"/>
    <w:uiPriority w:val="9"/>
    <w:semiHidden/>
    <w:rsid w:val="00021BEC"/>
    <w:rPr>
      <w:rFonts w:asciiTheme="minorHAnsi" w:eastAsiaTheme="minorEastAsia" w:hAnsiTheme="minorHAnsi" w:cstheme="majorBidi"/>
      <w:b/>
      <w:bCs/>
      <w:color w:val="0F4761" w:themeColor="accent1" w:themeShade="BF"/>
    </w:rPr>
  </w:style>
  <w:style w:type="character" w:customStyle="1" w:styleId="70">
    <w:name w:val="标题 7 字符"/>
    <w:basedOn w:val="a0"/>
    <w:link w:val="7"/>
    <w:uiPriority w:val="9"/>
    <w:semiHidden/>
    <w:rsid w:val="00021BEC"/>
    <w:rPr>
      <w:rFonts w:asciiTheme="minorHAnsi" w:eastAsiaTheme="minorEastAsia" w:hAnsiTheme="minorHAnsi" w:cstheme="majorBidi"/>
      <w:b/>
      <w:bCs/>
      <w:color w:val="595959" w:themeColor="text1" w:themeTint="A6"/>
    </w:rPr>
  </w:style>
  <w:style w:type="character" w:customStyle="1" w:styleId="80">
    <w:name w:val="标题 8 字符"/>
    <w:basedOn w:val="a0"/>
    <w:link w:val="8"/>
    <w:uiPriority w:val="9"/>
    <w:semiHidden/>
    <w:rsid w:val="00021BEC"/>
    <w:rPr>
      <w:rFonts w:asciiTheme="minorHAnsi" w:eastAsiaTheme="minorEastAsia" w:hAnsiTheme="minorHAnsi" w:cstheme="majorBidi"/>
      <w:color w:val="595959" w:themeColor="text1" w:themeTint="A6"/>
    </w:rPr>
  </w:style>
  <w:style w:type="character" w:customStyle="1" w:styleId="90">
    <w:name w:val="标题 9 字符"/>
    <w:basedOn w:val="a0"/>
    <w:link w:val="9"/>
    <w:uiPriority w:val="9"/>
    <w:semiHidden/>
    <w:rsid w:val="00021BEC"/>
    <w:rPr>
      <w:rFonts w:asciiTheme="minorHAnsi" w:eastAsiaTheme="majorEastAsia" w:hAnsiTheme="minorHAnsi" w:cstheme="majorBidi"/>
      <w:color w:val="595959" w:themeColor="text1" w:themeTint="A6"/>
    </w:rPr>
  </w:style>
  <w:style w:type="paragraph" w:styleId="a3">
    <w:name w:val="Title"/>
    <w:basedOn w:val="a"/>
    <w:next w:val="a"/>
    <w:link w:val="a4"/>
    <w:uiPriority w:val="10"/>
    <w:qFormat/>
    <w:rsid w:val="00021BEC"/>
    <w:pPr>
      <w:spacing w:beforeLines="50" w:afterLines="50"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21BEC"/>
    <w:rPr>
      <w:rFonts w:asciiTheme="majorHAnsi" w:eastAsiaTheme="majorEastAsia" w:hAnsiTheme="majorHAnsi" w:cstheme="majorBidi"/>
      <w:color w:val="auto"/>
      <w:spacing w:val="-10"/>
      <w:kern w:val="28"/>
      <w:sz w:val="56"/>
      <w:szCs w:val="56"/>
    </w:rPr>
  </w:style>
  <w:style w:type="paragraph" w:styleId="a5">
    <w:name w:val="Subtitle"/>
    <w:basedOn w:val="a"/>
    <w:next w:val="a"/>
    <w:link w:val="a6"/>
    <w:uiPriority w:val="11"/>
    <w:qFormat/>
    <w:rsid w:val="00021BEC"/>
    <w:pPr>
      <w:numPr>
        <w:ilvl w:val="1"/>
      </w:numPr>
      <w:spacing w:beforeLines="50" w:before="50" w:afterLines="50" w:after="160" w:line="360" w:lineRule="auto"/>
      <w:jc w:val="center"/>
    </w:pPr>
    <w:rPr>
      <w:rFonts w:asciiTheme="majorHAnsi" w:eastAsiaTheme="majorEastAsia" w:hAnsiTheme="majorHAnsi" w:cstheme="majorBidi"/>
      <w:color w:val="595959" w:themeColor="text1" w:themeTint="A6"/>
      <w:spacing w:val="15"/>
      <w:kern w:val="2"/>
      <w:sz w:val="28"/>
      <w:szCs w:val="28"/>
    </w:rPr>
  </w:style>
  <w:style w:type="character" w:customStyle="1" w:styleId="a6">
    <w:name w:val="副标题 字符"/>
    <w:basedOn w:val="a0"/>
    <w:link w:val="a5"/>
    <w:uiPriority w:val="11"/>
    <w:rsid w:val="00021BE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21BEC"/>
    <w:pPr>
      <w:spacing w:beforeLines="50" w:before="160" w:afterLines="50" w:after="160" w:line="360" w:lineRule="auto"/>
      <w:jc w:val="center"/>
    </w:pPr>
    <w:rPr>
      <w:rFonts w:ascii="Times New Roman" w:hAnsi="Times New Roman" w:cs="Times New Roman (正文 CS 字体)"/>
      <w:i/>
      <w:iCs/>
      <w:color w:val="404040" w:themeColor="text1" w:themeTint="BF"/>
      <w:kern w:val="2"/>
    </w:rPr>
  </w:style>
  <w:style w:type="character" w:customStyle="1" w:styleId="a8">
    <w:name w:val="引用 字符"/>
    <w:basedOn w:val="a0"/>
    <w:link w:val="a7"/>
    <w:uiPriority w:val="29"/>
    <w:rsid w:val="00021BEC"/>
    <w:rPr>
      <w:i/>
      <w:iCs/>
      <w:color w:val="404040" w:themeColor="text1" w:themeTint="BF"/>
    </w:rPr>
  </w:style>
  <w:style w:type="paragraph" w:styleId="a9">
    <w:name w:val="List Paragraph"/>
    <w:basedOn w:val="a"/>
    <w:uiPriority w:val="34"/>
    <w:qFormat/>
    <w:rsid w:val="00021BEC"/>
    <w:pPr>
      <w:spacing w:beforeLines="50" w:before="50" w:afterLines="50" w:after="50" w:line="360" w:lineRule="auto"/>
      <w:ind w:left="720"/>
      <w:contextualSpacing/>
      <w:jc w:val="both"/>
    </w:pPr>
    <w:rPr>
      <w:rFonts w:ascii="Times New Roman" w:hAnsi="Times New Roman" w:cs="Times New Roman (正文 CS 字体)"/>
      <w:color w:val="000000" w:themeColor="text1"/>
      <w:kern w:val="2"/>
    </w:rPr>
  </w:style>
  <w:style w:type="character" w:styleId="aa">
    <w:name w:val="Intense Emphasis"/>
    <w:basedOn w:val="a0"/>
    <w:uiPriority w:val="21"/>
    <w:qFormat/>
    <w:rsid w:val="00021BEC"/>
    <w:rPr>
      <w:i/>
      <w:iCs/>
      <w:color w:val="0F4761" w:themeColor="accent1" w:themeShade="BF"/>
    </w:rPr>
  </w:style>
  <w:style w:type="paragraph" w:styleId="ab">
    <w:name w:val="Intense Quote"/>
    <w:basedOn w:val="a"/>
    <w:next w:val="a"/>
    <w:link w:val="ac"/>
    <w:uiPriority w:val="30"/>
    <w:qFormat/>
    <w:rsid w:val="00021BEC"/>
    <w:pPr>
      <w:pBdr>
        <w:top w:val="single" w:sz="4" w:space="10" w:color="0F4761" w:themeColor="accent1" w:themeShade="BF"/>
        <w:bottom w:val="single" w:sz="4" w:space="10" w:color="0F4761" w:themeColor="accent1" w:themeShade="BF"/>
      </w:pBdr>
      <w:spacing w:beforeLines="50" w:before="360" w:afterLines="50" w:after="360" w:line="360" w:lineRule="auto"/>
      <w:ind w:left="864" w:right="864"/>
      <w:jc w:val="center"/>
    </w:pPr>
    <w:rPr>
      <w:rFonts w:ascii="Times New Roman" w:hAnsi="Times New Roman" w:cs="Times New Roman (正文 CS 字体)"/>
      <w:i/>
      <w:iCs/>
      <w:color w:val="0F4761" w:themeColor="accent1" w:themeShade="BF"/>
      <w:kern w:val="2"/>
    </w:rPr>
  </w:style>
  <w:style w:type="character" w:customStyle="1" w:styleId="ac">
    <w:name w:val="明显引用 字符"/>
    <w:basedOn w:val="a0"/>
    <w:link w:val="ab"/>
    <w:uiPriority w:val="30"/>
    <w:rsid w:val="00021BEC"/>
    <w:rPr>
      <w:i/>
      <w:iCs/>
      <w:color w:val="0F4761" w:themeColor="accent1" w:themeShade="BF"/>
    </w:rPr>
  </w:style>
  <w:style w:type="character" w:styleId="ad">
    <w:name w:val="Intense Reference"/>
    <w:basedOn w:val="a0"/>
    <w:uiPriority w:val="32"/>
    <w:qFormat/>
    <w:rsid w:val="00021BEC"/>
    <w:rPr>
      <w:b/>
      <w:bCs/>
      <w:smallCaps/>
      <w:color w:val="0F4761" w:themeColor="accent1" w:themeShade="BF"/>
      <w:spacing w:val="5"/>
    </w:rPr>
  </w:style>
  <w:style w:type="paragraph" w:styleId="ae">
    <w:name w:val="Normal (Web)"/>
    <w:basedOn w:val="a"/>
    <w:uiPriority w:val="99"/>
    <w:unhideWhenUsed/>
    <w:rsid w:val="00021BEC"/>
    <w:pPr>
      <w:spacing w:before="100" w:beforeAutospacing="1" w:after="100" w:afterAutospacing="1"/>
    </w:pPr>
  </w:style>
  <w:style w:type="paragraph" w:styleId="af">
    <w:name w:val="Revision"/>
    <w:hidden/>
    <w:uiPriority w:val="99"/>
    <w:semiHidden/>
    <w:rsid w:val="000C0262"/>
    <w:pPr>
      <w:spacing w:beforeLines="0" w:before="0" w:afterLines="0" w:after="0" w:line="240" w:lineRule="auto"/>
      <w:jc w:val="left"/>
    </w:pPr>
    <w:rPr>
      <w:rFonts w:ascii="宋体" w:hAnsi="宋体" w:cs="宋体"/>
      <w:color w:val="auto"/>
      <w:kern w:val="0"/>
    </w:rPr>
  </w:style>
  <w:style w:type="paragraph" w:styleId="af0">
    <w:name w:val="header"/>
    <w:basedOn w:val="a"/>
    <w:link w:val="af1"/>
    <w:uiPriority w:val="99"/>
    <w:unhideWhenUsed/>
    <w:rsid w:val="00A410A3"/>
    <w:pPr>
      <w:tabs>
        <w:tab w:val="center" w:pos="4153"/>
        <w:tab w:val="right" w:pos="8306"/>
      </w:tabs>
      <w:snapToGrid w:val="0"/>
      <w:jc w:val="center"/>
    </w:pPr>
    <w:rPr>
      <w:sz w:val="18"/>
      <w:szCs w:val="18"/>
    </w:rPr>
  </w:style>
  <w:style w:type="character" w:customStyle="1" w:styleId="af1">
    <w:name w:val="页眉 字符"/>
    <w:basedOn w:val="a0"/>
    <w:link w:val="af0"/>
    <w:uiPriority w:val="99"/>
    <w:rsid w:val="00A410A3"/>
    <w:rPr>
      <w:rFonts w:ascii="宋体" w:hAnsi="宋体" w:cs="宋体"/>
      <w:color w:val="auto"/>
      <w:kern w:val="0"/>
      <w:sz w:val="18"/>
      <w:szCs w:val="18"/>
    </w:rPr>
  </w:style>
  <w:style w:type="paragraph" w:styleId="af2">
    <w:name w:val="footer"/>
    <w:basedOn w:val="a"/>
    <w:link w:val="af3"/>
    <w:uiPriority w:val="99"/>
    <w:unhideWhenUsed/>
    <w:rsid w:val="00A410A3"/>
    <w:pPr>
      <w:tabs>
        <w:tab w:val="center" w:pos="4153"/>
        <w:tab w:val="right" w:pos="8306"/>
      </w:tabs>
      <w:snapToGrid w:val="0"/>
    </w:pPr>
    <w:rPr>
      <w:sz w:val="18"/>
      <w:szCs w:val="18"/>
    </w:rPr>
  </w:style>
  <w:style w:type="character" w:customStyle="1" w:styleId="af3">
    <w:name w:val="页脚 字符"/>
    <w:basedOn w:val="a0"/>
    <w:link w:val="af2"/>
    <w:uiPriority w:val="99"/>
    <w:rsid w:val="00A410A3"/>
    <w:rPr>
      <w:rFonts w:ascii="宋体" w:hAnsi="宋体" w:cs="宋体"/>
      <w:color w:val="auto"/>
      <w:kern w:val="0"/>
      <w:sz w:val="18"/>
      <w:szCs w:val="18"/>
    </w:rPr>
  </w:style>
  <w:style w:type="character" w:styleId="af4">
    <w:name w:val="annotation reference"/>
    <w:basedOn w:val="a0"/>
    <w:uiPriority w:val="99"/>
    <w:semiHidden/>
    <w:unhideWhenUsed/>
    <w:rsid w:val="00513F7D"/>
    <w:rPr>
      <w:sz w:val="21"/>
      <w:szCs w:val="21"/>
    </w:rPr>
  </w:style>
  <w:style w:type="paragraph" w:styleId="af5">
    <w:name w:val="annotation text"/>
    <w:basedOn w:val="a"/>
    <w:link w:val="af6"/>
    <w:uiPriority w:val="99"/>
    <w:unhideWhenUsed/>
    <w:rsid w:val="00513F7D"/>
  </w:style>
  <w:style w:type="character" w:customStyle="1" w:styleId="af6">
    <w:name w:val="批注文字 字符"/>
    <w:basedOn w:val="a0"/>
    <w:link w:val="af5"/>
    <w:uiPriority w:val="99"/>
    <w:rsid w:val="00513F7D"/>
    <w:rPr>
      <w:rFonts w:ascii="宋体" w:hAnsi="宋体" w:cs="宋体"/>
      <w:color w:val="auto"/>
      <w:kern w:val="0"/>
    </w:rPr>
  </w:style>
  <w:style w:type="paragraph" w:styleId="af7">
    <w:name w:val="annotation subject"/>
    <w:basedOn w:val="af5"/>
    <w:next w:val="af5"/>
    <w:link w:val="af8"/>
    <w:uiPriority w:val="99"/>
    <w:semiHidden/>
    <w:unhideWhenUsed/>
    <w:rsid w:val="00513F7D"/>
    <w:rPr>
      <w:b/>
      <w:bCs/>
    </w:rPr>
  </w:style>
  <w:style w:type="character" w:customStyle="1" w:styleId="af8">
    <w:name w:val="批注主题 字符"/>
    <w:basedOn w:val="af6"/>
    <w:link w:val="af7"/>
    <w:uiPriority w:val="99"/>
    <w:semiHidden/>
    <w:rsid w:val="00513F7D"/>
    <w:rPr>
      <w:rFonts w:ascii="宋体" w:hAnsi="宋体" w:cs="宋体"/>
      <w:b/>
      <w:bCs/>
      <w:color w:val="auto"/>
      <w:kern w:val="0"/>
    </w:rPr>
  </w:style>
  <w:style w:type="character" w:styleId="af9">
    <w:name w:val="Placeholder Text"/>
    <w:basedOn w:val="a0"/>
    <w:uiPriority w:val="99"/>
    <w:semiHidden/>
    <w:rsid w:val="00B05231"/>
    <w:rPr>
      <w:color w:val="666666"/>
    </w:rPr>
  </w:style>
  <w:style w:type="paragraph" w:customStyle="1" w:styleId="p1">
    <w:name w:val="p1"/>
    <w:basedOn w:val="a"/>
    <w:rsid w:val="008625EB"/>
    <w:rPr>
      <w:rFonts w:ascii=".AppleSystemUIFont" w:hAnsi=".AppleSystemUIFont"/>
      <w:color w:val="0E0E0E"/>
      <w:sz w:val="21"/>
      <w:szCs w:val="21"/>
    </w:rPr>
  </w:style>
  <w:style w:type="character" w:customStyle="1" w:styleId="apple-tab-span">
    <w:name w:val="apple-tab-span"/>
    <w:basedOn w:val="a0"/>
    <w:rsid w:val="00C626DD"/>
  </w:style>
  <w:style w:type="character" w:customStyle="1" w:styleId="katex-mathml">
    <w:name w:val="katex-mathml"/>
    <w:basedOn w:val="a0"/>
    <w:rsid w:val="000774C9"/>
  </w:style>
  <w:style w:type="character" w:customStyle="1" w:styleId="mord">
    <w:name w:val="mord"/>
    <w:basedOn w:val="a0"/>
    <w:rsid w:val="000774C9"/>
  </w:style>
  <w:style w:type="character" w:customStyle="1" w:styleId="vlist-s">
    <w:name w:val="vlist-s"/>
    <w:basedOn w:val="a0"/>
    <w:rsid w:val="000774C9"/>
  </w:style>
  <w:style w:type="character" w:customStyle="1" w:styleId="mpunct">
    <w:name w:val="mpunct"/>
    <w:basedOn w:val="a0"/>
    <w:rsid w:val="000774C9"/>
  </w:style>
  <w:style w:type="character" w:styleId="afa">
    <w:name w:val="Strong"/>
    <w:basedOn w:val="a0"/>
    <w:uiPriority w:val="22"/>
    <w:qFormat/>
    <w:rsid w:val="0043118F"/>
    <w:rPr>
      <w:b/>
      <w:bCs/>
    </w:rPr>
  </w:style>
  <w:style w:type="character" w:styleId="HTML">
    <w:name w:val="HTML Code"/>
    <w:basedOn w:val="a0"/>
    <w:uiPriority w:val="99"/>
    <w:semiHidden/>
    <w:unhideWhenUsed/>
    <w:rsid w:val="0043118F"/>
    <w:rPr>
      <w:rFonts w:ascii="宋体" w:eastAsia="宋体" w:hAnsi="宋体" w:cs="宋体"/>
      <w:sz w:val="24"/>
      <w:szCs w:val="24"/>
    </w:rPr>
  </w:style>
  <w:style w:type="paragraph" w:customStyle="1" w:styleId="EndNoteBibliographyTitle">
    <w:name w:val="EndNote Bibliography Title"/>
    <w:basedOn w:val="a"/>
    <w:link w:val="EndNoteBibliographyTitle0"/>
    <w:rsid w:val="008370A1"/>
    <w:pPr>
      <w:jc w:val="center"/>
    </w:pPr>
  </w:style>
  <w:style w:type="character" w:customStyle="1" w:styleId="EndNoteBibliographyTitle0">
    <w:name w:val="EndNote Bibliography Title 字符"/>
    <w:basedOn w:val="a0"/>
    <w:link w:val="EndNoteBibliographyTitle"/>
    <w:rsid w:val="008370A1"/>
    <w:rPr>
      <w:rFonts w:ascii="宋体" w:hAnsi="宋体" w:cs="宋体"/>
      <w:color w:val="auto"/>
      <w:kern w:val="0"/>
    </w:rPr>
  </w:style>
  <w:style w:type="paragraph" w:customStyle="1" w:styleId="EndNoteBibliography">
    <w:name w:val="EndNote Bibliography"/>
    <w:basedOn w:val="a"/>
    <w:link w:val="EndNoteBibliography0"/>
    <w:rsid w:val="008370A1"/>
  </w:style>
  <w:style w:type="character" w:customStyle="1" w:styleId="EndNoteBibliography0">
    <w:name w:val="EndNote Bibliography 字符"/>
    <w:basedOn w:val="a0"/>
    <w:link w:val="EndNoteBibliography"/>
    <w:rsid w:val="008370A1"/>
    <w:rPr>
      <w:rFonts w:ascii="宋体" w:hAnsi="宋体" w:cs="宋体"/>
      <w:color w:val="auto"/>
      <w:kern w:val="0"/>
    </w:rPr>
  </w:style>
  <w:style w:type="character" w:styleId="afb">
    <w:name w:val="line number"/>
    <w:basedOn w:val="a0"/>
    <w:uiPriority w:val="99"/>
    <w:semiHidden/>
    <w:unhideWhenUsed/>
    <w:rsid w:val="00EA639A"/>
  </w:style>
  <w:style w:type="character" w:styleId="afc">
    <w:name w:val="page number"/>
    <w:basedOn w:val="a0"/>
    <w:uiPriority w:val="99"/>
    <w:semiHidden/>
    <w:unhideWhenUsed/>
    <w:rsid w:val="008227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50591">
      <w:bodyDiv w:val="1"/>
      <w:marLeft w:val="0"/>
      <w:marRight w:val="0"/>
      <w:marTop w:val="0"/>
      <w:marBottom w:val="0"/>
      <w:divBdr>
        <w:top w:val="none" w:sz="0" w:space="0" w:color="auto"/>
        <w:left w:val="none" w:sz="0" w:space="0" w:color="auto"/>
        <w:bottom w:val="none" w:sz="0" w:space="0" w:color="auto"/>
        <w:right w:val="none" w:sz="0" w:space="0" w:color="auto"/>
      </w:divBdr>
    </w:div>
    <w:div w:id="144129728">
      <w:bodyDiv w:val="1"/>
      <w:marLeft w:val="0"/>
      <w:marRight w:val="0"/>
      <w:marTop w:val="0"/>
      <w:marBottom w:val="0"/>
      <w:divBdr>
        <w:top w:val="none" w:sz="0" w:space="0" w:color="auto"/>
        <w:left w:val="none" w:sz="0" w:space="0" w:color="auto"/>
        <w:bottom w:val="none" w:sz="0" w:space="0" w:color="auto"/>
        <w:right w:val="none" w:sz="0" w:space="0" w:color="auto"/>
      </w:divBdr>
    </w:div>
    <w:div w:id="147669699">
      <w:bodyDiv w:val="1"/>
      <w:marLeft w:val="0"/>
      <w:marRight w:val="0"/>
      <w:marTop w:val="0"/>
      <w:marBottom w:val="0"/>
      <w:divBdr>
        <w:top w:val="none" w:sz="0" w:space="0" w:color="auto"/>
        <w:left w:val="none" w:sz="0" w:space="0" w:color="auto"/>
        <w:bottom w:val="none" w:sz="0" w:space="0" w:color="auto"/>
        <w:right w:val="none" w:sz="0" w:space="0" w:color="auto"/>
      </w:divBdr>
    </w:div>
    <w:div w:id="189683665">
      <w:bodyDiv w:val="1"/>
      <w:marLeft w:val="0"/>
      <w:marRight w:val="0"/>
      <w:marTop w:val="0"/>
      <w:marBottom w:val="0"/>
      <w:divBdr>
        <w:top w:val="none" w:sz="0" w:space="0" w:color="auto"/>
        <w:left w:val="none" w:sz="0" w:space="0" w:color="auto"/>
        <w:bottom w:val="none" w:sz="0" w:space="0" w:color="auto"/>
        <w:right w:val="none" w:sz="0" w:space="0" w:color="auto"/>
      </w:divBdr>
    </w:div>
    <w:div w:id="368141108">
      <w:bodyDiv w:val="1"/>
      <w:marLeft w:val="0"/>
      <w:marRight w:val="0"/>
      <w:marTop w:val="0"/>
      <w:marBottom w:val="0"/>
      <w:divBdr>
        <w:top w:val="none" w:sz="0" w:space="0" w:color="auto"/>
        <w:left w:val="none" w:sz="0" w:space="0" w:color="auto"/>
        <w:bottom w:val="none" w:sz="0" w:space="0" w:color="auto"/>
        <w:right w:val="none" w:sz="0" w:space="0" w:color="auto"/>
      </w:divBdr>
    </w:div>
    <w:div w:id="433288028">
      <w:bodyDiv w:val="1"/>
      <w:marLeft w:val="0"/>
      <w:marRight w:val="0"/>
      <w:marTop w:val="0"/>
      <w:marBottom w:val="0"/>
      <w:divBdr>
        <w:top w:val="none" w:sz="0" w:space="0" w:color="auto"/>
        <w:left w:val="none" w:sz="0" w:space="0" w:color="auto"/>
        <w:bottom w:val="none" w:sz="0" w:space="0" w:color="auto"/>
        <w:right w:val="none" w:sz="0" w:space="0" w:color="auto"/>
      </w:divBdr>
    </w:div>
    <w:div w:id="459619135">
      <w:bodyDiv w:val="1"/>
      <w:marLeft w:val="0"/>
      <w:marRight w:val="0"/>
      <w:marTop w:val="0"/>
      <w:marBottom w:val="0"/>
      <w:divBdr>
        <w:top w:val="none" w:sz="0" w:space="0" w:color="auto"/>
        <w:left w:val="none" w:sz="0" w:space="0" w:color="auto"/>
        <w:bottom w:val="none" w:sz="0" w:space="0" w:color="auto"/>
        <w:right w:val="none" w:sz="0" w:space="0" w:color="auto"/>
      </w:divBdr>
    </w:div>
    <w:div w:id="494340354">
      <w:bodyDiv w:val="1"/>
      <w:marLeft w:val="0"/>
      <w:marRight w:val="0"/>
      <w:marTop w:val="0"/>
      <w:marBottom w:val="0"/>
      <w:divBdr>
        <w:top w:val="none" w:sz="0" w:space="0" w:color="auto"/>
        <w:left w:val="none" w:sz="0" w:space="0" w:color="auto"/>
        <w:bottom w:val="none" w:sz="0" w:space="0" w:color="auto"/>
        <w:right w:val="none" w:sz="0" w:space="0" w:color="auto"/>
      </w:divBdr>
    </w:div>
    <w:div w:id="550920541">
      <w:bodyDiv w:val="1"/>
      <w:marLeft w:val="0"/>
      <w:marRight w:val="0"/>
      <w:marTop w:val="0"/>
      <w:marBottom w:val="0"/>
      <w:divBdr>
        <w:top w:val="none" w:sz="0" w:space="0" w:color="auto"/>
        <w:left w:val="none" w:sz="0" w:space="0" w:color="auto"/>
        <w:bottom w:val="none" w:sz="0" w:space="0" w:color="auto"/>
        <w:right w:val="none" w:sz="0" w:space="0" w:color="auto"/>
      </w:divBdr>
    </w:div>
    <w:div w:id="558977037">
      <w:bodyDiv w:val="1"/>
      <w:marLeft w:val="0"/>
      <w:marRight w:val="0"/>
      <w:marTop w:val="0"/>
      <w:marBottom w:val="0"/>
      <w:divBdr>
        <w:top w:val="none" w:sz="0" w:space="0" w:color="auto"/>
        <w:left w:val="none" w:sz="0" w:space="0" w:color="auto"/>
        <w:bottom w:val="none" w:sz="0" w:space="0" w:color="auto"/>
        <w:right w:val="none" w:sz="0" w:space="0" w:color="auto"/>
      </w:divBdr>
    </w:div>
    <w:div w:id="920799991">
      <w:bodyDiv w:val="1"/>
      <w:marLeft w:val="0"/>
      <w:marRight w:val="0"/>
      <w:marTop w:val="0"/>
      <w:marBottom w:val="0"/>
      <w:divBdr>
        <w:top w:val="none" w:sz="0" w:space="0" w:color="auto"/>
        <w:left w:val="none" w:sz="0" w:space="0" w:color="auto"/>
        <w:bottom w:val="none" w:sz="0" w:space="0" w:color="auto"/>
        <w:right w:val="none" w:sz="0" w:space="0" w:color="auto"/>
      </w:divBdr>
    </w:div>
    <w:div w:id="982657414">
      <w:bodyDiv w:val="1"/>
      <w:marLeft w:val="0"/>
      <w:marRight w:val="0"/>
      <w:marTop w:val="0"/>
      <w:marBottom w:val="0"/>
      <w:divBdr>
        <w:top w:val="none" w:sz="0" w:space="0" w:color="auto"/>
        <w:left w:val="none" w:sz="0" w:space="0" w:color="auto"/>
        <w:bottom w:val="none" w:sz="0" w:space="0" w:color="auto"/>
        <w:right w:val="none" w:sz="0" w:space="0" w:color="auto"/>
      </w:divBdr>
    </w:div>
    <w:div w:id="989989533">
      <w:bodyDiv w:val="1"/>
      <w:marLeft w:val="0"/>
      <w:marRight w:val="0"/>
      <w:marTop w:val="0"/>
      <w:marBottom w:val="0"/>
      <w:divBdr>
        <w:top w:val="none" w:sz="0" w:space="0" w:color="auto"/>
        <w:left w:val="none" w:sz="0" w:space="0" w:color="auto"/>
        <w:bottom w:val="none" w:sz="0" w:space="0" w:color="auto"/>
        <w:right w:val="none" w:sz="0" w:space="0" w:color="auto"/>
      </w:divBdr>
    </w:div>
    <w:div w:id="1091776496">
      <w:bodyDiv w:val="1"/>
      <w:marLeft w:val="0"/>
      <w:marRight w:val="0"/>
      <w:marTop w:val="0"/>
      <w:marBottom w:val="0"/>
      <w:divBdr>
        <w:top w:val="none" w:sz="0" w:space="0" w:color="auto"/>
        <w:left w:val="none" w:sz="0" w:space="0" w:color="auto"/>
        <w:bottom w:val="none" w:sz="0" w:space="0" w:color="auto"/>
        <w:right w:val="none" w:sz="0" w:space="0" w:color="auto"/>
      </w:divBdr>
    </w:div>
    <w:div w:id="1210261964">
      <w:bodyDiv w:val="1"/>
      <w:marLeft w:val="0"/>
      <w:marRight w:val="0"/>
      <w:marTop w:val="0"/>
      <w:marBottom w:val="0"/>
      <w:divBdr>
        <w:top w:val="none" w:sz="0" w:space="0" w:color="auto"/>
        <w:left w:val="none" w:sz="0" w:space="0" w:color="auto"/>
        <w:bottom w:val="none" w:sz="0" w:space="0" w:color="auto"/>
        <w:right w:val="none" w:sz="0" w:space="0" w:color="auto"/>
      </w:divBdr>
    </w:div>
    <w:div w:id="1312054717">
      <w:bodyDiv w:val="1"/>
      <w:marLeft w:val="0"/>
      <w:marRight w:val="0"/>
      <w:marTop w:val="0"/>
      <w:marBottom w:val="0"/>
      <w:divBdr>
        <w:top w:val="none" w:sz="0" w:space="0" w:color="auto"/>
        <w:left w:val="none" w:sz="0" w:space="0" w:color="auto"/>
        <w:bottom w:val="none" w:sz="0" w:space="0" w:color="auto"/>
        <w:right w:val="none" w:sz="0" w:space="0" w:color="auto"/>
      </w:divBdr>
    </w:div>
    <w:div w:id="1331300387">
      <w:bodyDiv w:val="1"/>
      <w:marLeft w:val="0"/>
      <w:marRight w:val="0"/>
      <w:marTop w:val="0"/>
      <w:marBottom w:val="0"/>
      <w:divBdr>
        <w:top w:val="none" w:sz="0" w:space="0" w:color="auto"/>
        <w:left w:val="none" w:sz="0" w:space="0" w:color="auto"/>
        <w:bottom w:val="none" w:sz="0" w:space="0" w:color="auto"/>
        <w:right w:val="none" w:sz="0" w:space="0" w:color="auto"/>
      </w:divBdr>
    </w:div>
    <w:div w:id="1355382090">
      <w:bodyDiv w:val="1"/>
      <w:marLeft w:val="0"/>
      <w:marRight w:val="0"/>
      <w:marTop w:val="0"/>
      <w:marBottom w:val="0"/>
      <w:divBdr>
        <w:top w:val="none" w:sz="0" w:space="0" w:color="auto"/>
        <w:left w:val="none" w:sz="0" w:space="0" w:color="auto"/>
        <w:bottom w:val="none" w:sz="0" w:space="0" w:color="auto"/>
        <w:right w:val="none" w:sz="0" w:space="0" w:color="auto"/>
      </w:divBdr>
    </w:div>
    <w:div w:id="1361400260">
      <w:bodyDiv w:val="1"/>
      <w:marLeft w:val="0"/>
      <w:marRight w:val="0"/>
      <w:marTop w:val="0"/>
      <w:marBottom w:val="0"/>
      <w:divBdr>
        <w:top w:val="none" w:sz="0" w:space="0" w:color="auto"/>
        <w:left w:val="none" w:sz="0" w:space="0" w:color="auto"/>
        <w:bottom w:val="none" w:sz="0" w:space="0" w:color="auto"/>
        <w:right w:val="none" w:sz="0" w:space="0" w:color="auto"/>
      </w:divBdr>
    </w:div>
    <w:div w:id="1422331235">
      <w:bodyDiv w:val="1"/>
      <w:marLeft w:val="0"/>
      <w:marRight w:val="0"/>
      <w:marTop w:val="0"/>
      <w:marBottom w:val="0"/>
      <w:divBdr>
        <w:top w:val="none" w:sz="0" w:space="0" w:color="auto"/>
        <w:left w:val="none" w:sz="0" w:space="0" w:color="auto"/>
        <w:bottom w:val="none" w:sz="0" w:space="0" w:color="auto"/>
        <w:right w:val="none" w:sz="0" w:space="0" w:color="auto"/>
      </w:divBdr>
    </w:div>
    <w:div w:id="1482503311">
      <w:bodyDiv w:val="1"/>
      <w:marLeft w:val="0"/>
      <w:marRight w:val="0"/>
      <w:marTop w:val="0"/>
      <w:marBottom w:val="0"/>
      <w:divBdr>
        <w:top w:val="none" w:sz="0" w:space="0" w:color="auto"/>
        <w:left w:val="none" w:sz="0" w:space="0" w:color="auto"/>
        <w:bottom w:val="none" w:sz="0" w:space="0" w:color="auto"/>
        <w:right w:val="none" w:sz="0" w:space="0" w:color="auto"/>
      </w:divBdr>
    </w:div>
    <w:div w:id="1505516841">
      <w:bodyDiv w:val="1"/>
      <w:marLeft w:val="0"/>
      <w:marRight w:val="0"/>
      <w:marTop w:val="0"/>
      <w:marBottom w:val="0"/>
      <w:divBdr>
        <w:top w:val="none" w:sz="0" w:space="0" w:color="auto"/>
        <w:left w:val="none" w:sz="0" w:space="0" w:color="auto"/>
        <w:bottom w:val="none" w:sz="0" w:space="0" w:color="auto"/>
        <w:right w:val="none" w:sz="0" w:space="0" w:color="auto"/>
      </w:divBdr>
    </w:div>
    <w:div w:id="1551502883">
      <w:bodyDiv w:val="1"/>
      <w:marLeft w:val="0"/>
      <w:marRight w:val="0"/>
      <w:marTop w:val="0"/>
      <w:marBottom w:val="0"/>
      <w:divBdr>
        <w:top w:val="none" w:sz="0" w:space="0" w:color="auto"/>
        <w:left w:val="none" w:sz="0" w:space="0" w:color="auto"/>
        <w:bottom w:val="none" w:sz="0" w:space="0" w:color="auto"/>
        <w:right w:val="none" w:sz="0" w:space="0" w:color="auto"/>
      </w:divBdr>
    </w:div>
    <w:div w:id="1630743158">
      <w:bodyDiv w:val="1"/>
      <w:marLeft w:val="0"/>
      <w:marRight w:val="0"/>
      <w:marTop w:val="0"/>
      <w:marBottom w:val="0"/>
      <w:divBdr>
        <w:top w:val="none" w:sz="0" w:space="0" w:color="auto"/>
        <w:left w:val="none" w:sz="0" w:space="0" w:color="auto"/>
        <w:bottom w:val="none" w:sz="0" w:space="0" w:color="auto"/>
        <w:right w:val="none" w:sz="0" w:space="0" w:color="auto"/>
      </w:divBdr>
    </w:div>
    <w:div w:id="1762943043">
      <w:bodyDiv w:val="1"/>
      <w:marLeft w:val="0"/>
      <w:marRight w:val="0"/>
      <w:marTop w:val="0"/>
      <w:marBottom w:val="0"/>
      <w:divBdr>
        <w:top w:val="none" w:sz="0" w:space="0" w:color="auto"/>
        <w:left w:val="none" w:sz="0" w:space="0" w:color="auto"/>
        <w:bottom w:val="none" w:sz="0" w:space="0" w:color="auto"/>
        <w:right w:val="none" w:sz="0" w:space="0" w:color="auto"/>
      </w:divBdr>
    </w:div>
    <w:div w:id="1828013608">
      <w:bodyDiv w:val="1"/>
      <w:marLeft w:val="0"/>
      <w:marRight w:val="0"/>
      <w:marTop w:val="0"/>
      <w:marBottom w:val="0"/>
      <w:divBdr>
        <w:top w:val="none" w:sz="0" w:space="0" w:color="auto"/>
        <w:left w:val="none" w:sz="0" w:space="0" w:color="auto"/>
        <w:bottom w:val="none" w:sz="0" w:space="0" w:color="auto"/>
        <w:right w:val="none" w:sz="0" w:space="0" w:color="auto"/>
      </w:divBdr>
    </w:div>
    <w:div w:id="1854567447">
      <w:bodyDiv w:val="1"/>
      <w:marLeft w:val="0"/>
      <w:marRight w:val="0"/>
      <w:marTop w:val="0"/>
      <w:marBottom w:val="0"/>
      <w:divBdr>
        <w:top w:val="none" w:sz="0" w:space="0" w:color="auto"/>
        <w:left w:val="none" w:sz="0" w:space="0" w:color="auto"/>
        <w:bottom w:val="none" w:sz="0" w:space="0" w:color="auto"/>
        <w:right w:val="none" w:sz="0" w:space="0" w:color="auto"/>
      </w:divBdr>
    </w:div>
    <w:div w:id="1855149990">
      <w:bodyDiv w:val="1"/>
      <w:marLeft w:val="0"/>
      <w:marRight w:val="0"/>
      <w:marTop w:val="0"/>
      <w:marBottom w:val="0"/>
      <w:divBdr>
        <w:top w:val="none" w:sz="0" w:space="0" w:color="auto"/>
        <w:left w:val="none" w:sz="0" w:space="0" w:color="auto"/>
        <w:bottom w:val="none" w:sz="0" w:space="0" w:color="auto"/>
        <w:right w:val="none" w:sz="0" w:space="0" w:color="auto"/>
      </w:divBdr>
    </w:div>
    <w:div w:id="1883591526">
      <w:bodyDiv w:val="1"/>
      <w:marLeft w:val="0"/>
      <w:marRight w:val="0"/>
      <w:marTop w:val="0"/>
      <w:marBottom w:val="0"/>
      <w:divBdr>
        <w:top w:val="none" w:sz="0" w:space="0" w:color="auto"/>
        <w:left w:val="none" w:sz="0" w:space="0" w:color="auto"/>
        <w:bottom w:val="none" w:sz="0" w:space="0" w:color="auto"/>
        <w:right w:val="none" w:sz="0" w:space="0" w:color="auto"/>
      </w:divBdr>
    </w:div>
    <w:div w:id="1924996056">
      <w:bodyDiv w:val="1"/>
      <w:marLeft w:val="0"/>
      <w:marRight w:val="0"/>
      <w:marTop w:val="0"/>
      <w:marBottom w:val="0"/>
      <w:divBdr>
        <w:top w:val="none" w:sz="0" w:space="0" w:color="auto"/>
        <w:left w:val="none" w:sz="0" w:space="0" w:color="auto"/>
        <w:bottom w:val="none" w:sz="0" w:space="0" w:color="auto"/>
        <w:right w:val="none" w:sz="0" w:space="0" w:color="auto"/>
      </w:divBdr>
    </w:div>
    <w:div w:id="2039773111">
      <w:bodyDiv w:val="1"/>
      <w:marLeft w:val="0"/>
      <w:marRight w:val="0"/>
      <w:marTop w:val="0"/>
      <w:marBottom w:val="0"/>
      <w:divBdr>
        <w:top w:val="none" w:sz="0" w:space="0" w:color="auto"/>
        <w:left w:val="none" w:sz="0" w:space="0" w:color="auto"/>
        <w:bottom w:val="none" w:sz="0" w:space="0" w:color="auto"/>
        <w:right w:val="none" w:sz="0" w:space="0" w:color="auto"/>
      </w:divBdr>
    </w:div>
    <w:div w:id="210202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B094C-E646-EC4C-977E-1F3DEC491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7319</Words>
  <Characters>7320</Characters>
  <Application>Microsoft Office Word</Application>
  <DocSecurity>0</DocSecurity>
  <Lines>271</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怀文 常</dc:creator>
  <cp:keywords/>
  <dc:description/>
  <cp:lastModifiedBy>Ryan</cp:lastModifiedBy>
  <cp:revision>5</cp:revision>
  <dcterms:created xsi:type="dcterms:W3CDTF">2025-10-12T13:06:00Z</dcterms:created>
  <dcterms:modified xsi:type="dcterms:W3CDTF">2025-10-13T07:11:00Z</dcterms:modified>
</cp:coreProperties>
</file>